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09C43" w14:textId="6A9CD8D6" w:rsidR="002D541F" w:rsidRDefault="00D37435" w:rsidP="00CA29E6">
      <w:pPr>
        <w:jc w:val="center"/>
        <w:rPr>
          <w:rFonts w:ascii="Arial" w:hAnsi="Arial" w:cs="Arial"/>
          <w:b/>
          <w:sz w:val="24"/>
          <w:szCs w:val="24"/>
        </w:rPr>
      </w:pPr>
      <w:r>
        <w:rPr>
          <w:rFonts w:ascii="Arial" w:hAnsi="Arial" w:cs="Arial"/>
          <w:b/>
          <w:sz w:val="24"/>
          <w:szCs w:val="24"/>
        </w:rPr>
        <w:t>Interim</w:t>
      </w:r>
      <w:r w:rsidR="009D7DE0" w:rsidRPr="00044BCA">
        <w:rPr>
          <w:rFonts w:ascii="Arial" w:hAnsi="Arial" w:cs="Arial"/>
          <w:b/>
          <w:sz w:val="24"/>
          <w:szCs w:val="24"/>
        </w:rPr>
        <w:t xml:space="preserve"> results for the </w:t>
      </w:r>
      <w:r w:rsidR="00A01BBD">
        <w:rPr>
          <w:rFonts w:ascii="Arial" w:hAnsi="Arial" w:cs="Arial"/>
          <w:b/>
          <w:sz w:val="24"/>
          <w:szCs w:val="24"/>
        </w:rPr>
        <w:t>half year</w:t>
      </w:r>
      <w:r w:rsidR="009D7DE0" w:rsidRPr="00044BCA">
        <w:rPr>
          <w:rFonts w:ascii="Arial" w:hAnsi="Arial" w:cs="Arial"/>
          <w:b/>
          <w:sz w:val="24"/>
          <w:szCs w:val="24"/>
        </w:rPr>
        <w:t xml:space="preserve"> ended </w:t>
      </w:r>
      <w:r w:rsidR="008E7ABE">
        <w:rPr>
          <w:rFonts w:ascii="Arial" w:hAnsi="Arial" w:cs="Arial"/>
          <w:b/>
          <w:sz w:val="24"/>
          <w:szCs w:val="24"/>
        </w:rPr>
        <w:t>1</w:t>
      </w:r>
      <w:r w:rsidR="0094440C">
        <w:rPr>
          <w:rFonts w:ascii="Arial" w:hAnsi="Arial" w:cs="Arial"/>
          <w:b/>
          <w:sz w:val="24"/>
          <w:szCs w:val="24"/>
        </w:rPr>
        <w:t xml:space="preserve"> </w:t>
      </w:r>
      <w:r>
        <w:rPr>
          <w:rFonts w:ascii="Arial" w:hAnsi="Arial" w:cs="Arial"/>
          <w:b/>
          <w:sz w:val="24"/>
          <w:szCs w:val="24"/>
        </w:rPr>
        <w:t>August</w:t>
      </w:r>
      <w:r w:rsidR="009D7DE0" w:rsidRPr="00044BCA">
        <w:rPr>
          <w:rFonts w:ascii="Arial" w:hAnsi="Arial" w:cs="Arial"/>
          <w:b/>
          <w:sz w:val="24"/>
          <w:szCs w:val="24"/>
        </w:rPr>
        <w:t xml:space="preserve"> 2015</w:t>
      </w:r>
    </w:p>
    <w:p w14:paraId="63AF21E8" w14:textId="1DD63908" w:rsidR="00CA29E6" w:rsidRDefault="00CA29E6" w:rsidP="00926779">
      <w:pPr>
        <w:jc w:val="center"/>
        <w:rPr>
          <w:rFonts w:ascii="Arial" w:hAnsi="Arial" w:cs="Arial"/>
          <w:b/>
          <w:sz w:val="24"/>
          <w:szCs w:val="24"/>
        </w:rPr>
      </w:pPr>
      <w:r>
        <w:rPr>
          <w:rFonts w:ascii="Arial" w:hAnsi="Arial" w:cs="Arial"/>
          <w:b/>
          <w:sz w:val="24"/>
          <w:szCs w:val="24"/>
        </w:rPr>
        <w:t xml:space="preserve"> S</w:t>
      </w:r>
      <w:r w:rsidR="009D7DE0" w:rsidRPr="00D320DD">
        <w:rPr>
          <w:rFonts w:ascii="Arial" w:hAnsi="Arial" w:cs="Arial"/>
          <w:b/>
          <w:sz w:val="24"/>
          <w:szCs w:val="24"/>
        </w:rPr>
        <w:t>ales</w:t>
      </w:r>
      <w:r w:rsidR="009D7DE0" w:rsidRPr="00044BCA">
        <w:rPr>
          <w:rFonts w:ascii="Arial" w:hAnsi="Arial" w:cs="Arial"/>
          <w:b/>
          <w:sz w:val="24"/>
          <w:szCs w:val="24"/>
        </w:rPr>
        <w:t xml:space="preserve"> up </w:t>
      </w:r>
      <w:r w:rsidR="009A501F">
        <w:rPr>
          <w:rFonts w:ascii="Arial" w:hAnsi="Arial" w:cs="Arial"/>
          <w:b/>
          <w:sz w:val="24"/>
          <w:szCs w:val="24"/>
        </w:rPr>
        <w:t>3.5</w:t>
      </w:r>
      <w:r>
        <w:rPr>
          <w:rFonts w:ascii="Arial" w:hAnsi="Arial" w:cs="Arial"/>
          <w:b/>
          <w:sz w:val="24"/>
          <w:szCs w:val="24"/>
        </w:rPr>
        <w:t xml:space="preserve">% </w:t>
      </w:r>
      <w:r w:rsidR="008E1985">
        <w:rPr>
          <w:rFonts w:ascii="Arial" w:hAnsi="Arial" w:cs="Arial"/>
          <w:b/>
          <w:sz w:val="24"/>
          <w:szCs w:val="24"/>
        </w:rPr>
        <w:t>and retail profit up 5.0%</w:t>
      </w:r>
      <w:r>
        <w:rPr>
          <w:rFonts w:ascii="Arial" w:hAnsi="Arial" w:cs="Arial"/>
          <w:b/>
          <w:sz w:val="24"/>
          <w:szCs w:val="24"/>
        </w:rPr>
        <w:t xml:space="preserve">, </w:t>
      </w:r>
      <w:r w:rsidR="008E1985">
        <w:rPr>
          <w:rFonts w:ascii="Arial" w:hAnsi="Arial" w:cs="Arial"/>
          <w:b/>
          <w:sz w:val="24"/>
          <w:szCs w:val="24"/>
        </w:rPr>
        <w:t>in constant currencies</w:t>
      </w:r>
    </w:p>
    <w:p w14:paraId="3B90421F" w14:textId="3CDAB87C" w:rsidR="00A01BBD" w:rsidRDefault="00CA29E6" w:rsidP="00926779">
      <w:pPr>
        <w:jc w:val="center"/>
        <w:rPr>
          <w:rFonts w:ascii="Arial" w:hAnsi="Arial" w:cs="Arial"/>
          <w:b/>
          <w:sz w:val="24"/>
          <w:szCs w:val="24"/>
        </w:rPr>
      </w:pPr>
      <w:r>
        <w:rPr>
          <w:rFonts w:ascii="Arial" w:hAnsi="Arial" w:cs="Arial"/>
          <w:b/>
          <w:sz w:val="24"/>
          <w:szCs w:val="24"/>
        </w:rPr>
        <w:t>A</w:t>
      </w:r>
      <w:r w:rsidR="009D7DE0" w:rsidRPr="00044BCA">
        <w:rPr>
          <w:rFonts w:ascii="Arial" w:hAnsi="Arial" w:cs="Arial"/>
          <w:b/>
          <w:sz w:val="24"/>
          <w:szCs w:val="24"/>
        </w:rPr>
        <w:t>djusted pre-tax profit of £</w:t>
      </w:r>
      <w:r w:rsidR="00714258">
        <w:rPr>
          <w:rFonts w:ascii="Arial" w:hAnsi="Arial" w:cs="Arial"/>
          <w:b/>
          <w:sz w:val="24"/>
          <w:szCs w:val="24"/>
        </w:rPr>
        <w:t>384</w:t>
      </w:r>
      <w:r w:rsidR="009D7DE0" w:rsidRPr="00044BCA">
        <w:rPr>
          <w:rFonts w:ascii="Arial" w:hAnsi="Arial" w:cs="Arial"/>
          <w:b/>
          <w:sz w:val="24"/>
          <w:szCs w:val="24"/>
        </w:rPr>
        <w:t xml:space="preserve">m, </w:t>
      </w:r>
      <w:r w:rsidR="007F114E">
        <w:rPr>
          <w:rFonts w:ascii="Arial" w:hAnsi="Arial" w:cs="Arial"/>
          <w:b/>
          <w:sz w:val="24"/>
          <w:szCs w:val="24"/>
        </w:rPr>
        <w:t>down</w:t>
      </w:r>
      <w:r w:rsidR="00D37435">
        <w:rPr>
          <w:rFonts w:ascii="Arial" w:hAnsi="Arial" w:cs="Arial"/>
          <w:b/>
          <w:sz w:val="24"/>
          <w:szCs w:val="24"/>
        </w:rPr>
        <w:t xml:space="preserve"> </w:t>
      </w:r>
      <w:r w:rsidR="00A01BBD">
        <w:rPr>
          <w:rFonts w:ascii="Arial" w:hAnsi="Arial" w:cs="Arial"/>
          <w:b/>
          <w:sz w:val="24"/>
          <w:szCs w:val="24"/>
        </w:rPr>
        <w:t>2.</w:t>
      </w:r>
      <w:r w:rsidR="00C24E33">
        <w:rPr>
          <w:rFonts w:ascii="Arial" w:hAnsi="Arial" w:cs="Arial"/>
          <w:b/>
          <w:sz w:val="24"/>
          <w:szCs w:val="24"/>
        </w:rPr>
        <w:t>3</w:t>
      </w:r>
      <w:r w:rsidR="009D7DE0" w:rsidRPr="00044BCA">
        <w:rPr>
          <w:rFonts w:ascii="Arial" w:hAnsi="Arial" w:cs="Arial"/>
          <w:b/>
          <w:sz w:val="24"/>
          <w:szCs w:val="24"/>
        </w:rPr>
        <w:t>%</w:t>
      </w:r>
    </w:p>
    <w:p w14:paraId="5ECA30E6" w14:textId="11CD4107" w:rsidR="00A0289E" w:rsidRPr="00044BCA" w:rsidRDefault="00A01BBD" w:rsidP="00126A7C">
      <w:pPr>
        <w:jc w:val="center"/>
        <w:rPr>
          <w:rFonts w:ascii="Arial" w:hAnsi="Arial" w:cs="Arial"/>
          <w:b/>
          <w:sz w:val="24"/>
          <w:szCs w:val="24"/>
        </w:rPr>
      </w:pPr>
      <w:r>
        <w:rPr>
          <w:rFonts w:ascii="Arial" w:hAnsi="Arial" w:cs="Arial"/>
          <w:b/>
          <w:sz w:val="24"/>
          <w:szCs w:val="24"/>
        </w:rPr>
        <w:t>Solid</w:t>
      </w:r>
      <w:r w:rsidR="00D37435">
        <w:rPr>
          <w:rFonts w:ascii="Arial" w:hAnsi="Arial" w:cs="Arial"/>
          <w:b/>
          <w:sz w:val="24"/>
          <w:szCs w:val="24"/>
        </w:rPr>
        <w:t xml:space="preserve"> early progress </w:t>
      </w:r>
      <w:r w:rsidR="00DB3C08" w:rsidRPr="00044BCA">
        <w:rPr>
          <w:rFonts w:ascii="Arial" w:hAnsi="Arial" w:cs="Arial"/>
          <w:b/>
          <w:sz w:val="24"/>
          <w:szCs w:val="24"/>
        </w:rPr>
        <w:t>on the journey to ‘ONE’ Kingfisher</w:t>
      </w:r>
    </w:p>
    <w:p w14:paraId="0823B637" w14:textId="77777777" w:rsidR="000346AA" w:rsidRDefault="000346AA" w:rsidP="00926779">
      <w:pPr>
        <w:jc w:val="center"/>
        <w:rPr>
          <w:rFonts w:ascii="Arial" w:hAnsi="Arial" w:cs="Arial"/>
          <w:b/>
          <w:bCs/>
          <w:sz w:val="24"/>
          <w:szCs w:val="24"/>
          <w:u w:val="single"/>
        </w:rPr>
      </w:pPr>
    </w:p>
    <w:tbl>
      <w:tblPr>
        <w:tblStyle w:val="TableGrid"/>
        <w:tblW w:w="0" w:type="auto"/>
        <w:tblLook w:val="04A0" w:firstRow="1" w:lastRow="0" w:firstColumn="1" w:lastColumn="0" w:noHBand="0" w:noVBand="1"/>
      </w:tblPr>
      <w:tblGrid>
        <w:gridCol w:w="9631"/>
      </w:tblGrid>
      <w:tr w:rsidR="00A77594" w14:paraId="04705792" w14:textId="77777777" w:rsidTr="00A77594">
        <w:tc>
          <w:tcPr>
            <w:tcW w:w="9631" w:type="dxa"/>
          </w:tcPr>
          <w:p w14:paraId="7660131D" w14:textId="77777777" w:rsidR="00A0289E" w:rsidRDefault="00A0289E"/>
          <w:tbl>
            <w:tblPr>
              <w:tblW w:w="9456" w:type="dxa"/>
              <w:tblLook w:val="01E0" w:firstRow="1" w:lastRow="1" w:firstColumn="1" w:lastColumn="1" w:noHBand="0" w:noVBand="0"/>
            </w:tblPr>
            <w:tblGrid>
              <w:gridCol w:w="2763"/>
              <w:gridCol w:w="1395"/>
              <w:gridCol w:w="1393"/>
              <w:gridCol w:w="1279"/>
              <w:gridCol w:w="88"/>
              <w:gridCol w:w="1191"/>
              <w:gridCol w:w="1347"/>
            </w:tblGrid>
            <w:tr w:rsidR="00A77594" w:rsidRPr="000971B9" w14:paraId="351F14E6" w14:textId="77777777" w:rsidTr="00926779">
              <w:trPr>
                <w:trHeight w:val="211"/>
              </w:trPr>
              <w:tc>
                <w:tcPr>
                  <w:tcW w:w="9456" w:type="dxa"/>
                  <w:gridSpan w:val="7"/>
                </w:tcPr>
                <w:p w14:paraId="21181D0C" w14:textId="6E1782F9" w:rsidR="00956FAD" w:rsidRPr="00CA29E6" w:rsidRDefault="00A77594" w:rsidP="00CA29E6">
                  <w:pPr>
                    <w:jc w:val="center"/>
                    <w:rPr>
                      <w:rFonts w:ascii="Arial" w:hAnsi="Arial" w:cs="Arial"/>
                      <w:b/>
                      <w:bCs/>
                      <w:sz w:val="24"/>
                      <w:szCs w:val="20"/>
                      <w:u w:val="single"/>
                    </w:rPr>
                  </w:pPr>
                  <w:r>
                    <w:rPr>
                      <w:rFonts w:ascii="Arial" w:hAnsi="Arial" w:cs="Arial"/>
                      <w:b/>
                      <w:bCs/>
                      <w:sz w:val="24"/>
                      <w:szCs w:val="20"/>
                      <w:u w:val="single"/>
                    </w:rPr>
                    <w:t>Financial overview and highlights for the 26 weeks ended 1 August 2015:</w:t>
                  </w:r>
                </w:p>
              </w:tc>
            </w:tr>
            <w:tr w:rsidR="00A77594" w:rsidRPr="000971B9" w14:paraId="73C5AB26" w14:textId="77777777" w:rsidTr="00926779">
              <w:trPr>
                <w:trHeight w:val="564"/>
              </w:trPr>
              <w:tc>
                <w:tcPr>
                  <w:tcW w:w="4158" w:type="dxa"/>
                  <w:gridSpan w:val="2"/>
                  <w:tcBorders>
                    <w:bottom w:val="single" w:sz="4" w:space="0" w:color="auto"/>
                  </w:tcBorders>
                </w:tcPr>
                <w:p w14:paraId="150E3C25" w14:textId="666632FF" w:rsidR="00A77594" w:rsidRPr="000971B9" w:rsidRDefault="00A77594" w:rsidP="00A77594">
                  <w:pPr>
                    <w:rPr>
                      <w:rFonts w:ascii="Arial" w:hAnsi="Arial" w:cs="Arial"/>
                      <w:b/>
                      <w:bCs/>
                      <w:sz w:val="24"/>
                      <w:szCs w:val="24"/>
                    </w:rPr>
                  </w:pPr>
                </w:p>
              </w:tc>
              <w:tc>
                <w:tcPr>
                  <w:tcW w:w="1393" w:type="dxa"/>
                  <w:tcBorders>
                    <w:bottom w:val="single" w:sz="4" w:space="0" w:color="auto"/>
                  </w:tcBorders>
                </w:tcPr>
                <w:p w14:paraId="5E261CAC" w14:textId="77777777" w:rsidR="00A77594" w:rsidRPr="000971B9" w:rsidRDefault="00A77594" w:rsidP="00926779">
                  <w:pPr>
                    <w:rPr>
                      <w:rFonts w:ascii="Arial" w:hAnsi="Arial" w:cs="Arial"/>
                      <w:b/>
                      <w:bCs/>
                      <w:sz w:val="24"/>
                      <w:szCs w:val="24"/>
                    </w:rPr>
                  </w:pPr>
                </w:p>
              </w:tc>
              <w:tc>
                <w:tcPr>
                  <w:tcW w:w="1367" w:type="dxa"/>
                  <w:gridSpan w:val="2"/>
                  <w:tcBorders>
                    <w:bottom w:val="single" w:sz="4" w:space="0" w:color="auto"/>
                  </w:tcBorders>
                </w:tcPr>
                <w:p w14:paraId="76CA4A64" w14:textId="77777777" w:rsidR="00A77594" w:rsidRPr="000971B9" w:rsidRDefault="00A77594" w:rsidP="00A77594">
                  <w:pPr>
                    <w:jc w:val="right"/>
                    <w:rPr>
                      <w:rFonts w:ascii="Arial" w:hAnsi="Arial" w:cs="Arial"/>
                      <w:b/>
                      <w:bCs/>
                      <w:sz w:val="24"/>
                      <w:szCs w:val="24"/>
                    </w:rPr>
                  </w:pPr>
                  <w:r w:rsidRPr="000971B9">
                    <w:rPr>
                      <w:rFonts w:ascii="Arial" w:hAnsi="Arial" w:cs="Arial"/>
                      <w:b/>
                      <w:bCs/>
                      <w:sz w:val="24"/>
                      <w:szCs w:val="24"/>
                    </w:rPr>
                    <w:t xml:space="preserve">% Total </w:t>
                  </w:r>
                </w:p>
                <w:p w14:paraId="4994E7BF" w14:textId="77777777" w:rsidR="00A77594" w:rsidRPr="000971B9" w:rsidRDefault="00A77594" w:rsidP="00A77594">
                  <w:pPr>
                    <w:jc w:val="right"/>
                    <w:rPr>
                      <w:rFonts w:ascii="Arial" w:hAnsi="Arial" w:cs="Arial"/>
                      <w:b/>
                      <w:bCs/>
                      <w:sz w:val="24"/>
                      <w:szCs w:val="24"/>
                      <w:lang w:eastAsia="en-US"/>
                    </w:rPr>
                  </w:pPr>
                  <w:r w:rsidRPr="000971B9">
                    <w:rPr>
                      <w:rFonts w:ascii="Arial" w:hAnsi="Arial" w:cs="Arial"/>
                      <w:b/>
                      <w:bCs/>
                      <w:sz w:val="24"/>
                      <w:szCs w:val="24"/>
                    </w:rPr>
                    <w:t xml:space="preserve">Change </w:t>
                  </w:r>
                </w:p>
              </w:tc>
              <w:tc>
                <w:tcPr>
                  <w:tcW w:w="1191" w:type="dxa"/>
                  <w:tcBorders>
                    <w:bottom w:val="single" w:sz="4" w:space="0" w:color="auto"/>
                  </w:tcBorders>
                </w:tcPr>
                <w:p w14:paraId="503F3121" w14:textId="77777777" w:rsidR="00A77594" w:rsidRPr="000971B9" w:rsidRDefault="00A77594" w:rsidP="00A77594">
                  <w:pPr>
                    <w:ind w:left="-94" w:firstLine="94"/>
                    <w:jc w:val="right"/>
                    <w:rPr>
                      <w:rFonts w:ascii="Arial" w:hAnsi="Arial" w:cs="Arial"/>
                      <w:b/>
                      <w:bCs/>
                      <w:sz w:val="24"/>
                      <w:szCs w:val="24"/>
                    </w:rPr>
                  </w:pPr>
                  <w:r w:rsidRPr="000971B9">
                    <w:rPr>
                      <w:rFonts w:ascii="Arial" w:hAnsi="Arial" w:cs="Arial"/>
                      <w:b/>
                      <w:bCs/>
                      <w:sz w:val="24"/>
                      <w:szCs w:val="24"/>
                    </w:rPr>
                    <w:t xml:space="preserve">% Total Change </w:t>
                  </w:r>
                </w:p>
              </w:tc>
              <w:tc>
                <w:tcPr>
                  <w:tcW w:w="1347" w:type="dxa"/>
                  <w:tcBorders>
                    <w:bottom w:val="single" w:sz="4" w:space="0" w:color="auto"/>
                  </w:tcBorders>
                </w:tcPr>
                <w:p w14:paraId="0730BCBF" w14:textId="457E75CC" w:rsidR="00A77594" w:rsidRPr="000971B9" w:rsidRDefault="00A667A7" w:rsidP="00A77594">
                  <w:pPr>
                    <w:jc w:val="right"/>
                    <w:rPr>
                      <w:rFonts w:ascii="Arial" w:hAnsi="Arial" w:cs="Arial"/>
                      <w:b/>
                      <w:bCs/>
                      <w:sz w:val="24"/>
                      <w:szCs w:val="24"/>
                    </w:rPr>
                  </w:pPr>
                  <w:r>
                    <w:rPr>
                      <w:rFonts w:ascii="Arial" w:hAnsi="Arial" w:cs="Arial"/>
                      <w:b/>
                      <w:bCs/>
                      <w:sz w:val="24"/>
                      <w:szCs w:val="24"/>
                    </w:rPr>
                    <w:t>%</w:t>
                  </w:r>
                  <w:r w:rsidR="00A77594" w:rsidRPr="000971B9">
                    <w:rPr>
                      <w:rFonts w:ascii="Arial" w:hAnsi="Arial" w:cs="Arial"/>
                      <w:b/>
                      <w:bCs/>
                      <w:sz w:val="24"/>
                      <w:szCs w:val="24"/>
                    </w:rPr>
                    <w:t xml:space="preserve"> LFL* Change</w:t>
                  </w:r>
                </w:p>
              </w:tc>
            </w:tr>
            <w:tr w:rsidR="00A77594" w:rsidRPr="000971B9" w14:paraId="35BF0039" w14:textId="77777777" w:rsidTr="00A77594">
              <w:trPr>
                <w:trHeight w:val="562"/>
              </w:trPr>
              <w:tc>
                <w:tcPr>
                  <w:tcW w:w="2763" w:type="dxa"/>
                  <w:tcBorders>
                    <w:bottom w:val="single" w:sz="4" w:space="0" w:color="auto"/>
                  </w:tcBorders>
                </w:tcPr>
                <w:p w14:paraId="0143C0C0" w14:textId="77777777" w:rsidR="00A77594" w:rsidRPr="000971B9" w:rsidRDefault="00A77594" w:rsidP="00A77594">
                  <w:pPr>
                    <w:jc w:val="left"/>
                    <w:rPr>
                      <w:rFonts w:ascii="Arial" w:hAnsi="Arial" w:cs="Arial"/>
                      <w:b/>
                      <w:bCs/>
                      <w:u w:val="single"/>
                    </w:rPr>
                  </w:pPr>
                </w:p>
              </w:tc>
              <w:tc>
                <w:tcPr>
                  <w:tcW w:w="1395" w:type="dxa"/>
                  <w:tcBorders>
                    <w:bottom w:val="single" w:sz="4" w:space="0" w:color="auto"/>
                  </w:tcBorders>
                </w:tcPr>
                <w:p w14:paraId="1F46479D" w14:textId="77777777" w:rsidR="00A77594" w:rsidRPr="000971B9" w:rsidRDefault="00A77594" w:rsidP="00A77594">
                  <w:pPr>
                    <w:jc w:val="right"/>
                    <w:rPr>
                      <w:rFonts w:ascii="Arial" w:hAnsi="Arial" w:cs="Arial"/>
                      <w:b/>
                      <w:bCs/>
                      <w:sz w:val="24"/>
                      <w:szCs w:val="24"/>
                    </w:rPr>
                  </w:pPr>
                  <w:r w:rsidRPr="000971B9">
                    <w:rPr>
                      <w:rFonts w:ascii="Arial" w:hAnsi="Arial" w:cs="Arial"/>
                      <w:b/>
                      <w:bCs/>
                      <w:sz w:val="24"/>
                      <w:szCs w:val="24"/>
                    </w:rPr>
                    <w:t>201</w:t>
                  </w:r>
                  <w:r>
                    <w:rPr>
                      <w:rFonts w:ascii="Arial" w:hAnsi="Arial" w:cs="Arial"/>
                      <w:b/>
                      <w:bCs/>
                      <w:sz w:val="24"/>
                      <w:szCs w:val="24"/>
                    </w:rPr>
                    <w:t>5/16</w:t>
                  </w:r>
                </w:p>
                <w:p w14:paraId="66361EE9" w14:textId="77777777" w:rsidR="00A77594" w:rsidRPr="000971B9" w:rsidRDefault="00A77594" w:rsidP="00A77594">
                  <w:pPr>
                    <w:jc w:val="right"/>
                    <w:rPr>
                      <w:rFonts w:ascii="Arial" w:hAnsi="Arial" w:cs="Arial"/>
                      <w:b/>
                      <w:bCs/>
                      <w:sz w:val="24"/>
                      <w:szCs w:val="24"/>
                    </w:rPr>
                  </w:pPr>
                </w:p>
              </w:tc>
              <w:tc>
                <w:tcPr>
                  <w:tcW w:w="1393" w:type="dxa"/>
                  <w:tcBorders>
                    <w:bottom w:val="single" w:sz="4" w:space="0" w:color="auto"/>
                  </w:tcBorders>
                </w:tcPr>
                <w:p w14:paraId="454CC3EC" w14:textId="77777777" w:rsidR="00A77594" w:rsidRPr="000971B9" w:rsidRDefault="00A77594" w:rsidP="00A77594">
                  <w:pPr>
                    <w:jc w:val="right"/>
                    <w:rPr>
                      <w:rFonts w:ascii="Arial" w:hAnsi="Arial" w:cs="Arial"/>
                      <w:b/>
                      <w:bCs/>
                      <w:sz w:val="24"/>
                      <w:szCs w:val="24"/>
                    </w:rPr>
                  </w:pPr>
                  <w:r>
                    <w:rPr>
                      <w:rFonts w:ascii="Arial" w:hAnsi="Arial" w:cs="Arial"/>
                      <w:b/>
                      <w:bCs/>
                      <w:sz w:val="24"/>
                      <w:szCs w:val="24"/>
                    </w:rPr>
                    <w:t>2014/15</w:t>
                  </w:r>
                </w:p>
                <w:p w14:paraId="2D050CDA" w14:textId="77777777" w:rsidR="00A77594" w:rsidRPr="000971B9" w:rsidRDefault="00A77594" w:rsidP="00A77594">
                  <w:pPr>
                    <w:jc w:val="right"/>
                    <w:rPr>
                      <w:rFonts w:ascii="Arial" w:hAnsi="Arial" w:cs="Arial"/>
                      <w:b/>
                      <w:bCs/>
                      <w:sz w:val="24"/>
                      <w:szCs w:val="24"/>
                    </w:rPr>
                  </w:pPr>
                </w:p>
              </w:tc>
              <w:tc>
                <w:tcPr>
                  <w:tcW w:w="1279" w:type="dxa"/>
                  <w:tcBorders>
                    <w:bottom w:val="single" w:sz="4" w:space="0" w:color="auto"/>
                  </w:tcBorders>
                </w:tcPr>
                <w:p w14:paraId="35CAD20D" w14:textId="77777777" w:rsidR="00A77594" w:rsidRPr="000971B9" w:rsidRDefault="00A77594" w:rsidP="00A77594">
                  <w:pPr>
                    <w:jc w:val="right"/>
                    <w:rPr>
                      <w:rFonts w:ascii="Arial" w:hAnsi="Arial" w:cs="Arial"/>
                      <w:b/>
                      <w:bCs/>
                      <w:sz w:val="24"/>
                      <w:szCs w:val="24"/>
                    </w:rPr>
                  </w:pPr>
                  <w:r w:rsidRPr="000971B9">
                    <w:rPr>
                      <w:rFonts w:ascii="Arial" w:hAnsi="Arial" w:cs="Arial"/>
                      <w:b/>
                      <w:bCs/>
                      <w:sz w:val="24"/>
                      <w:szCs w:val="24"/>
                    </w:rPr>
                    <w:t>Reported</w:t>
                  </w:r>
                </w:p>
              </w:tc>
              <w:tc>
                <w:tcPr>
                  <w:tcW w:w="1279" w:type="dxa"/>
                  <w:gridSpan w:val="2"/>
                  <w:tcBorders>
                    <w:bottom w:val="single" w:sz="4" w:space="0" w:color="auto"/>
                  </w:tcBorders>
                </w:tcPr>
                <w:p w14:paraId="40E901CF" w14:textId="77777777" w:rsidR="00A77594" w:rsidRPr="000971B9" w:rsidRDefault="00A77594" w:rsidP="00A77594">
                  <w:pPr>
                    <w:ind w:left="-94" w:firstLine="94"/>
                    <w:jc w:val="right"/>
                    <w:rPr>
                      <w:rFonts w:ascii="Arial" w:hAnsi="Arial" w:cs="Arial"/>
                      <w:b/>
                      <w:bCs/>
                      <w:sz w:val="24"/>
                      <w:szCs w:val="24"/>
                    </w:rPr>
                  </w:pPr>
                  <w:r w:rsidRPr="000971B9">
                    <w:rPr>
                      <w:rFonts w:ascii="Arial" w:hAnsi="Arial" w:cs="Arial"/>
                      <w:b/>
                      <w:bCs/>
                      <w:sz w:val="24"/>
                      <w:szCs w:val="24"/>
                    </w:rPr>
                    <w:t>Constant currency</w:t>
                  </w:r>
                </w:p>
              </w:tc>
              <w:tc>
                <w:tcPr>
                  <w:tcW w:w="1347" w:type="dxa"/>
                  <w:tcBorders>
                    <w:bottom w:val="single" w:sz="4" w:space="0" w:color="auto"/>
                  </w:tcBorders>
                </w:tcPr>
                <w:p w14:paraId="45F727CF" w14:textId="77777777" w:rsidR="00A77594" w:rsidRPr="000971B9" w:rsidRDefault="00A77594" w:rsidP="00A77594">
                  <w:pPr>
                    <w:jc w:val="right"/>
                    <w:rPr>
                      <w:rFonts w:ascii="Arial" w:hAnsi="Arial" w:cs="Arial"/>
                      <w:b/>
                      <w:bCs/>
                      <w:sz w:val="24"/>
                      <w:szCs w:val="24"/>
                    </w:rPr>
                  </w:pPr>
                  <w:r w:rsidRPr="000971B9">
                    <w:rPr>
                      <w:rFonts w:ascii="Arial" w:hAnsi="Arial" w:cs="Arial"/>
                      <w:b/>
                      <w:bCs/>
                      <w:sz w:val="24"/>
                      <w:szCs w:val="24"/>
                    </w:rPr>
                    <w:t>Constant currency</w:t>
                  </w:r>
                </w:p>
              </w:tc>
            </w:tr>
            <w:tr w:rsidR="00A77594" w:rsidRPr="000971B9" w14:paraId="79F14809" w14:textId="77777777" w:rsidTr="00A77594">
              <w:tc>
                <w:tcPr>
                  <w:tcW w:w="2763" w:type="dxa"/>
                </w:tcPr>
                <w:p w14:paraId="7B78643E" w14:textId="7ED4DF1C" w:rsidR="00A77594" w:rsidRPr="000971B9" w:rsidRDefault="00623CA6" w:rsidP="009F5D69">
                  <w:pPr>
                    <w:jc w:val="left"/>
                    <w:rPr>
                      <w:rFonts w:ascii="Arial" w:hAnsi="Arial" w:cs="Arial"/>
                      <w:sz w:val="24"/>
                      <w:szCs w:val="24"/>
                    </w:rPr>
                  </w:pPr>
                  <w:r w:rsidRPr="00EF42EF">
                    <w:rPr>
                      <w:rFonts w:ascii="Arial" w:hAnsi="Arial" w:cs="Arial"/>
                      <w:sz w:val="24"/>
                      <w:szCs w:val="24"/>
                    </w:rPr>
                    <w:t>Adjusted s</w:t>
                  </w:r>
                  <w:r w:rsidR="00A77594" w:rsidRPr="00D320DD">
                    <w:rPr>
                      <w:rFonts w:ascii="Arial" w:hAnsi="Arial" w:cs="Arial"/>
                      <w:sz w:val="24"/>
                      <w:szCs w:val="24"/>
                    </w:rPr>
                    <w:t>ales</w:t>
                  </w:r>
                  <w:r w:rsidR="00A77594" w:rsidRPr="00D320DD">
                    <w:rPr>
                      <w:rFonts w:ascii="Arial" w:hAnsi="Arial" w:cs="Arial"/>
                      <w:bCs/>
                      <w:sz w:val="24"/>
                      <w:szCs w:val="24"/>
                    </w:rPr>
                    <w:t>*</w:t>
                  </w:r>
                </w:p>
              </w:tc>
              <w:tc>
                <w:tcPr>
                  <w:tcW w:w="1395" w:type="dxa"/>
                </w:tcPr>
                <w:p w14:paraId="54AAA10C" w14:textId="77777777" w:rsidR="00A77594" w:rsidRPr="000971B9" w:rsidRDefault="00A77594" w:rsidP="00A77594">
                  <w:pPr>
                    <w:jc w:val="right"/>
                    <w:rPr>
                      <w:rFonts w:ascii="Arial" w:hAnsi="Arial" w:cs="Arial"/>
                      <w:sz w:val="24"/>
                      <w:szCs w:val="24"/>
                    </w:rPr>
                  </w:pPr>
                  <w:r w:rsidRPr="009A501F">
                    <w:rPr>
                      <w:rFonts w:ascii="Arial" w:hAnsi="Arial" w:cs="Arial"/>
                      <w:sz w:val="24"/>
                      <w:szCs w:val="24"/>
                    </w:rPr>
                    <w:t>£5,382m</w:t>
                  </w:r>
                </w:p>
              </w:tc>
              <w:tc>
                <w:tcPr>
                  <w:tcW w:w="1393" w:type="dxa"/>
                </w:tcPr>
                <w:p w14:paraId="30F13362" w14:textId="77777777" w:rsidR="00A77594" w:rsidRPr="00DD3E8E" w:rsidRDefault="00A77594" w:rsidP="00A77594">
                  <w:pPr>
                    <w:jc w:val="right"/>
                    <w:rPr>
                      <w:rFonts w:ascii="Arial" w:hAnsi="Arial" w:cs="Arial"/>
                      <w:sz w:val="24"/>
                      <w:szCs w:val="24"/>
                    </w:rPr>
                  </w:pPr>
                  <w:r w:rsidRPr="009A501F">
                    <w:rPr>
                      <w:rFonts w:ascii="Arial" w:hAnsi="Arial" w:cs="Arial"/>
                      <w:sz w:val="24"/>
                      <w:szCs w:val="24"/>
                    </w:rPr>
                    <w:t>£5,605m</w:t>
                  </w:r>
                </w:p>
              </w:tc>
              <w:tc>
                <w:tcPr>
                  <w:tcW w:w="1367" w:type="dxa"/>
                  <w:gridSpan w:val="2"/>
                </w:tcPr>
                <w:p w14:paraId="304D1144" w14:textId="77777777" w:rsidR="00A77594" w:rsidRDefault="00A77594" w:rsidP="00A77594">
                  <w:pPr>
                    <w:jc w:val="right"/>
                    <w:rPr>
                      <w:rFonts w:ascii="Arial" w:hAnsi="Arial" w:cs="Arial"/>
                      <w:sz w:val="24"/>
                      <w:szCs w:val="24"/>
                    </w:rPr>
                  </w:pPr>
                  <w:r w:rsidRPr="009A501F">
                    <w:rPr>
                      <w:rFonts w:ascii="Arial" w:hAnsi="Arial" w:cs="Arial"/>
                      <w:sz w:val="24"/>
                      <w:szCs w:val="24"/>
                    </w:rPr>
                    <w:t>(4.0)%</w:t>
                  </w:r>
                </w:p>
              </w:tc>
              <w:tc>
                <w:tcPr>
                  <w:tcW w:w="1191" w:type="dxa"/>
                </w:tcPr>
                <w:p w14:paraId="179C2F4E" w14:textId="77777777" w:rsidR="00A77594" w:rsidRDefault="00A77594" w:rsidP="00A77594">
                  <w:pPr>
                    <w:jc w:val="right"/>
                    <w:rPr>
                      <w:rFonts w:ascii="Arial" w:hAnsi="Arial" w:cs="Arial"/>
                      <w:sz w:val="24"/>
                      <w:szCs w:val="24"/>
                    </w:rPr>
                  </w:pPr>
                  <w:r>
                    <w:rPr>
                      <w:rFonts w:ascii="Arial" w:hAnsi="Arial" w:cs="Arial"/>
                      <w:sz w:val="24"/>
                      <w:szCs w:val="24"/>
                    </w:rPr>
                    <w:t>+3.5%</w:t>
                  </w:r>
                </w:p>
              </w:tc>
              <w:tc>
                <w:tcPr>
                  <w:tcW w:w="1347" w:type="dxa"/>
                </w:tcPr>
                <w:p w14:paraId="5DCF6F64" w14:textId="77777777" w:rsidR="00A77594" w:rsidRPr="000971B9" w:rsidRDefault="00A77594" w:rsidP="00A77594">
                  <w:pPr>
                    <w:jc w:val="right"/>
                    <w:rPr>
                      <w:rFonts w:ascii="Arial" w:hAnsi="Arial" w:cs="Arial"/>
                      <w:sz w:val="24"/>
                      <w:szCs w:val="24"/>
                    </w:rPr>
                  </w:pPr>
                  <w:r>
                    <w:rPr>
                      <w:rFonts w:ascii="Arial" w:hAnsi="Arial" w:cs="Arial"/>
                      <w:sz w:val="24"/>
                      <w:szCs w:val="24"/>
                    </w:rPr>
                    <w:t>+</w:t>
                  </w:r>
                  <w:r w:rsidRPr="009A501F">
                    <w:rPr>
                      <w:rFonts w:ascii="Arial" w:hAnsi="Arial" w:cs="Arial"/>
                      <w:sz w:val="24"/>
                      <w:szCs w:val="24"/>
                    </w:rPr>
                    <w:t>2.0%</w:t>
                  </w:r>
                </w:p>
              </w:tc>
            </w:tr>
            <w:tr w:rsidR="00A77594" w:rsidRPr="000971B9" w14:paraId="1CF3B2B4" w14:textId="77777777" w:rsidTr="00A77594">
              <w:tc>
                <w:tcPr>
                  <w:tcW w:w="2763" w:type="dxa"/>
                </w:tcPr>
                <w:p w14:paraId="38657303" w14:textId="77777777" w:rsidR="00A77594" w:rsidRPr="000971B9" w:rsidRDefault="00A77594" w:rsidP="00A77594">
                  <w:pPr>
                    <w:jc w:val="left"/>
                    <w:rPr>
                      <w:rFonts w:ascii="Arial" w:hAnsi="Arial" w:cs="Arial"/>
                      <w:sz w:val="24"/>
                      <w:szCs w:val="24"/>
                    </w:rPr>
                  </w:pPr>
                  <w:r w:rsidRPr="000971B9">
                    <w:rPr>
                      <w:rFonts w:ascii="Arial" w:hAnsi="Arial" w:cs="Arial"/>
                      <w:sz w:val="24"/>
                      <w:szCs w:val="24"/>
                    </w:rPr>
                    <w:t>Retail profit*</w:t>
                  </w:r>
                </w:p>
              </w:tc>
              <w:tc>
                <w:tcPr>
                  <w:tcW w:w="1395" w:type="dxa"/>
                </w:tcPr>
                <w:p w14:paraId="26FA09BE" w14:textId="77777777" w:rsidR="00A77594" w:rsidRPr="000971B9" w:rsidRDefault="00A77594" w:rsidP="00A77594">
                  <w:pPr>
                    <w:jc w:val="right"/>
                    <w:rPr>
                      <w:rFonts w:ascii="Arial" w:hAnsi="Arial" w:cs="Arial"/>
                      <w:sz w:val="24"/>
                      <w:szCs w:val="24"/>
                    </w:rPr>
                  </w:pPr>
                  <w:r w:rsidRPr="000971B9">
                    <w:rPr>
                      <w:rFonts w:ascii="Arial" w:hAnsi="Arial" w:cs="Arial"/>
                      <w:sz w:val="24"/>
                      <w:szCs w:val="24"/>
                    </w:rPr>
                    <w:t>£</w:t>
                  </w:r>
                  <w:r>
                    <w:rPr>
                      <w:rFonts w:ascii="Arial" w:hAnsi="Arial" w:cs="Arial"/>
                      <w:sz w:val="24"/>
                      <w:szCs w:val="24"/>
                    </w:rPr>
                    <w:t>410</w:t>
                  </w:r>
                  <w:r w:rsidRPr="000971B9">
                    <w:rPr>
                      <w:rFonts w:ascii="Arial" w:hAnsi="Arial" w:cs="Arial"/>
                      <w:sz w:val="24"/>
                      <w:szCs w:val="24"/>
                    </w:rPr>
                    <w:t>m</w:t>
                  </w:r>
                </w:p>
              </w:tc>
              <w:tc>
                <w:tcPr>
                  <w:tcW w:w="1393" w:type="dxa"/>
                </w:tcPr>
                <w:p w14:paraId="615474B8" w14:textId="77777777" w:rsidR="00A77594" w:rsidRPr="000971B9" w:rsidRDefault="00A77594" w:rsidP="00A77594">
                  <w:pPr>
                    <w:jc w:val="right"/>
                    <w:rPr>
                      <w:rFonts w:ascii="Arial" w:hAnsi="Arial" w:cs="Arial"/>
                      <w:sz w:val="24"/>
                      <w:szCs w:val="24"/>
                    </w:rPr>
                  </w:pPr>
                  <w:r w:rsidRPr="00DD3E8E">
                    <w:rPr>
                      <w:rFonts w:ascii="Arial" w:hAnsi="Arial" w:cs="Arial"/>
                      <w:sz w:val="24"/>
                      <w:szCs w:val="24"/>
                    </w:rPr>
                    <w:t>£</w:t>
                  </w:r>
                  <w:r>
                    <w:rPr>
                      <w:rFonts w:ascii="Arial" w:hAnsi="Arial" w:cs="Arial"/>
                      <w:sz w:val="24"/>
                      <w:szCs w:val="24"/>
                    </w:rPr>
                    <w:t>419</w:t>
                  </w:r>
                  <w:r w:rsidRPr="00DD3E8E">
                    <w:rPr>
                      <w:rFonts w:ascii="Arial" w:hAnsi="Arial" w:cs="Arial"/>
                      <w:sz w:val="24"/>
                      <w:szCs w:val="24"/>
                    </w:rPr>
                    <w:t>m</w:t>
                  </w:r>
                </w:p>
              </w:tc>
              <w:tc>
                <w:tcPr>
                  <w:tcW w:w="1367" w:type="dxa"/>
                  <w:gridSpan w:val="2"/>
                </w:tcPr>
                <w:p w14:paraId="000EA79D" w14:textId="77777777" w:rsidR="00A77594" w:rsidRPr="000971B9" w:rsidRDefault="00A77594" w:rsidP="00A77594">
                  <w:pPr>
                    <w:jc w:val="right"/>
                    <w:rPr>
                      <w:rFonts w:ascii="Arial" w:hAnsi="Arial" w:cs="Arial"/>
                      <w:sz w:val="24"/>
                      <w:szCs w:val="24"/>
                    </w:rPr>
                  </w:pPr>
                  <w:r>
                    <w:rPr>
                      <w:rFonts w:ascii="Arial" w:hAnsi="Arial" w:cs="Arial"/>
                      <w:sz w:val="24"/>
                      <w:szCs w:val="24"/>
                    </w:rPr>
                    <w:t>(2.2)%</w:t>
                  </w:r>
                </w:p>
              </w:tc>
              <w:tc>
                <w:tcPr>
                  <w:tcW w:w="1191" w:type="dxa"/>
                </w:tcPr>
                <w:p w14:paraId="4D40F3AC" w14:textId="77777777" w:rsidR="00A77594" w:rsidRPr="000971B9" w:rsidRDefault="00A77594" w:rsidP="00A77594">
                  <w:pPr>
                    <w:jc w:val="right"/>
                    <w:rPr>
                      <w:rFonts w:ascii="Arial" w:hAnsi="Arial" w:cs="Arial"/>
                      <w:sz w:val="24"/>
                      <w:szCs w:val="24"/>
                    </w:rPr>
                  </w:pPr>
                  <w:r>
                    <w:rPr>
                      <w:rFonts w:ascii="Arial" w:hAnsi="Arial" w:cs="Arial"/>
                      <w:sz w:val="24"/>
                      <w:szCs w:val="24"/>
                    </w:rPr>
                    <w:t>+5.0%</w:t>
                  </w:r>
                </w:p>
              </w:tc>
              <w:tc>
                <w:tcPr>
                  <w:tcW w:w="1347" w:type="dxa"/>
                </w:tcPr>
                <w:p w14:paraId="4FD0EBD2" w14:textId="77777777" w:rsidR="00A77594" w:rsidRPr="000971B9" w:rsidRDefault="00A77594" w:rsidP="00A77594">
                  <w:pPr>
                    <w:jc w:val="right"/>
                    <w:rPr>
                      <w:rFonts w:ascii="Arial" w:hAnsi="Arial" w:cs="Arial"/>
                      <w:sz w:val="24"/>
                      <w:szCs w:val="24"/>
                    </w:rPr>
                  </w:pPr>
                </w:p>
              </w:tc>
            </w:tr>
            <w:tr w:rsidR="00A77594" w:rsidRPr="000971B9" w14:paraId="6F60137F" w14:textId="77777777" w:rsidTr="00A77594">
              <w:tc>
                <w:tcPr>
                  <w:tcW w:w="2763" w:type="dxa"/>
                </w:tcPr>
                <w:p w14:paraId="4C1B6DF2" w14:textId="77777777" w:rsidR="00A77594" w:rsidRPr="000971B9" w:rsidRDefault="00A77594" w:rsidP="00A77594">
                  <w:pPr>
                    <w:jc w:val="left"/>
                    <w:rPr>
                      <w:rFonts w:ascii="Arial" w:hAnsi="Arial" w:cs="Arial"/>
                      <w:sz w:val="24"/>
                      <w:szCs w:val="24"/>
                    </w:rPr>
                  </w:pPr>
                  <w:r w:rsidRPr="000971B9">
                    <w:rPr>
                      <w:rFonts w:ascii="Arial" w:hAnsi="Arial" w:cs="Arial"/>
                      <w:sz w:val="24"/>
                      <w:szCs w:val="24"/>
                    </w:rPr>
                    <w:t>Adjusted* pre-tax profit</w:t>
                  </w:r>
                </w:p>
              </w:tc>
              <w:tc>
                <w:tcPr>
                  <w:tcW w:w="1395" w:type="dxa"/>
                </w:tcPr>
                <w:p w14:paraId="5355AC7D" w14:textId="77777777" w:rsidR="00A77594" w:rsidRPr="00295D2C" w:rsidRDefault="00A77594" w:rsidP="00A77594">
                  <w:pPr>
                    <w:jc w:val="right"/>
                    <w:rPr>
                      <w:rFonts w:ascii="Arial" w:hAnsi="Arial" w:cs="Arial"/>
                      <w:sz w:val="24"/>
                      <w:szCs w:val="24"/>
                    </w:rPr>
                  </w:pPr>
                  <w:r w:rsidRPr="00295D2C">
                    <w:rPr>
                      <w:rFonts w:ascii="Arial" w:hAnsi="Arial" w:cs="Arial"/>
                      <w:sz w:val="24"/>
                      <w:szCs w:val="24"/>
                    </w:rPr>
                    <w:t>£</w:t>
                  </w:r>
                  <w:r>
                    <w:rPr>
                      <w:rFonts w:ascii="Arial" w:hAnsi="Arial" w:cs="Arial"/>
                      <w:sz w:val="24"/>
                      <w:szCs w:val="24"/>
                    </w:rPr>
                    <w:t>384</w:t>
                  </w:r>
                  <w:r w:rsidRPr="00295D2C">
                    <w:rPr>
                      <w:rFonts w:ascii="Arial" w:hAnsi="Arial" w:cs="Arial"/>
                      <w:sz w:val="24"/>
                      <w:szCs w:val="24"/>
                    </w:rPr>
                    <w:t>m</w:t>
                  </w:r>
                </w:p>
              </w:tc>
              <w:tc>
                <w:tcPr>
                  <w:tcW w:w="1393" w:type="dxa"/>
                </w:tcPr>
                <w:p w14:paraId="18C70D81" w14:textId="77777777" w:rsidR="00A77594" w:rsidRPr="00295D2C" w:rsidRDefault="00A77594" w:rsidP="00A77594">
                  <w:pPr>
                    <w:jc w:val="right"/>
                    <w:rPr>
                      <w:rFonts w:ascii="Arial" w:hAnsi="Arial" w:cs="Arial"/>
                      <w:sz w:val="24"/>
                      <w:szCs w:val="24"/>
                    </w:rPr>
                  </w:pPr>
                  <w:r w:rsidRPr="00295D2C">
                    <w:rPr>
                      <w:rFonts w:ascii="Arial" w:hAnsi="Arial" w:cs="Arial"/>
                      <w:sz w:val="24"/>
                      <w:szCs w:val="24"/>
                    </w:rPr>
                    <w:t>£</w:t>
                  </w:r>
                  <w:r>
                    <w:rPr>
                      <w:rFonts w:ascii="Arial" w:hAnsi="Arial" w:cs="Arial"/>
                      <w:sz w:val="24"/>
                      <w:szCs w:val="24"/>
                    </w:rPr>
                    <w:t>393</w:t>
                  </w:r>
                  <w:r w:rsidRPr="00295D2C">
                    <w:rPr>
                      <w:rFonts w:ascii="Arial" w:hAnsi="Arial" w:cs="Arial"/>
                      <w:sz w:val="24"/>
                      <w:szCs w:val="24"/>
                    </w:rPr>
                    <w:t>m</w:t>
                  </w:r>
                </w:p>
              </w:tc>
              <w:tc>
                <w:tcPr>
                  <w:tcW w:w="1367" w:type="dxa"/>
                  <w:gridSpan w:val="2"/>
                </w:tcPr>
                <w:p w14:paraId="275DDC64" w14:textId="77777777" w:rsidR="00A77594" w:rsidRPr="000971B9" w:rsidRDefault="00A77594" w:rsidP="00A77594">
                  <w:pPr>
                    <w:jc w:val="right"/>
                    <w:rPr>
                      <w:rFonts w:ascii="Arial" w:hAnsi="Arial" w:cs="Arial"/>
                      <w:sz w:val="24"/>
                      <w:szCs w:val="24"/>
                    </w:rPr>
                  </w:pPr>
                  <w:r>
                    <w:rPr>
                      <w:rFonts w:ascii="Arial" w:hAnsi="Arial" w:cs="Arial"/>
                      <w:sz w:val="24"/>
                      <w:szCs w:val="24"/>
                    </w:rPr>
                    <w:t>(2.3)%</w:t>
                  </w:r>
                </w:p>
              </w:tc>
              <w:tc>
                <w:tcPr>
                  <w:tcW w:w="1191" w:type="dxa"/>
                </w:tcPr>
                <w:p w14:paraId="56DCA997" w14:textId="77777777" w:rsidR="00A77594" w:rsidRPr="000971B9" w:rsidRDefault="00A77594" w:rsidP="00A77594">
                  <w:pPr>
                    <w:jc w:val="right"/>
                    <w:rPr>
                      <w:rFonts w:ascii="Arial" w:hAnsi="Arial" w:cs="Arial"/>
                      <w:sz w:val="24"/>
                      <w:szCs w:val="24"/>
                    </w:rPr>
                  </w:pPr>
                </w:p>
              </w:tc>
              <w:tc>
                <w:tcPr>
                  <w:tcW w:w="1347" w:type="dxa"/>
                </w:tcPr>
                <w:p w14:paraId="6A62E7B6" w14:textId="77777777" w:rsidR="00A77594" w:rsidRPr="000971B9" w:rsidRDefault="00A77594" w:rsidP="00A77594">
                  <w:pPr>
                    <w:jc w:val="right"/>
                    <w:rPr>
                      <w:rFonts w:ascii="Arial" w:hAnsi="Arial" w:cs="Arial"/>
                      <w:sz w:val="24"/>
                      <w:szCs w:val="24"/>
                    </w:rPr>
                  </w:pPr>
                </w:p>
              </w:tc>
            </w:tr>
            <w:tr w:rsidR="00A77594" w:rsidRPr="000971B9" w14:paraId="44ADAFBD" w14:textId="77777777" w:rsidTr="00A77594">
              <w:tc>
                <w:tcPr>
                  <w:tcW w:w="2763" w:type="dxa"/>
                </w:tcPr>
                <w:p w14:paraId="53D8DBEF" w14:textId="77777777" w:rsidR="00A77594" w:rsidRPr="000971B9" w:rsidRDefault="00A77594" w:rsidP="00A77594">
                  <w:pPr>
                    <w:jc w:val="left"/>
                    <w:rPr>
                      <w:rFonts w:ascii="Arial" w:hAnsi="Arial" w:cs="Arial"/>
                      <w:sz w:val="24"/>
                      <w:szCs w:val="24"/>
                    </w:rPr>
                  </w:pPr>
                  <w:r w:rsidRPr="000971B9">
                    <w:rPr>
                      <w:rFonts w:ascii="Arial" w:hAnsi="Arial" w:cs="Arial"/>
                      <w:sz w:val="24"/>
                      <w:szCs w:val="24"/>
                    </w:rPr>
                    <w:t>Adjusted basic EPS</w:t>
                  </w:r>
                </w:p>
              </w:tc>
              <w:tc>
                <w:tcPr>
                  <w:tcW w:w="1395" w:type="dxa"/>
                </w:tcPr>
                <w:p w14:paraId="417A2FC6" w14:textId="77777777" w:rsidR="00A77594" w:rsidRPr="00EA1186" w:rsidRDefault="00A77594" w:rsidP="00A77594">
                  <w:pPr>
                    <w:jc w:val="right"/>
                    <w:rPr>
                      <w:rFonts w:ascii="Arial" w:hAnsi="Arial" w:cs="Arial"/>
                      <w:sz w:val="24"/>
                      <w:szCs w:val="24"/>
                    </w:rPr>
                  </w:pPr>
                  <w:r w:rsidRPr="00EA1186">
                    <w:rPr>
                      <w:rFonts w:ascii="Arial" w:hAnsi="Arial" w:cs="Arial"/>
                      <w:sz w:val="24"/>
                      <w:szCs w:val="24"/>
                    </w:rPr>
                    <w:t>12.3p</w:t>
                  </w:r>
                </w:p>
              </w:tc>
              <w:tc>
                <w:tcPr>
                  <w:tcW w:w="1393" w:type="dxa"/>
                </w:tcPr>
                <w:p w14:paraId="07879181" w14:textId="77777777" w:rsidR="00A77594" w:rsidRPr="00EA1186" w:rsidRDefault="00A77594" w:rsidP="00A77594">
                  <w:pPr>
                    <w:jc w:val="right"/>
                    <w:rPr>
                      <w:rFonts w:ascii="Arial" w:hAnsi="Arial" w:cs="Arial"/>
                      <w:sz w:val="24"/>
                      <w:szCs w:val="24"/>
                    </w:rPr>
                  </w:pPr>
                  <w:r w:rsidRPr="00EA1186">
                    <w:rPr>
                      <w:rFonts w:ascii="Arial" w:hAnsi="Arial" w:cs="Arial"/>
                      <w:sz w:val="24"/>
                      <w:szCs w:val="24"/>
                    </w:rPr>
                    <w:t>12.3p</w:t>
                  </w:r>
                </w:p>
              </w:tc>
              <w:tc>
                <w:tcPr>
                  <w:tcW w:w="1367" w:type="dxa"/>
                  <w:gridSpan w:val="2"/>
                </w:tcPr>
                <w:p w14:paraId="76E5BBC8" w14:textId="77777777" w:rsidR="00A77594" w:rsidRPr="000971B9" w:rsidRDefault="00A77594" w:rsidP="00A77594">
                  <w:pPr>
                    <w:jc w:val="right"/>
                    <w:rPr>
                      <w:rFonts w:ascii="Arial" w:hAnsi="Arial" w:cs="Arial"/>
                      <w:sz w:val="24"/>
                      <w:szCs w:val="24"/>
                    </w:rPr>
                  </w:pPr>
                  <w:r>
                    <w:rPr>
                      <w:rFonts w:ascii="Arial" w:hAnsi="Arial" w:cs="Arial"/>
                      <w:sz w:val="24"/>
                      <w:szCs w:val="24"/>
                    </w:rPr>
                    <w:t>Flat</w:t>
                  </w:r>
                </w:p>
              </w:tc>
              <w:tc>
                <w:tcPr>
                  <w:tcW w:w="1191" w:type="dxa"/>
                </w:tcPr>
                <w:p w14:paraId="6661D127" w14:textId="77777777" w:rsidR="00A77594" w:rsidRPr="000971B9" w:rsidRDefault="00A77594" w:rsidP="00A77594">
                  <w:pPr>
                    <w:jc w:val="right"/>
                    <w:rPr>
                      <w:rFonts w:ascii="Arial" w:hAnsi="Arial" w:cs="Arial"/>
                      <w:sz w:val="24"/>
                      <w:szCs w:val="24"/>
                    </w:rPr>
                  </w:pPr>
                </w:p>
              </w:tc>
              <w:tc>
                <w:tcPr>
                  <w:tcW w:w="1347" w:type="dxa"/>
                </w:tcPr>
                <w:p w14:paraId="51A1BBC7" w14:textId="77777777" w:rsidR="00A77594" w:rsidRPr="000971B9" w:rsidRDefault="00A77594" w:rsidP="00A77594">
                  <w:pPr>
                    <w:jc w:val="right"/>
                    <w:rPr>
                      <w:rFonts w:ascii="Arial" w:hAnsi="Arial" w:cs="Arial"/>
                      <w:sz w:val="24"/>
                      <w:szCs w:val="24"/>
                    </w:rPr>
                  </w:pPr>
                </w:p>
              </w:tc>
            </w:tr>
            <w:tr w:rsidR="00A77594" w:rsidRPr="000971B9" w14:paraId="33E4270D" w14:textId="77777777" w:rsidTr="00A77594">
              <w:tc>
                <w:tcPr>
                  <w:tcW w:w="2763" w:type="dxa"/>
                </w:tcPr>
                <w:p w14:paraId="563BB575" w14:textId="77777777" w:rsidR="00A77594" w:rsidRPr="000971B9" w:rsidRDefault="00A77594" w:rsidP="00A77594">
                  <w:pPr>
                    <w:jc w:val="left"/>
                    <w:rPr>
                      <w:rFonts w:ascii="Arial" w:hAnsi="Arial" w:cs="Arial"/>
                      <w:sz w:val="24"/>
                      <w:szCs w:val="24"/>
                    </w:rPr>
                  </w:pPr>
                  <w:r>
                    <w:rPr>
                      <w:rFonts w:ascii="Arial" w:hAnsi="Arial" w:cs="Arial"/>
                      <w:sz w:val="24"/>
                      <w:szCs w:val="24"/>
                    </w:rPr>
                    <w:t>Interim</w:t>
                  </w:r>
                  <w:r w:rsidRPr="000971B9">
                    <w:rPr>
                      <w:rFonts w:ascii="Arial" w:hAnsi="Arial" w:cs="Arial"/>
                      <w:sz w:val="24"/>
                      <w:szCs w:val="24"/>
                    </w:rPr>
                    <w:t xml:space="preserve"> dividend</w:t>
                  </w:r>
                </w:p>
              </w:tc>
              <w:tc>
                <w:tcPr>
                  <w:tcW w:w="1395" w:type="dxa"/>
                </w:tcPr>
                <w:p w14:paraId="4BAD3480" w14:textId="2BF3E8F2" w:rsidR="00A77594" w:rsidRPr="0021682C" w:rsidDel="006C3892" w:rsidRDefault="0021682C" w:rsidP="00A77594">
                  <w:pPr>
                    <w:jc w:val="right"/>
                    <w:rPr>
                      <w:rFonts w:ascii="Arial" w:hAnsi="Arial" w:cs="Arial"/>
                      <w:sz w:val="24"/>
                      <w:szCs w:val="24"/>
                    </w:rPr>
                  </w:pPr>
                  <w:r w:rsidRPr="009325A3">
                    <w:rPr>
                      <w:rFonts w:ascii="Arial" w:hAnsi="Arial" w:cs="Arial"/>
                      <w:sz w:val="24"/>
                      <w:szCs w:val="24"/>
                    </w:rPr>
                    <w:t>3.18p</w:t>
                  </w:r>
                </w:p>
              </w:tc>
              <w:tc>
                <w:tcPr>
                  <w:tcW w:w="1393" w:type="dxa"/>
                </w:tcPr>
                <w:p w14:paraId="4EC3FB06" w14:textId="77777777" w:rsidR="00A77594" w:rsidRPr="0021682C" w:rsidDel="006C3892" w:rsidRDefault="00A77594" w:rsidP="00A77594">
                  <w:pPr>
                    <w:jc w:val="right"/>
                    <w:rPr>
                      <w:rFonts w:ascii="Arial" w:hAnsi="Arial" w:cs="Arial"/>
                      <w:sz w:val="24"/>
                      <w:szCs w:val="24"/>
                    </w:rPr>
                  </w:pPr>
                  <w:r w:rsidRPr="0021682C">
                    <w:rPr>
                      <w:rFonts w:ascii="Arial" w:hAnsi="Arial" w:cs="Arial"/>
                      <w:sz w:val="24"/>
                      <w:szCs w:val="24"/>
                    </w:rPr>
                    <w:t>3.15p</w:t>
                  </w:r>
                </w:p>
              </w:tc>
              <w:tc>
                <w:tcPr>
                  <w:tcW w:w="1367" w:type="dxa"/>
                  <w:gridSpan w:val="2"/>
                </w:tcPr>
                <w:p w14:paraId="4F81FDEE" w14:textId="706F2D6F" w:rsidR="00A77594" w:rsidRPr="0021682C" w:rsidDel="006C3892" w:rsidRDefault="00A77594">
                  <w:pPr>
                    <w:jc w:val="right"/>
                    <w:rPr>
                      <w:rFonts w:ascii="Arial" w:hAnsi="Arial" w:cs="Arial"/>
                      <w:sz w:val="24"/>
                      <w:szCs w:val="24"/>
                    </w:rPr>
                  </w:pPr>
                  <w:r w:rsidRPr="009325A3">
                    <w:rPr>
                      <w:rFonts w:ascii="Arial" w:hAnsi="Arial" w:cs="Arial"/>
                      <w:sz w:val="24"/>
                      <w:szCs w:val="24"/>
                    </w:rPr>
                    <w:t>+</w:t>
                  </w:r>
                  <w:r w:rsidR="0021682C" w:rsidRPr="009325A3">
                    <w:rPr>
                      <w:rFonts w:ascii="Arial" w:hAnsi="Arial" w:cs="Arial"/>
                      <w:sz w:val="24"/>
                      <w:szCs w:val="24"/>
                    </w:rPr>
                    <w:t>1.0</w:t>
                  </w:r>
                  <w:r w:rsidRPr="009325A3">
                    <w:rPr>
                      <w:rFonts w:ascii="Arial" w:hAnsi="Arial" w:cs="Arial"/>
                      <w:sz w:val="24"/>
                      <w:szCs w:val="24"/>
                    </w:rPr>
                    <w:t>%</w:t>
                  </w:r>
                </w:p>
              </w:tc>
              <w:tc>
                <w:tcPr>
                  <w:tcW w:w="1191" w:type="dxa"/>
                </w:tcPr>
                <w:p w14:paraId="48F76AC1" w14:textId="77777777" w:rsidR="00A77594" w:rsidRPr="000971B9" w:rsidRDefault="00A77594" w:rsidP="00A77594">
                  <w:pPr>
                    <w:jc w:val="right"/>
                    <w:rPr>
                      <w:rFonts w:ascii="Arial" w:hAnsi="Arial" w:cs="Arial"/>
                      <w:sz w:val="24"/>
                      <w:szCs w:val="24"/>
                    </w:rPr>
                  </w:pPr>
                </w:p>
              </w:tc>
              <w:tc>
                <w:tcPr>
                  <w:tcW w:w="1347" w:type="dxa"/>
                </w:tcPr>
                <w:p w14:paraId="56C7390A" w14:textId="77777777" w:rsidR="00A77594" w:rsidRPr="000971B9" w:rsidRDefault="00A77594" w:rsidP="00A77594">
                  <w:pPr>
                    <w:jc w:val="right"/>
                    <w:rPr>
                      <w:rFonts w:ascii="Arial" w:hAnsi="Arial" w:cs="Arial"/>
                      <w:sz w:val="24"/>
                      <w:szCs w:val="24"/>
                    </w:rPr>
                  </w:pPr>
                </w:p>
              </w:tc>
            </w:tr>
            <w:tr w:rsidR="00A77594" w:rsidRPr="000971B9" w14:paraId="45B2431C" w14:textId="77777777" w:rsidTr="00A77594">
              <w:tc>
                <w:tcPr>
                  <w:tcW w:w="2763" w:type="dxa"/>
                  <w:tcBorders>
                    <w:bottom w:val="single" w:sz="4" w:space="0" w:color="auto"/>
                  </w:tcBorders>
                </w:tcPr>
                <w:p w14:paraId="52BADF36" w14:textId="77777777" w:rsidR="00A77594" w:rsidRPr="000971B9" w:rsidRDefault="00A77594" w:rsidP="00A77594">
                  <w:pPr>
                    <w:ind w:right="-352"/>
                    <w:jc w:val="left"/>
                    <w:rPr>
                      <w:rFonts w:ascii="Arial" w:hAnsi="Arial" w:cs="Arial"/>
                      <w:sz w:val="24"/>
                      <w:szCs w:val="24"/>
                    </w:rPr>
                  </w:pPr>
                  <w:r w:rsidRPr="000971B9">
                    <w:rPr>
                      <w:rFonts w:ascii="Arial" w:hAnsi="Arial" w:cs="Arial"/>
                      <w:sz w:val="24"/>
                      <w:szCs w:val="24"/>
                    </w:rPr>
                    <w:t>Net cash*</w:t>
                  </w:r>
                </w:p>
              </w:tc>
              <w:tc>
                <w:tcPr>
                  <w:tcW w:w="1395" w:type="dxa"/>
                  <w:tcBorders>
                    <w:bottom w:val="single" w:sz="4" w:space="0" w:color="auto"/>
                  </w:tcBorders>
                </w:tcPr>
                <w:p w14:paraId="6611EB03" w14:textId="77777777" w:rsidR="00A77594" w:rsidRPr="000971B9" w:rsidRDefault="00A77594" w:rsidP="00A77594">
                  <w:pPr>
                    <w:jc w:val="right"/>
                    <w:rPr>
                      <w:rFonts w:ascii="Arial" w:hAnsi="Arial" w:cs="Arial"/>
                      <w:sz w:val="24"/>
                      <w:szCs w:val="24"/>
                    </w:rPr>
                  </w:pPr>
                  <w:r w:rsidRPr="000971B9">
                    <w:rPr>
                      <w:rFonts w:ascii="Arial" w:hAnsi="Arial" w:cs="Arial"/>
                      <w:sz w:val="24"/>
                      <w:szCs w:val="24"/>
                    </w:rPr>
                    <w:t>£</w:t>
                  </w:r>
                  <w:r>
                    <w:rPr>
                      <w:rFonts w:ascii="Arial" w:hAnsi="Arial" w:cs="Arial"/>
                      <w:sz w:val="24"/>
                      <w:szCs w:val="24"/>
                    </w:rPr>
                    <w:t>435</w:t>
                  </w:r>
                  <w:r w:rsidRPr="000971B9">
                    <w:rPr>
                      <w:rFonts w:ascii="Arial" w:hAnsi="Arial" w:cs="Arial"/>
                      <w:sz w:val="24"/>
                      <w:szCs w:val="24"/>
                    </w:rPr>
                    <w:t>m</w:t>
                  </w:r>
                </w:p>
              </w:tc>
              <w:tc>
                <w:tcPr>
                  <w:tcW w:w="1393" w:type="dxa"/>
                  <w:tcBorders>
                    <w:bottom w:val="single" w:sz="4" w:space="0" w:color="auto"/>
                  </w:tcBorders>
                </w:tcPr>
                <w:p w14:paraId="5871CE78" w14:textId="77777777" w:rsidR="00A77594" w:rsidRPr="00686158" w:rsidRDefault="00A77594" w:rsidP="00A77594">
                  <w:pPr>
                    <w:jc w:val="right"/>
                    <w:rPr>
                      <w:rFonts w:ascii="Arial" w:hAnsi="Arial" w:cs="Arial"/>
                      <w:sz w:val="24"/>
                      <w:szCs w:val="24"/>
                    </w:rPr>
                  </w:pPr>
                  <w:r w:rsidRPr="00686158">
                    <w:rPr>
                      <w:rFonts w:ascii="Arial" w:hAnsi="Arial" w:cs="Arial"/>
                      <w:sz w:val="24"/>
                      <w:szCs w:val="24"/>
                    </w:rPr>
                    <w:t>£</w:t>
                  </w:r>
                  <w:r>
                    <w:rPr>
                      <w:rFonts w:ascii="Arial" w:hAnsi="Arial" w:cs="Arial"/>
                      <w:sz w:val="24"/>
                      <w:szCs w:val="24"/>
                    </w:rPr>
                    <w:t>496</w:t>
                  </w:r>
                  <w:r w:rsidRPr="00686158">
                    <w:rPr>
                      <w:rFonts w:ascii="Arial" w:hAnsi="Arial" w:cs="Arial"/>
                      <w:sz w:val="24"/>
                      <w:szCs w:val="24"/>
                    </w:rPr>
                    <w:t>m</w:t>
                  </w:r>
                </w:p>
              </w:tc>
              <w:tc>
                <w:tcPr>
                  <w:tcW w:w="1367" w:type="dxa"/>
                  <w:gridSpan w:val="2"/>
                  <w:tcBorders>
                    <w:bottom w:val="single" w:sz="4" w:space="0" w:color="auto"/>
                  </w:tcBorders>
                </w:tcPr>
                <w:p w14:paraId="210ABF84" w14:textId="77777777" w:rsidR="00A77594" w:rsidRPr="000971B9" w:rsidRDefault="00A77594" w:rsidP="00A77594">
                  <w:pPr>
                    <w:jc w:val="right"/>
                    <w:rPr>
                      <w:rFonts w:ascii="Arial" w:hAnsi="Arial" w:cs="Arial"/>
                      <w:sz w:val="24"/>
                      <w:szCs w:val="24"/>
                    </w:rPr>
                  </w:pPr>
                  <w:r w:rsidRPr="000971B9">
                    <w:rPr>
                      <w:rFonts w:ascii="Arial" w:hAnsi="Arial" w:cs="Arial"/>
                      <w:sz w:val="24"/>
                      <w:szCs w:val="24"/>
                    </w:rPr>
                    <w:t>n/a</w:t>
                  </w:r>
                </w:p>
              </w:tc>
              <w:tc>
                <w:tcPr>
                  <w:tcW w:w="1191" w:type="dxa"/>
                  <w:tcBorders>
                    <w:bottom w:val="single" w:sz="4" w:space="0" w:color="auto"/>
                  </w:tcBorders>
                </w:tcPr>
                <w:p w14:paraId="3461F056" w14:textId="77777777" w:rsidR="00A77594" w:rsidRPr="000971B9" w:rsidRDefault="00A77594" w:rsidP="00A77594">
                  <w:pPr>
                    <w:jc w:val="right"/>
                    <w:rPr>
                      <w:rFonts w:ascii="Arial" w:hAnsi="Arial" w:cs="Arial"/>
                      <w:sz w:val="24"/>
                      <w:szCs w:val="24"/>
                    </w:rPr>
                  </w:pPr>
                </w:p>
              </w:tc>
              <w:tc>
                <w:tcPr>
                  <w:tcW w:w="1347" w:type="dxa"/>
                  <w:tcBorders>
                    <w:bottom w:val="single" w:sz="4" w:space="0" w:color="auto"/>
                  </w:tcBorders>
                </w:tcPr>
                <w:p w14:paraId="2C4DF4BA" w14:textId="77777777" w:rsidR="00A77594" w:rsidRPr="000971B9" w:rsidRDefault="00A77594" w:rsidP="00A77594">
                  <w:pPr>
                    <w:jc w:val="right"/>
                    <w:rPr>
                      <w:rFonts w:ascii="Arial" w:hAnsi="Arial" w:cs="Arial"/>
                      <w:sz w:val="24"/>
                      <w:szCs w:val="24"/>
                    </w:rPr>
                  </w:pPr>
                </w:p>
              </w:tc>
            </w:tr>
          </w:tbl>
          <w:p w14:paraId="6BAFB5AB" w14:textId="56419B4C" w:rsidR="00A0289E" w:rsidRPr="00926779" w:rsidRDefault="00A77594" w:rsidP="00926779">
            <w:pPr>
              <w:jc w:val="left"/>
              <w:rPr>
                <w:rFonts w:ascii="Arial" w:hAnsi="Arial" w:cs="Arial"/>
                <w:b/>
                <w:bCs/>
                <w:sz w:val="24"/>
                <w:szCs w:val="24"/>
                <w:u w:val="single"/>
              </w:rPr>
            </w:pPr>
            <w:r w:rsidRPr="00E2024A">
              <w:rPr>
                <w:rFonts w:ascii="Arial" w:hAnsi="Arial" w:cs="Arial"/>
                <w:i/>
                <w:vanish/>
                <w:sz w:val="18"/>
                <w:szCs w:val="18"/>
              </w:rPr>
              <w:cr/>
              <w:t xml:space="preserve">August 2014ed 1ax profit []ies, </w:t>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sz w:val="18"/>
                <w:szCs w:val="18"/>
              </w:rPr>
              <w:t xml:space="preserve">*Throughout this release ‘*’ indicates first instance of </w:t>
            </w:r>
            <w:r w:rsidR="002D541F">
              <w:rPr>
                <w:rFonts w:ascii="Arial" w:hAnsi="Arial" w:cs="Arial"/>
                <w:i/>
                <w:sz w:val="18"/>
                <w:szCs w:val="18"/>
              </w:rPr>
              <w:t>a term defined in the Glossary (section 5)</w:t>
            </w:r>
            <w:r w:rsidRPr="00E2024A">
              <w:rPr>
                <w:rFonts w:ascii="Arial" w:hAnsi="Arial" w:cs="Arial"/>
                <w:i/>
                <w:sz w:val="18"/>
                <w:szCs w:val="18"/>
              </w:rPr>
              <w:t>.</w:t>
            </w:r>
          </w:p>
          <w:p w14:paraId="49A239B1" w14:textId="5BD05852" w:rsidR="00A77594" w:rsidRDefault="00A77594" w:rsidP="00926779">
            <w:pPr>
              <w:pStyle w:val="ListParagraph"/>
              <w:numPr>
                <w:ilvl w:val="0"/>
                <w:numId w:val="28"/>
              </w:numPr>
              <w:jc w:val="left"/>
              <w:rPr>
                <w:rFonts w:ascii="Arial" w:hAnsi="Arial" w:cs="Arial"/>
                <w:bCs/>
                <w:sz w:val="24"/>
                <w:szCs w:val="24"/>
              </w:rPr>
            </w:pPr>
            <w:r w:rsidRPr="001545E7">
              <w:rPr>
                <w:rFonts w:ascii="Arial" w:hAnsi="Arial" w:cs="Arial"/>
                <w:bCs/>
                <w:sz w:val="24"/>
                <w:szCs w:val="24"/>
              </w:rPr>
              <w:t xml:space="preserve">Total </w:t>
            </w:r>
            <w:r w:rsidR="00D320DD" w:rsidRPr="00DE1E5B">
              <w:rPr>
                <w:rFonts w:ascii="Arial" w:hAnsi="Arial" w:cs="Arial"/>
                <w:b/>
                <w:bCs/>
                <w:sz w:val="24"/>
                <w:szCs w:val="24"/>
              </w:rPr>
              <w:t xml:space="preserve">adjusted </w:t>
            </w:r>
            <w:r w:rsidRPr="001545E7">
              <w:rPr>
                <w:rFonts w:ascii="Arial" w:hAnsi="Arial" w:cs="Arial"/>
                <w:b/>
                <w:bCs/>
                <w:sz w:val="24"/>
                <w:szCs w:val="24"/>
              </w:rPr>
              <w:t>sales</w:t>
            </w:r>
            <w:r w:rsidRPr="00926779">
              <w:rPr>
                <w:rFonts w:ascii="Arial" w:hAnsi="Arial" w:cs="Arial"/>
                <w:bCs/>
                <w:sz w:val="24"/>
                <w:szCs w:val="24"/>
              </w:rPr>
              <w:t xml:space="preserve"> in constant currencies up 3.5% (France +1.1%; UK &amp; Ireland +4.6%; Other International +5.7%)</w:t>
            </w:r>
          </w:p>
          <w:p w14:paraId="15047B7A" w14:textId="311B6B4A" w:rsidR="00E537A4" w:rsidRPr="00926779" w:rsidRDefault="00E537A4" w:rsidP="00926779">
            <w:pPr>
              <w:pStyle w:val="ListParagraph"/>
              <w:numPr>
                <w:ilvl w:val="0"/>
                <w:numId w:val="28"/>
              </w:numPr>
              <w:jc w:val="left"/>
              <w:rPr>
                <w:rFonts w:ascii="Arial" w:hAnsi="Arial" w:cs="Arial"/>
                <w:bCs/>
                <w:sz w:val="24"/>
                <w:szCs w:val="24"/>
              </w:rPr>
            </w:pPr>
            <w:r w:rsidRPr="009325A3">
              <w:rPr>
                <w:rFonts w:ascii="Arial" w:hAnsi="Arial" w:cs="Arial"/>
                <w:b/>
                <w:bCs/>
                <w:sz w:val="24"/>
                <w:szCs w:val="24"/>
              </w:rPr>
              <w:t>Retail profit</w:t>
            </w:r>
            <w:r>
              <w:rPr>
                <w:rFonts w:ascii="Arial" w:hAnsi="Arial" w:cs="Arial"/>
                <w:bCs/>
                <w:sz w:val="24"/>
                <w:szCs w:val="24"/>
              </w:rPr>
              <w:t xml:space="preserve"> in constant currencies up 5.0% (France (5.7)%; UK &amp; Ireland +16.8%; Other International +3.0%)</w:t>
            </w:r>
          </w:p>
          <w:p w14:paraId="2716E1FA" w14:textId="27C571B4" w:rsidR="00A0289E" w:rsidRPr="00926779" w:rsidRDefault="00A77594" w:rsidP="00926779">
            <w:pPr>
              <w:pStyle w:val="ListParagraph"/>
              <w:numPr>
                <w:ilvl w:val="0"/>
                <w:numId w:val="28"/>
              </w:numPr>
              <w:jc w:val="left"/>
              <w:rPr>
                <w:rFonts w:ascii="Arial" w:hAnsi="Arial" w:cs="Arial"/>
                <w:bCs/>
                <w:sz w:val="24"/>
                <w:szCs w:val="24"/>
              </w:rPr>
            </w:pPr>
            <w:r w:rsidRPr="00926779">
              <w:rPr>
                <w:rFonts w:ascii="Arial" w:hAnsi="Arial" w:cs="Arial"/>
                <w:b/>
                <w:bCs/>
                <w:sz w:val="24"/>
                <w:szCs w:val="24"/>
              </w:rPr>
              <w:t>Adjusted pre-tax profit</w:t>
            </w:r>
            <w:r w:rsidRPr="00926779">
              <w:rPr>
                <w:rFonts w:ascii="Arial" w:hAnsi="Arial" w:cs="Arial"/>
                <w:bCs/>
                <w:sz w:val="24"/>
                <w:szCs w:val="24"/>
              </w:rPr>
              <w:t xml:space="preserve"> of £384m driven by strong UK profit growth, offset by £29m adverse foreign exchange movements on the translation of non-sterling profits </w:t>
            </w:r>
          </w:p>
          <w:p w14:paraId="6DA085E7" w14:textId="742EE652" w:rsidR="00A77594" w:rsidRPr="00926779" w:rsidRDefault="00A77594" w:rsidP="00926779">
            <w:pPr>
              <w:pStyle w:val="ListParagraph"/>
              <w:numPr>
                <w:ilvl w:val="0"/>
                <w:numId w:val="28"/>
              </w:numPr>
              <w:jc w:val="left"/>
              <w:rPr>
                <w:rFonts w:ascii="Arial" w:hAnsi="Arial" w:cs="Arial"/>
                <w:bCs/>
                <w:sz w:val="24"/>
                <w:szCs w:val="24"/>
              </w:rPr>
            </w:pPr>
            <w:r w:rsidRPr="00926779">
              <w:rPr>
                <w:rFonts w:ascii="Arial" w:hAnsi="Arial" w:cs="Arial"/>
                <w:bCs/>
                <w:sz w:val="24"/>
                <w:szCs w:val="24"/>
              </w:rPr>
              <w:t>£</w:t>
            </w:r>
            <w:r w:rsidR="0004288F">
              <w:rPr>
                <w:rFonts w:ascii="Arial" w:hAnsi="Arial" w:cs="Arial"/>
                <w:bCs/>
                <w:sz w:val="24"/>
                <w:szCs w:val="24"/>
              </w:rPr>
              <w:t xml:space="preserve">160m </w:t>
            </w:r>
            <w:r w:rsidRPr="00926779">
              <w:rPr>
                <w:rFonts w:ascii="Arial" w:hAnsi="Arial" w:cs="Arial"/>
                <w:bCs/>
                <w:sz w:val="24"/>
                <w:szCs w:val="24"/>
              </w:rPr>
              <w:t xml:space="preserve">returned </w:t>
            </w:r>
            <w:r w:rsidR="006D4243">
              <w:rPr>
                <w:rFonts w:ascii="Arial" w:hAnsi="Arial" w:cs="Arial"/>
                <w:bCs/>
                <w:sz w:val="24"/>
                <w:szCs w:val="24"/>
              </w:rPr>
              <w:t xml:space="preserve">to date </w:t>
            </w:r>
            <w:r w:rsidRPr="00926779">
              <w:rPr>
                <w:rFonts w:ascii="Arial" w:hAnsi="Arial" w:cs="Arial"/>
                <w:bCs/>
                <w:sz w:val="24"/>
                <w:szCs w:val="24"/>
              </w:rPr>
              <w:t xml:space="preserve">via a </w:t>
            </w:r>
            <w:r w:rsidR="00453AB5" w:rsidRPr="00926779">
              <w:rPr>
                <w:rFonts w:ascii="Arial" w:hAnsi="Arial" w:cs="Arial"/>
                <w:b/>
                <w:bCs/>
                <w:sz w:val="24"/>
                <w:szCs w:val="24"/>
              </w:rPr>
              <w:t>share buy</w:t>
            </w:r>
            <w:r w:rsidRPr="00926779">
              <w:rPr>
                <w:rFonts w:ascii="Arial" w:hAnsi="Arial" w:cs="Arial"/>
                <w:b/>
                <w:bCs/>
                <w:sz w:val="24"/>
                <w:szCs w:val="24"/>
              </w:rPr>
              <w:t>back</w:t>
            </w:r>
            <w:r w:rsidRPr="00926779">
              <w:rPr>
                <w:rFonts w:ascii="Arial" w:hAnsi="Arial" w:cs="Arial"/>
                <w:bCs/>
                <w:sz w:val="24"/>
                <w:szCs w:val="24"/>
              </w:rPr>
              <w:t xml:space="preserve"> since year end (</w:t>
            </w:r>
            <w:r w:rsidR="00AC761A" w:rsidRPr="00E21AA0">
              <w:rPr>
                <w:rFonts w:ascii="Arial" w:hAnsi="Arial" w:cs="Arial"/>
                <w:bCs/>
                <w:sz w:val="24"/>
                <w:szCs w:val="24"/>
              </w:rPr>
              <w:t>44.7</w:t>
            </w:r>
            <w:r w:rsidRPr="00E21AA0">
              <w:rPr>
                <w:rFonts w:ascii="Arial" w:hAnsi="Arial" w:cs="Arial"/>
                <w:bCs/>
                <w:sz w:val="24"/>
                <w:szCs w:val="24"/>
              </w:rPr>
              <w:t>m</w:t>
            </w:r>
            <w:r w:rsidRPr="00926779">
              <w:rPr>
                <w:rFonts w:ascii="Arial" w:hAnsi="Arial" w:cs="Arial"/>
                <w:bCs/>
                <w:sz w:val="24"/>
                <w:szCs w:val="24"/>
              </w:rPr>
              <w:t xml:space="preserve"> shares), part of the previously announced £200</w:t>
            </w:r>
            <w:r w:rsidR="006D4243">
              <w:rPr>
                <w:rFonts w:ascii="Arial" w:hAnsi="Arial" w:cs="Arial"/>
                <w:bCs/>
                <w:sz w:val="24"/>
                <w:szCs w:val="24"/>
              </w:rPr>
              <w:t>m</w:t>
            </w:r>
            <w:r w:rsidRPr="00926779">
              <w:rPr>
                <w:rFonts w:ascii="Arial" w:hAnsi="Arial" w:cs="Arial"/>
                <w:bCs/>
                <w:sz w:val="24"/>
                <w:szCs w:val="24"/>
              </w:rPr>
              <w:t xml:space="preserve"> due to be returned during FY</w:t>
            </w:r>
            <w:r w:rsidR="00E537A4">
              <w:rPr>
                <w:rFonts w:ascii="Arial" w:hAnsi="Arial" w:cs="Arial"/>
                <w:bCs/>
                <w:sz w:val="24"/>
                <w:szCs w:val="24"/>
              </w:rPr>
              <w:t xml:space="preserve"> </w:t>
            </w:r>
            <w:r w:rsidRPr="00926779">
              <w:rPr>
                <w:rFonts w:ascii="Arial" w:hAnsi="Arial" w:cs="Arial"/>
                <w:bCs/>
                <w:sz w:val="24"/>
                <w:szCs w:val="24"/>
              </w:rPr>
              <w:t xml:space="preserve">2015/16 </w:t>
            </w:r>
          </w:p>
          <w:p w14:paraId="4EF41256" w14:textId="77777777" w:rsidR="00A77594" w:rsidRDefault="00A77594" w:rsidP="0054624C">
            <w:pPr>
              <w:jc w:val="left"/>
              <w:rPr>
                <w:rFonts w:ascii="Arial" w:hAnsi="Arial" w:cs="Arial"/>
                <w:bCs/>
                <w:sz w:val="24"/>
                <w:szCs w:val="24"/>
              </w:rPr>
            </w:pPr>
          </w:p>
        </w:tc>
      </w:tr>
    </w:tbl>
    <w:p w14:paraId="76DF49E1" w14:textId="230505A7" w:rsidR="00A77594" w:rsidRPr="009325A3" w:rsidRDefault="00A77594" w:rsidP="0054624C">
      <w:pPr>
        <w:jc w:val="left"/>
        <w:rPr>
          <w:rFonts w:ascii="Arial" w:hAnsi="Arial" w:cs="Arial"/>
          <w:bCs/>
          <w:sz w:val="12"/>
          <w:szCs w:val="12"/>
        </w:rPr>
      </w:pPr>
    </w:p>
    <w:tbl>
      <w:tblPr>
        <w:tblStyle w:val="TableGrid"/>
        <w:tblW w:w="0" w:type="auto"/>
        <w:tblLook w:val="04A0" w:firstRow="1" w:lastRow="0" w:firstColumn="1" w:lastColumn="0" w:noHBand="0" w:noVBand="1"/>
      </w:tblPr>
      <w:tblGrid>
        <w:gridCol w:w="9631"/>
      </w:tblGrid>
      <w:tr w:rsidR="00A77594" w14:paraId="6831F5D0" w14:textId="77777777" w:rsidTr="00926779">
        <w:tc>
          <w:tcPr>
            <w:tcW w:w="9631" w:type="dxa"/>
            <w:tcBorders>
              <w:bottom w:val="nil"/>
            </w:tcBorders>
          </w:tcPr>
          <w:p w14:paraId="42D32BAA" w14:textId="77777777" w:rsidR="00A77594" w:rsidRDefault="00A77594" w:rsidP="00926779">
            <w:pPr>
              <w:jc w:val="center"/>
              <w:rPr>
                <w:rFonts w:ascii="Arial" w:hAnsi="Arial" w:cs="Arial"/>
                <w:b/>
                <w:sz w:val="24"/>
                <w:szCs w:val="24"/>
                <w:u w:val="single"/>
              </w:rPr>
            </w:pPr>
          </w:p>
          <w:p w14:paraId="10D674F3" w14:textId="77777777" w:rsidR="004D003D" w:rsidRDefault="00A77594" w:rsidP="00926779">
            <w:pPr>
              <w:jc w:val="center"/>
              <w:rPr>
                <w:rFonts w:ascii="Arial" w:hAnsi="Arial" w:cs="Arial"/>
                <w:b/>
                <w:sz w:val="24"/>
                <w:szCs w:val="24"/>
                <w:u w:val="single"/>
              </w:rPr>
            </w:pPr>
            <w:r w:rsidRPr="00CE2620">
              <w:rPr>
                <w:rFonts w:ascii="Arial" w:hAnsi="Arial" w:cs="Arial"/>
                <w:b/>
                <w:sz w:val="24"/>
                <w:szCs w:val="24"/>
                <w:u w:val="single"/>
              </w:rPr>
              <w:t>S</w:t>
            </w:r>
            <w:r>
              <w:rPr>
                <w:rFonts w:ascii="Arial" w:hAnsi="Arial" w:cs="Arial"/>
                <w:b/>
                <w:sz w:val="24"/>
                <w:szCs w:val="24"/>
                <w:u w:val="single"/>
              </w:rPr>
              <w:t>olid</w:t>
            </w:r>
            <w:r w:rsidRPr="00CE2620">
              <w:rPr>
                <w:rFonts w:ascii="Arial" w:hAnsi="Arial" w:cs="Arial"/>
                <w:b/>
                <w:sz w:val="24"/>
                <w:szCs w:val="24"/>
                <w:u w:val="single"/>
              </w:rPr>
              <w:t xml:space="preserve"> earl</w:t>
            </w:r>
            <w:r w:rsidR="004D003D">
              <w:rPr>
                <w:rFonts w:ascii="Arial" w:hAnsi="Arial" w:cs="Arial"/>
                <w:b/>
                <w:sz w:val="24"/>
                <w:szCs w:val="24"/>
                <w:u w:val="single"/>
              </w:rPr>
              <w:t xml:space="preserve">y progress with </w:t>
            </w:r>
            <w:r w:rsidR="00D742A4">
              <w:rPr>
                <w:rFonts w:ascii="Arial" w:hAnsi="Arial" w:cs="Arial"/>
                <w:b/>
                <w:sz w:val="24"/>
                <w:szCs w:val="24"/>
                <w:u w:val="single"/>
              </w:rPr>
              <w:t>our</w:t>
            </w:r>
            <w:r>
              <w:rPr>
                <w:rFonts w:ascii="Arial" w:hAnsi="Arial" w:cs="Arial"/>
                <w:b/>
                <w:sz w:val="24"/>
                <w:szCs w:val="24"/>
                <w:u w:val="single"/>
              </w:rPr>
              <w:t xml:space="preserve"> first ‘sharp’ decisions</w:t>
            </w:r>
            <w:r w:rsidR="004D003D">
              <w:rPr>
                <w:rFonts w:ascii="Arial" w:hAnsi="Arial" w:cs="Arial"/>
                <w:b/>
                <w:sz w:val="24"/>
                <w:szCs w:val="24"/>
                <w:u w:val="single"/>
              </w:rPr>
              <w:t xml:space="preserve"> as we progress towards</w:t>
            </w:r>
          </w:p>
          <w:p w14:paraId="6658D661" w14:textId="0E51443B" w:rsidR="00A77594" w:rsidRPr="00CE2620" w:rsidRDefault="004D003D" w:rsidP="00926779">
            <w:pPr>
              <w:jc w:val="center"/>
              <w:rPr>
                <w:rFonts w:ascii="Arial" w:hAnsi="Arial" w:cs="Arial"/>
                <w:b/>
                <w:sz w:val="24"/>
                <w:szCs w:val="24"/>
                <w:u w:val="single"/>
              </w:rPr>
            </w:pPr>
            <w:r>
              <w:rPr>
                <w:rFonts w:ascii="Arial" w:hAnsi="Arial" w:cs="Arial"/>
                <w:b/>
                <w:sz w:val="24"/>
                <w:szCs w:val="24"/>
                <w:u w:val="single"/>
              </w:rPr>
              <w:t xml:space="preserve"> ‘ONE’ Kingfisher</w:t>
            </w:r>
            <w:r w:rsidR="00A77594">
              <w:rPr>
                <w:rFonts w:ascii="Arial" w:hAnsi="Arial" w:cs="Arial"/>
                <w:b/>
                <w:sz w:val="24"/>
                <w:szCs w:val="24"/>
                <w:u w:val="single"/>
              </w:rPr>
              <w:t>:</w:t>
            </w:r>
          </w:p>
          <w:p w14:paraId="63E1BE92" w14:textId="77777777" w:rsidR="00A77594" w:rsidRDefault="00A77594" w:rsidP="00926779">
            <w:pPr>
              <w:jc w:val="center"/>
              <w:rPr>
                <w:rFonts w:ascii="Arial" w:hAnsi="Arial" w:cs="Arial"/>
                <w:b/>
                <w:sz w:val="24"/>
                <w:szCs w:val="24"/>
              </w:rPr>
            </w:pPr>
          </w:p>
          <w:p w14:paraId="2E0E7B9D" w14:textId="1C3ED90B" w:rsidR="00A77594" w:rsidRPr="006F2006" w:rsidRDefault="00EA7E88" w:rsidP="00926779">
            <w:pPr>
              <w:jc w:val="left"/>
              <w:rPr>
                <w:rFonts w:ascii="Arial" w:hAnsi="Arial" w:cs="Arial"/>
                <w:sz w:val="24"/>
                <w:szCs w:val="24"/>
              </w:rPr>
            </w:pPr>
            <w:r w:rsidRPr="001545E7">
              <w:rPr>
                <w:rFonts w:ascii="Arial" w:hAnsi="Arial" w:cs="Arial"/>
                <w:b/>
                <w:sz w:val="24"/>
                <w:szCs w:val="24"/>
                <w:u w:val="single"/>
              </w:rPr>
              <w:t>CUSTOMER &amp; OFFER</w:t>
            </w:r>
            <w:r>
              <w:rPr>
                <w:rFonts w:ascii="Arial" w:hAnsi="Arial" w:cs="Arial"/>
                <w:b/>
                <w:sz w:val="24"/>
                <w:szCs w:val="24"/>
              </w:rPr>
              <w:t xml:space="preserve">: </w:t>
            </w:r>
            <w:r w:rsidR="0069269B">
              <w:rPr>
                <w:rFonts w:ascii="Arial" w:hAnsi="Arial" w:cs="Arial"/>
                <w:b/>
                <w:sz w:val="24"/>
                <w:szCs w:val="24"/>
              </w:rPr>
              <w:t>G</w:t>
            </w:r>
            <w:r w:rsidR="00A77594">
              <w:rPr>
                <w:rFonts w:ascii="Arial" w:hAnsi="Arial" w:cs="Arial"/>
                <w:b/>
                <w:sz w:val="24"/>
                <w:szCs w:val="24"/>
              </w:rPr>
              <w:t xml:space="preserve">ood </w:t>
            </w:r>
            <w:r w:rsidR="004D003D">
              <w:rPr>
                <w:rFonts w:ascii="Arial" w:hAnsi="Arial" w:cs="Arial"/>
                <w:b/>
                <w:sz w:val="24"/>
                <w:szCs w:val="24"/>
              </w:rPr>
              <w:t xml:space="preserve">early </w:t>
            </w:r>
            <w:r w:rsidR="00A77594">
              <w:rPr>
                <w:rFonts w:ascii="Arial" w:hAnsi="Arial" w:cs="Arial"/>
                <w:b/>
                <w:sz w:val="24"/>
                <w:szCs w:val="24"/>
              </w:rPr>
              <w:t>progress in u</w:t>
            </w:r>
            <w:r w:rsidR="00A77594" w:rsidRPr="004B173A">
              <w:rPr>
                <w:rFonts w:ascii="Arial" w:hAnsi="Arial" w:cs="Arial"/>
                <w:b/>
                <w:sz w:val="24"/>
                <w:szCs w:val="24"/>
              </w:rPr>
              <w:t>nifying our</w:t>
            </w:r>
            <w:r w:rsidR="00A77594">
              <w:rPr>
                <w:rFonts w:ascii="Arial" w:hAnsi="Arial" w:cs="Arial"/>
                <w:b/>
                <w:sz w:val="24"/>
                <w:szCs w:val="24"/>
              </w:rPr>
              <w:t xml:space="preserve"> offer</w:t>
            </w:r>
          </w:p>
          <w:p w14:paraId="7CA91471" w14:textId="3AB6D068" w:rsidR="00A77594" w:rsidRDefault="00A77594" w:rsidP="00926779">
            <w:pPr>
              <w:pStyle w:val="ListParagraph"/>
              <w:numPr>
                <w:ilvl w:val="0"/>
                <w:numId w:val="29"/>
              </w:numPr>
              <w:jc w:val="left"/>
              <w:rPr>
                <w:rFonts w:ascii="Arial" w:hAnsi="Arial" w:cs="Arial"/>
                <w:sz w:val="24"/>
                <w:szCs w:val="24"/>
              </w:rPr>
            </w:pPr>
            <w:r>
              <w:rPr>
                <w:rFonts w:ascii="Arial" w:hAnsi="Arial" w:cs="Arial"/>
                <w:sz w:val="24"/>
                <w:szCs w:val="24"/>
              </w:rPr>
              <w:t xml:space="preserve">First wave of unifying our </w:t>
            </w:r>
            <w:r w:rsidRPr="008D335E">
              <w:rPr>
                <w:rFonts w:ascii="Arial" w:hAnsi="Arial" w:cs="Arial"/>
                <w:sz w:val="24"/>
                <w:szCs w:val="24"/>
              </w:rPr>
              <w:t>‘core essential’ range</w:t>
            </w:r>
            <w:r w:rsidR="002D541F">
              <w:rPr>
                <w:rFonts w:ascii="Arial" w:hAnsi="Arial" w:cs="Arial"/>
                <w:sz w:val="24"/>
                <w:szCs w:val="24"/>
              </w:rPr>
              <w:t xml:space="preserve">s </w:t>
            </w:r>
            <w:r>
              <w:rPr>
                <w:rFonts w:ascii="Arial" w:hAnsi="Arial" w:cs="Arial"/>
                <w:sz w:val="24"/>
                <w:szCs w:val="24"/>
              </w:rPr>
              <w:t>to land in stores</w:t>
            </w:r>
            <w:r w:rsidR="004D003D">
              <w:rPr>
                <w:rFonts w:ascii="Arial" w:hAnsi="Arial" w:cs="Arial"/>
                <w:sz w:val="24"/>
                <w:szCs w:val="24"/>
              </w:rPr>
              <w:t xml:space="preserve"> next year</w:t>
            </w:r>
          </w:p>
          <w:p w14:paraId="7D822E28" w14:textId="77777777" w:rsidR="00A77594" w:rsidRDefault="00A77594" w:rsidP="00EF42EF">
            <w:pPr>
              <w:jc w:val="left"/>
              <w:rPr>
                <w:rFonts w:ascii="Arial" w:hAnsi="Arial" w:cs="Arial"/>
                <w:b/>
                <w:sz w:val="24"/>
                <w:szCs w:val="24"/>
              </w:rPr>
            </w:pPr>
          </w:p>
          <w:p w14:paraId="06319F28" w14:textId="054DDB0C" w:rsidR="00A77594" w:rsidRPr="00AC761A" w:rsidRDefault="00EA7E88" w:rsidP="00EF42EF">
            <w:pPr>
              <w:jc w:val="left"/>
              <w:rPr>
                <w:rFonts w:ascii="Arial" w:hAnsi="Arial" w:cs="Arial"/>
                <w:sz w:val="24"/>
                <w:szCs w:val="24"/>
              </w:rPr>
            </w:pPr>
            <w:r w:rsidRPr="001545E7">
              <w:rPr>
                <w:rFonts w:ascii="Arial" w:hAnsi="Arial" w:cs="Arial"/>
                <w:b/>
                <w:sz w:val="24"/>
                <w:szCs w:val="24"/>
                <w:u w:val="single"/>
              </w:rPr>
              <w:t xml:space="preserve">RETAIL </w:t>
            </w:r>
            <w:r w:rsidRPr="00D320DD">
              <w:rPr>
                <w:rFonts w:ascii="Arial" w:hAnsi="Arial" w:cs="Arial"/>
                <w:b/>
                <w:sz w:val="24"/>
                <w:szCs w:val="24"/>
                <w:u w:val="single"/>
              </w:rPr>
              <w:t>OPERATIONS</w:t>
            </w:r>
            <w:r>
              <w:rPr>
                <w:rFonts w:ascii="Arial" w:hAnsi="Arial" w:cs="Arial"/>
                <w:b/>
                <w:sz w:val="24"/>
                <w:szCs w:val="24"/>
              </w:rPr>
              <w:t xml:space="preserve">: </w:t>
            </w:r>
            <w:r w:rsidR="0069269B">
              <w:rPr>
                <w:rFonts w:ascii="Arial" w:hAnsi="Arial" w:cs="Arial"/>
                <w:b/>
                <w:sz w:val="24"/>
                <w:szCs w:val="24"/>
              </w:rPr>
              <w:t>S</w:t>
            </w:r>
            <w:r w:rsidR="00A77594">
              <w:rPr>
                <w:rFonts w:ascii="Arial" w:hAnsi="Arial" w:cs="Arial"/>
                <w:b/>
                <w:sz w:val="24"/>
                <w:szCs w:val="24"/>
              </w:rPr>
              <w:t>pace</w:t>
            </w:r>
            <w:r>
              <w:rPr>
                <w:rFonts w:ascii="Arial" w:hAnsi="Arial" w:cs="Arial"/>
                <w:b/>
                <w:sz w:val="24"/>
                <w:szCs w:val="24"/>
              </w:rPr>
              <w:t xml:space="preserve"> </w:t>
            </w:r>
            <w:r w:rsidR="00D320DD">
              <w:rPr>
                <w:rFonts w:ascii="Arial" w:hAnsi="Arial" w:cs="Arial"/>
                <w:b/>
                <w:sz w:val="24"/>
                <w:szCs w:val="24"/>
              </w:rPr>
              <w:t>-</w:t>
            </w:r>
            <w:r>
              <w:rPr>
                <w:rFonts w:ascii="Arial" w:hAnsi="Arial" w:cs="Arial"/>
                <w:b/>
                <w:sz w:val="24"/>
                <w:szCs w:val="24"/>
              </w:rPr>
              <w:t xml:space="preserve"> </w:t>
            </w:r>
            <w:r w:rsidR="00A77594" w:rsidRPr="00AC761A">
              <w:rPr>
                <w:rFonts w:ascii="Arial" w:hAnsi="Arial" w:cs="Arial"/>
                <w:b/>
                <w:sz w:val="24"/>
                <w:szCs w:val="24"/>
              </w:rPr>
              <w:t>rationalisation on track</w:t>
            </w:r>
            <w:r w:rsidR="00952810">
              <w:rPr>
                <w:rFonts w:ascii="Arial" w:hAnsi="Arial" w:cs="Arial"/>
                <w:b/>
                <w:sz w:val="24"/>
                <w:szCs w:val="24"/>
              </w:rPr>
              <w:t xml:space="preserve">; announcing </w:t>
            </w:r>
            <w:r w:rsidR="00952810" w:rsidRPr="00AC761A">
              <w:rPr>
                <w:rFonts w:ascii="Arial" w:hAnsi="Arial" w:cs="Arial"/>
                <w:b/>
                <w:sz w:val="24"/>
                <w:szCs w:val="24"/>
              </w:rPr>
              <w:t>Screwfix</w:t>
            </w:r>
            <w:r w:rsidR="007B3341">
              <w:rPr>
                <w:rFonts w:ascii="Arial" w:hAnsi="Arial" w:cs="Arial"/>
                <w:b/>
                <w:sz w:val="24"/>
                <w:szCs w:val="24"/>
              </w:rPr>
              <w:t xml:space="preserve"> UK</w:t>
            </w:r>
            <w:r w:rsidR="00952810" w:rsidRPr="00AC761A">
              <w:rPr>
                <w:rFonts w:ascii="Arial" w:hAnsi="Arial" w:cs="Arial"/>
                <w:b/>
                <w:sz w:val="24"/>
                <w:szCs w:val="24"/>
              </w:rPr>
              <w:t xml:space="preserve"> expansion</w:t>
            </w:r>
          </w:p>
          <w:p w14:paraId="5A59FFD7" w14:textId="535F8543" w:rsidR="00A77594" w:rsidRPr="00AC761A" w:rsidRDefault="00A77594" w:rsidP="00926779">
            <w:pPr>
              <w:pStyle w:val="ListParagraph"/>
              <w:numPr>
                <w:ilvl w:val="0"/>
                <w:numId w:val="29"/>
              </w:numPr>
              <w:jc w:val="left"/>
              <w:rPr>
                <w:rFonts w:ascii="Arial" w:hAnsi="Arial" w:cs="Arial"/>
                <w:sz w:val="24"/>
                <w:szCs w:val="24"/>
              </w:rPr>
            </w:pPr>
            <w:r w:rsidRPr="00AC761A">
              <w:rPr>
                <w:rFonts w:ascii="Arial" w:hAnsi="Arial" w:cs="Arial"/>
                <w:sz w:val="24"/>
                <w:szCs w:val="24"/>
              </w:rPr>
              <w:t>On track to close c.15% B&amp;Q surplus space by end of FY 2016/17 (c.60 stores)</w:t>
            </w:r>
            <w:r w:rsidR="000643D9">
              <w:rPr>
                <w:rFonts w:ascii="Arial" w:hAnsi="Arial" w:cs="Arial"/>
                <w:sz w:val="24"/>
                <w:szCs w:val="24"/>
              </w:rPr>
              <w:t xml:space="preserve"> in over-spaced catchments</w:t>
            </w:r>
            <w:r w:rsidRPr="00AC761A">
              <w:rPr>
                <w:rFonts w:ascii="Arial" w:hAnsi="Arial" w:cs="Arial"/>
                <w:sz w:val="24"/>
                <w:szCs w:val="24"/>
              </w:rPr>
              <w:t xml:space="preserve">; </w:t>
            </w:r>
            <w:r w:rsidR="007F5570">
              <w:rPr>
                <w:rFonts w:ascii="Arial" w:hAnsi="Arial" w:cs="Arial"/>
                <w:sz w:val="24"/>
                <w:szCs w:val="24"/>
              </w:rPr>
              <w:t>exit</w:t>
            </w:r>
            <w:r w:rsidR="000643D9">
              <w:rPr>
                <w:rFonts w:ascii="Arial" w:hAnsi="Arial" w:cs="Arial"/>
                <w:sz w:val="24"/>
                <w:szCs w:val="24"/>
              </w:rPr>
              <w:t xml:space="preserve"> of</w:t>
            </w:r>
            <w:r w:rsidRPr="00AC761A">
              <w:rPr>
                <w:rFonts w:ascii="Arial" w:hAnsi="Arial" w:cs="Arial"/>
                <w:sz w:val="24"/>
                <w:szCs w:val="24"/>
              </w:rPr>
              <w:t xml:space="preserve"> leases</w:t>
            </w:r>
            <w:r w:rsidR="000643D9">
              <w:rPr>
                <w:rFonts w:ascii="Arial" w:hAnsi="Arial" w:cs="Arial"/>
                <w:sz w:val="24"/>
                <w:szCs w:val="24"/>
              </w:rPr>
              <w:t xml:space="preserve"> secured</w:t>
            </w:r>
            <w:r w:rsidRPr="00AC761A">
              <w:rPr>
                <w:rFonts w:ascii="Arial" w:hAnsi="Arial" w:cs="Arial"/>
                <w:sz w:val="24"/>
                <w:szCs w:val="24"/>
              </w:rPr>
              <w:t xml:space="preserve"> on 2</w:t>
            </w:r>
            <w:r w:rsidR="00AC761A">
              <w:rPr>
                <w:rFonts w:ascii="Arial" w:hAnsi="Arial" w:cs="Arial"/>
                <w:sz w:val="24"/>
                <w:szCs w:val="24"/>
              </w:rPr>
              <w:t>6</w:t>
            </w:r>
            <w:r w:rsidRPr="00AC761A">
              <w:rPr>
                <w:rFonts w:ascii="Arial" w:hAnsi="Arial" w:cs="Arial"/>
                <w:sz w:val="24"/>
                <w:szCs w:val="24"/>
              </w:rPr>
              <w:t xml:space="preserve"> of the </w:t>
            </w:r>
            <w:r w:rsidR="00A0289E" w:rsidRPr="00AC761A">
              <w:rPr>
                <w:rFonts w:ascii="Arial" w:hAnsi="Arial" w:cs="Arial"/>
                <w:sz w:val="24"/>
                <w:szCs w:val="24"/>
              </w:rPr>
              <w:t>stores</w:t>
            </w:r>
          </w:p>
          <w:p w14:paraId="49B8D2C4" w14:textId="715DB6BB" w:rsidR="00A77594" w:rsidRDefault="00833B9B" w:rsidP="00926779">
            <w:pPr>
              <w:pStyle w:val="ListParagraph"/>
              <w:numPr>
                <w:ilvl w:val="0"/>
                <w:numId w:val="29"/>
              </w:numPr>
              <w:jc w:val="left"/>
              <w:rPr>
                <w:rFonts w:ascii="Arial" w:hAnsi="Arial" w:cs="Arial"/>
                <w:sz w:val="24"/>
                <w:szCs w:val="24"/>
              </w:rPr>
            </w:pPr>
            <w:r w:rsidRPr="00926779">
              <w:rPr>
                <w:rFonts w:ascii="Arial" w:hAnsi="Arial" w:cs="Arial"/>
                <w:sz w:val="24"/>
                <w:szCs w:val="24"/>
              </w:rPr>
              <w:t>Announc</w:t>
            </w:r>
            <w:r>
              <w:rPr>
                <w:rFonts w:ascii="Arial" w:hAnsi="Arial" w:cs="Arial"/>
                <w:sz w:val="24"/>
                <w:szCs w:val="24"/>
              </w:rPr>
              <w:t>ed</w:t>
            </w:r>
            <w:r w:rsidRPr="00926779">
              <w:rPr>
                <w:rFonts w:ascii="Arial" w:hAnsi="Arial" w:cs="Arial"/>
                <w:sz w:val="24"/>
                <w:szCs w:val="24"/>
              </w:rPr>
              <w:t xml:space="preserve"> </w:t>
            </w:r>
            <w:r w:rsidR="004D003D">
              <w:rPr>
                <w:rFonts w:ascii="Arial" w:hAnsi="Arial" w:cs="Arial"/>
                <w:sz w:val="24"/>
                <w:szCs w:val="24"/>
              </w:rPr>
              <w:t xml:space="preserve">closure of </w:t>
            </w:r>
            <w:r w:rsidR="00A77594" w:rsidRPr="00926779">
              <w:rPr>
                <w:rFonts w:ascii="Arial" w:hAnsi="Arial" w:cs="Arial"/>
                <w:sz w:val="24"/>
                <w:szCs w:val="24"/>
              </w:rPr>
              <w:t>2</w:t>
            </w:r>
            <w:r w:rsidR="007F5570">
              <w:rPr>
                <w:rFonts w:ascii="Arial" w:hAnsi="Arial" w:cs="Arial"/>
                <w:sz w:val="24"/>
                <w:szCs w:val="24"/>
              </w:rPr>
              <w:t xml:space="preserve"> stores</w:t>
            </w:r>
            <w:r w:rsidR="00A77594" w:rsidRPr="00926779">
              <w:rPr>
                <w:rFonts w:ascii="Arial" w:hAnsi="Arial" w:cs="Arial"/>
                <w:sz w:val="24"/>
                <w:szCs w:val="24"/>
              </w:rPr>
              <w:t xml:space="preserve"> in France</w:t>
            </w:r>
            <w:r w:rsidR="007F5570">
              <w:rPr>
                <w:rFonts w:ascii="Arial" w:hAnsi="Arial" w:cs="Arial"/>
                <w:sz w:val="24"/>
                <w:szCs w:val="24"/>
              </w:rPr>
              <w:t xml:space="preserve"> and</w:t>
            </w:r>
            <w:r w:rsidR="004F79C5">
              <w:rPr>
                <w:rFonts w:ascii="Arial" w:hAnsi="Arial" w:cs="Arial"/>
                <w:sz w:val="24"/>
                <w:szCs w:val="24"/>
              </w:rPr>
              <w:t xml:space="preserve"> </w:t>
            </w:r>
            <w:r w:rsidR="00A77594" w:rsidRPr="00926779">
              <w:rPr>
                <w:rFonts w:ascii="Arial" w:hAnsi="Arial" w:cs="Arial"/>
                <w:sz w:val="24"/>
                <w:szCs w:val="24"/>
              </w:rPr>
              <w:t>1 in Russia</w:t>
            </w:r>
          </w:p>
          <w:p w14:paraId="6BEB200D" w14:textId="77777777" w:rsidR="00952810" w:rsidRPr="00AC761A" w:rsidRDefault="00952810" w:rsidP="00952810">
            <w:pPr>
              <w:pStyle w:val="ListParagraph"/>
              <w:numPr>
                <w:ilvl w:val="0"/>
                <w:numId w:val="29"/>
              </w:numPr>
              <w:jc w:val="left"/>
              <w:rPr>
                <w:rFonts w:ascii="Arial" w:hAnsi="Arial" w:cs="Arial"/>
                <w:sz w:val="24"/>
                <w:szCs w:val="24"/>
              </w:rPr>
            </w:pPr>
            <w:r w:rsidRPr="00AC761A">
              <w:rPr>
                <w:rFonts w:ascii="Arial" w:hAnsi="Arial" w:cs="Arial"/>
                <w:sz w:val="24"/>
                <w:szCs w:val="24"/>
              </w:rPr>
              <w:t xml:space="preserve">Announcing potential for a further 200 Screwfix UK outlets from 412 today; Screwfix Germany trial on track </w:t>
            </w:r>
          </w:p>
          <w:p w14:paraId="527A861D" w14:textId="77777777" w:rsidR="00A77594" w:rsidRDefault="00A77594" w:rsidP="00926779">
            <w:pPr>
              <w:jc w:val="center"/>
              <w:rPr>
                <w:rFonts w:ascii="Arial" w:hAnsi="Arial" w:cs="Arial"/>
                <w:sz w:val="24"/>
                <w:szCs w:val="24"/>
              </w:rPr>
            </w:pPr>
          </w:p>
          <w:p w14:paraId="7BF07C6C" w14:textId="5A513B43" w:rsidR="00EA7E88" w:rsidRDefault="00956FAD" w:rsidP="00EF42EF">
            <w:pPr>
              <w:jc w:val="left"/>
              <w:rPr>
                <w:rFonts w:ascii="Arial" w:hAnsi="Arial" w:cs="Arial"/>
                <w:b/>
                <w:sz w:val="24"/>
                <w:szCs w:val="24"/>
              </w:rPr>
            </w:pPr>
            <w:r>
              <w:rPr>
                <w:rFonts w:ascii="Arial" w:hAnsi="Arial" w:cs="Arial"/>
                <w:b/>
                <w:sz w:val="24"/>
                <w:szCs w:val="24"/>
                <w:u w:val="single"/>
              </w:rPr>
              <w:t>INFRASTRUCTURE &amp; PROCESSES</w:t>
            </w:r>
            <w:r w:rsidR="00EA7E88">
              <w:rPr>
                <w:rFonts w:ascii="Arial" w:hAnsi="Arial" w:cs="Arial"/>
                <w:b/>
                <w:sz w:val="24"/>
                <w:szCs w:val="24"/>
              </w:rPr>
              <w:t xml:space="preserve">: </w:t>
            </w:r>
          </w:p>
          <w:p w14:paraId="4177E95E" w14:textId="5FECAAEB" w:rsidR="00A77594" w:rsidRPr="00EF42EF" w:rsidRDefault="00A77594" w:rsidP="00EF42EF">
            <w:pPr>
              <w:jc w:val="left"/>
              <w:rPr>
                <w:rFonts w:ascii="Arial" w:hAnsi="Arial" w:cs="Arial"/>
                <w:b/>
                <w:sz w:val="24"/>
                <w:szCs w:val="24"/>
              </w:rPr>
            </w:pPr>
            <w:r w:rsidRPr="001545E7">
              <w:rPr>
                <w:rFonts w:ascii="Arial" w:hAnsi="Arial" w:cs="Arial"/>
                <w:b/>
                <w:sz w:val="24"/>
                <w:szCs w:val="24"/>
              </w:rPr>
              <w:t>Prog</w:t>
            </w:r>
            <w:r w:rsidRPr="00EF42EF">
              <w:rPr>
                <w:rFonts w:ascii="Arial" w:hAnsi="Arial" w:cs="Arial"/>
                <w:b/>
                <w:sz w:val="24"/>
                <w:szCs w:val="24"/>
              </w:rPr>
              <w:t xml:space="preserve">ramme to unify </w:t>
            </w:r>
            <w:r w:rsidR="00D320DD" w:rsidRPr="00EF42EF">
              <w:rPr>
                <w:rFonts w:ascii="Arial" w:hAnsi="Arial" w:cs="Arial"/>
                <w:b/>
                <w:sz w:val="24"/>
                <w:szCs w:val="24"/>
              </w:rPr>
              <w:t>G</w:t>
            </w:r>
            <w:r w:rsidRPr="00EF42EF">
              <w:rPr>
                <w:rFonts w:ascii="Arial" w:hAnsi="Arial" w:cs="Arial"/>
                <w:b/>
                <w:sz w:val="24"/>
                <w:szCs w:val="24"/>
              </w:rPr>
              <w:t xml:space="preserve">oods </w:t>
            </w:r>
            <w:r w:rsidR="00D320DD" w:rsidRPr="00EF42EF">
              <w:rPr>
                <w:rFonts w:ascii="Arial" w:hAnsi="Arial" w:cs="Arial"/>
                <w:b/>
                <w:sz w:val="24"/>
                <w:szCs w:val="24"/>
              </w:rPr>
              <w:t>N</w:t>
            </w:r>
            <w:r w:rsidRPr="00EF42EF">
              <w:rPr>
                <w:rFonts w:ascii="Arial" w:hAnsi="Arial" w:cs="Arial"/>
                <w:b/>
                <w:sz w:val="24"/>
                <w:szCs w:val="24"/>
              </w:rPr>
              <w:t xml:space="preserve">ot </w:t>
            </w:r>
            <w:r w:rsidR="00D320DD" w:rsidRPr="00EF42EF">
              <w:rPr>
                <w:rFonts w:ascii="Arial" w:hAnsi="Arial" w:cs="Arial"/>
                <w:b/>
                <w:sz w:val="24"/>
                <w:szCs w:val="24"/>
              </w:rPr>
              <w:t>F</w:t>
            </w:r>
            <w:r w:rsidRPr="00EF42EF">
              <w:rPr>
                <w:rFonts w:ascii="Arial" w:hAnsi="Arial" w:cs="Arial"/>
                <w:b/>
                <w:sz w:val="24"/>
                <w:szCs w:val="24"/>
              </w:rPr>
              <w:t xml:space="preserve">or </w:t>
            </w:r>
            <w:r w:rsidR="00D320DD" w:rsidRPr="00EF42EF">
              <w:rPr>
                <w:rFonts w:ascii="Arial" w:hAnsi="Arial" w:cs="Arial"/>
                <w:b/>
                <w:sz w:val="24"/>
                <w:szCs w:val="24"/>
              </w:rPr>
              <w:t>R</w:t>
            </w:r>
            <w:r w:rsidRPr="00EF42EF">
              <w:rPr>
                <w:rFonts w:ascii="Arial" w:hAnsi="Arial" w:cs="Arial"/>
                <w:b/>
                <w:sz w:val="24"/>
                <w:szCs w:val="24"/>
              </w:rPr>
              <w:t>esale</w:t>
            </w:r>
            <w:r w:rsidR="00EA7E88">
              <w:rPr>
                <w:rFonts w:ascii="Arial" w:hAnsi="Arial" w:cs="Arial"/>
                <w:b/>
                <w:sz w:val="24"/>
                <w:szCs w:val="24"/>
              </w:rPr>
              <w:t xml:space="preserve"> (GNFR*)</w:t>
            </w:r>
            <w:r w:rsidRPr="00EF42EF">
              <w:rPr>
                <w:rFonts w:ascii="Arial" w:hAnsi="Arial" w:cs="Arial"/>
                <w:b/>
                <w:sz w:val="24"/>
                <w:szCs w:val="24"/>
              </w:rPr>
              <w:t xml:space="preserve"> underway</w:t>
            </w:r>
          </w:p>
          <w:p w14:paraId="363C3B21" w14:textId="39584525" w:rsidR="00A77594" w:rsidRDefault="00A77594" w:rsidP="00926779">
            <w:pPr>
              <w:pStyle w:val="ListParagraph"/>
              <w:numPr>
                <w:ilvl w:val="0"/>
                <w:numId w:val="30"/>
              </w:numPr>
              <w:jc w:val="left"/>
              <w:rPr>
                <w:rFonts w:ascii="Arial" w:hAnsi="Arial" w:cs="Arial"/>
                <w:sz w:val="24"/>
                <w:szCs w:val="24"/>
              </w:rPr>
            </w:pPr>
            <w:r w:rsidRPr="00A2464E">
              <w:rPr>
                <w:rFonts w:ascii="Arial" w:hAnsi="Arial" w:cs="Arial"/>
                <w:sz w:val="24"/>
                <w:szCs w:val="24"/>
              </w:rPr>
              <w:t xml:space="preserve">First wave </w:t>
            </w:r>
            <w:r>
              <w:rPr>
                <w:rFonts w:ascii="Arial" w:hAnsi="Arial" w:cs="Arial"/>
                <w:sz w:val="24"/>
                <w:szCs w:val="24"/>
              </w:rPr>
              <w:t xml:space="preserve">of </w:t>
            </w:r>
            <w:r w:rsidR="0094756F">
              <w:rPr>
                <w:rFonts w:ascii="Arial" w:hAnsi="Arial" w:cs="Arial"/>
                <w:sz w:val="24"/>
                <w:szCs w:val="24"/>
              </w:rPr>
              <w:t xml:space="preserve">unified </w:t>
            </w:r>
            <w:r>
              <w:rPr>
                <w:rFonts w:ascii="Arial" w:hAnsi="Arial" w:cs="Arial"/>
                <w:sz w:val="24"/>
                <w:szCs w:val="24"/>
              </w:rPr>
              <w:t>spend (£35</w:t>
            </w:r>
            <w:r w:rsidR="00A667A7">
              <w:rPr>
                <w:rFonts w:ascii="Arial" w:hAnsi="Arial" w:cs="Arial"/>
                <w:sz w:val="24"/>
                <w:szCs w:val="24"/>
              </w:rPr>
              <w:t xml:space="preserve">0m) on track to land next year </w:t>
            </w:r>
          </w:p>
          <w:p w14:paraId="3FB535CF" w14:textId="12CA68F7" w:rsidR="00A77594" w:rsidRPr="004B173A" w:rsidRDefault="00A77594" w:rsidP="00926779">
            <w:pPr>
              <w:rPr>
                <w:rFonts w:ascii="Arial" w:hAnsi="Arial" w:cs="Arial"/>
                <w:b/>
                <w:sz w:val="24"/>
                <w:szCs w:val="24"/>
              </w:rPr>
            </w:pPr>
            <w:r w:rsidRPr="004B173A">
              <w:rPr>
                <w:rFonts w:ascii="Arial" w:hAnsi="Arial" w:cs="Arial"/>
                <w:b/>
                <w:sz w:val="24"/>
                <w:szCs w:val="24"/>
              </w:rPr>
              <w:t>Unif</w:t>
            </w:r>
            <w:r>
              <w:rPr>
                <w:rFonts w:ascii="Arial" w:hAnsi="Arial" w:cs="Arial"/>
                <w:b/>
                <w:sz w:val="24"/>
                <w:szCs w:val="24"/>
              </w:rPr>
              <w:t>ied IT platform</w:t>
            </w:r>
            <w:r w:rsidR="00EA7E88">
              <w:rPr>
                <w:rFonts w:ascii="Arial" w:hAnsi="Arial" w:cs="Arial"/>
                <w:b/>
                <w:sz w:val="24"/>
                <w:szCs w:val="24"/>
              </w:rPr>
              <w:t>, key enabler of ‘ONE’ Kingfisher</w:t>
            </w:r>
            <w:r>
              <w:rPr>
                <w:rFonts w:ascii="Arial" w:hAnsi="Arial" w:cs="Arial"/>
                <w:b/>
                <w:sz w:val="24"/>
                <w:szCs w:val="24"/>
              </w:rPr>
              <w:t xml:space="preserve"> on track</w:t>
            </w:r>
          </w:p>
          <w:p w14:paraId="25DE115B" w14:textId="5F717A48" w:rsidR="00A77594" w:rsidRPr="00AC761A" w:rsidRDefault="00A77594" w:rsidP="001545E7">
            <w:pPr>
              <w:pStyle w:val="ListParagraph"/>
              <w:numPr>
                <w:ilvl w:val="0"/>
                <w:numId w:val="30"/>
              </w:numPr>
              <w:jc w:val="left"/>
              <w:rPr>
                <w:rFonts w:ascii="Arial" w:hAnsi="Arial" w:cs="Arial"/>
                <w:sz w:val="24"/>
                <w:szCs w:val="24"/>
              </w:rPr>
            </w:pPr>
            <w:r w:rsidRPr="00AC761A">
              <w:rPr>
                <w:rFonts w:ascii="Arial" w:hAnsi="Arial" w:cs="Arial"/>
                <w:sz w:val="24"/>
                <w:szCs w:val="24"/>
              </w:rPr>
              <w:t>Ireland pilot started on time and working well</w:t>
            </w:r>
          </w:p>
          <w:p w14:paraId="2FBEC375" w14:textId="526F1685" w:rsidR="00A77594" w:rsidRPr="001545E7" w:rsidRDefault="00A77594" w:rsidP="00EF42EF">
            <w:pPr>
              <w:pStyle w:val="ListParagraph"/>
              <w:numPr>
                <w:ilvl w:val="0"/>
                <w:numId w:val="30"/>
              </w:numPr>
              <w:jc w:val="left"/>
              <w:rPr>
                <w:rFonts w:ascii="Arial" w:hAnsi="Arial" w:cs="Arial"/>
                <w:b/>
                <w:sz w:val="24"/>
                <w:szCs w:val="24"/>
                <w:u w:val="single"/>
              </w:rPr>
            </w:pPr>
            <w:r w:rsidRPr="001545E7">
              <w:rPr>
                <w:rFonts w:ascii="Arial" w:hAnsi="Arial" w:cs="Arial"/>
                <w:sz w:val="24"/>
                <w:szCs w:val="24"/>
              </w:rPr>
              <w:t>Announcing acceleration of rollout</w:t>
            </w:r>
            <w:r w:rsidR="00AC761A" w:rsidRPr="00EA7E88">
              <w:rPr>
                <w:rFonts w:ascii="Arial" w:hAnsi="Arial" w:cs="Arial"/>
                <w:sz w:val="24"/>
                <w:szCs w:val="24"/>
              </w:rPr>
              <w:t xml:space="preserve"> (</w:t>
            </w:r>
            <w:r w:rsidRPr="00EA7E88">
              <w:rPr>
                <w:rFonts w:ascii="Arial" w:hAnsi="Arial" w:cs="Arial"/>
                <w:sz w:val="24"/>
                <w:szCs w:val="24"/>
              </w:rPr>
              <w:t xml:space="preserve">to complete by end of </w:t>
            </w:r>
            <w:r w:rsidR="003E41A4">
              <w:rPr>
                <w:rFonts w:ascii="Arial" w:hAnsi="Arial" w:cs="Arial"/>
                <w:sz w:val="24"/>
                <w:szCs w:val="24"/>
              </w:rPr>
              <w:t>FY</w:t>
            </w:r>
            <w:r w:rsidR="00DE6D32">
              <w:rPr>
                <w:rFonts w:ascii="Arial" w:hAnsi="Arial" w:cs="Arial"/>
                <w:sz w:val="24"/>
                <w:szCs w:val="24"/>
              </w:rPr>
              <w:t xml:space="preserve"> </w:t>
            </w:r>
            <w:r w:rsidRPr="00EA7E88">
              <w:rPr>
                <w:rFonts w:ascii="Arial" w:hAnsi="Arial" w:cs="Arial"/>
                <w:sz w:val="24"/>
                <w:szCs w:val="24"/>
              </w:rPr>
              <w:t>201</w:t>
            </w:r>
            <w:r w:rsidR="00A93DD2">
              <w:rPr>
                <w:rFonts w:ascii="Arial" w:hAnsi="Arial" w:cs="Arial"/>
                <w:sz w:val="24"/>
                <w:szCs w:val="24"/>
              </w:rPr>
              <w:t>8/</w:t>
            </w:r>
            <w:r w:rsidR="003E41A4">
              <w:rPr>
                <w:rFonts w:ascii="Arial" w:hAnsi="Arial" w:cs="Arial"/>
                <w:sz w:val="24"/>
                <w:szCs w:val="24"/>
              </w:rPr>
              <w:t>1</w:t>
            </w:r>
            <w:r w:rsidR="00A93DD2">
              <w:rPr>
                <w:rFonts w:ascii="Arial" w:hAnsi="Arial" w:cs="Arial"/>
                <w:sz w:val="24"/>
                <w:szCs w:val="24"/>
              </w:rPr>
              <w:t>9</w:t>
            </w:r>
            <w:r w:rsidR="00AC761A" w:rsidRPr="00EA7E88">
              <w:rPr>
                <w:rFonts w:ascii="Arial" w:hAnsi="Arial" w:cs="Arial"/>
                <w:sz w:val="24"/>
                <w:szCs w:val="24"/>
              </w:rPr>
              <w:t xml:space="preserve">) </w:t>
            </w:r>
          </w:p>
          <w:p w14:paraId="3945EF51" w14:textId="77777777" w:rsidR="00EA7E88" w:rsidRDefault="00EA7E88" w:rsidP="00E21AA0">
            <w:pPr>
              <w:rPr>
                <w:rFonts w:ascii="Arial" w:hAnsi="Arial" w:cs="Arial"/>
                <w:b/>
                <w:sz w:val="24"/>
                <w:szCs w:val="24"/>
              </w:rPr>
            </w:pPr>
          </w:p>
          <w:p w14:paraId="165F7C58" w14:textId="1EA182C3" w:rsidR="00984A0A" w:rsidRPr="00926779" w:rsidRDefault="00EA7E88" w:rsidP="00E21AA0">
            <w:pPr>
              <w:rPr>
                <w:rFonts w:ascii="Arial" w:hAnsi="Arial" w:cs="Arial"/>
                <w:b/>
                <w:sz w:val="24"/>
                <w:szCs w:val="24"/>
              </w:rPr>
            </w:pPr>
            <w:r w:rsidRPr="001545E7">
              <w:rPr>
                <w:rFonts w:ascii="Arial" w:hAnsi="Arial" w:cs="Arial"/>
                <w:b/>
                <w:sz w:val="24"/>
                <w:szCs w:val="24"/>
                <w:u w:val="single"/>
              </w:rPr>
              <w:t>PEOPLE:</w:t>
            </w:r>
            <w:r>
              <w:rPr>
                <w:rFonts w:ascii="Arial" w:hAnsi="Arial" w:cs="Arial"/>
                <w:b/>
                <w:sz w:val="24"/>
                <w:szCs w:val="24"/>
              </w:rPr>
              <w:t xml:space="preserve"> </w:t>
            </w:r>
            <w:r w:rsidR="00A77594">
              <w:rPr>
                <w:rFonts w:ascii="Arial" w:hAnsi="Arial" w:cs="Arial"/>
                <w:b/>
                <w:sz w:val="24"/>
                <w:szCs w:val="24"/>
              </w:rPr>
              <w:t>Finalised leaders</w:t>
            </w:r>
            <w:r w:rsidR="004D003D">
              <w:rPr>
                <w:rFonts w:ascii="Arial" w:hAnsi="Arial" w:cs="Arial"/>
                <w:b/>
                <w:sz w:val="24"/>
                <w:szCs w:val="24"/>
              </w:rPr>
              <w:t>hip team with appointment of Chief People Officer</w:t>
            </w:r>
          </w:p>
        </w:tc>
      </w:tr>
      <w:tr w:rsidR="00A667A7" w14:paraId="6371CF88" w14:textId="77777777" w:rsidTr="00926779">
        <w:tc>
          <w:tcPr>
            <w:tcW w:w="9631" w:type="dxa"/>
            <w:tcBorders>
              <w:top w:val="nil"/>
            </w:tcBorders>
          </w:tcPr>
          <w:p w14:paraId="3FACCE44" w14:textId="77777777" w:rsidR="00984A0A" w:rsidRDefault="00984A0A" w:rsidP="00926779">
            <w:pPr>
              <w:rPr>
                <w:rFonts w:ascii="Arial" w:hAnsi="Arial" w:cs="Arial"/>
                <w:b/>
                <w:sz w:val="24"/>
                <w:szCs w:val="24"/>
                <w:u w:val="single"/>
              </w:rPr>
            </w:pPr>
          </w:p>
        </w:tc>
      </w:tr>
    </w:tbl>
    <w:p w14:paraId="2B0C3BEF" w14:textId="525B9A8B" w:rsidR="00FD4DC7" w:rsidRPr="000971B9" w:rsidRDefault="00FD4DC7" w:rsidP="00FD4DC7">
      <w:pPr>
        <w:rPr>
          <w:rFonts w:ascii="Arial" w:hAnsi="Arial" w:cs="Arial"/>
          <w:b/>
          <w:bCs/>
          <w:sz w:val="24"/>
          <w:szCs w:val="24"/>
        </w:rPr>
      </w:pPr>
      <w:proofErr w:type="spellStart"/>
      <w:r w:rsidRPr="008A515C">
        <w:rPr>
          <w:rFonts w:ascii="Arial" w:hAnsi="Arial" w:cs="Arial"/>
          <w:b/>
          <w:sz w:val="24"/>
          <w:szCs w:val="24"/>
        </w:rPr>
        <w:lastRenderedPageBreak/>
        <w:t>Véronique</w:t>
      </w:r>
      <w:proofErr w:type="spellEnd"/>
      <w:r w:rsidRPr="008A515C">
        <w:rPr>
          <w:rFonts w:ascii="Arial" w:hAnsi="Arial" w:cs="Arial"/>
          <w:b/>
          <w:sz w:val="24"/>
          <w:szCs w:val="24"/>
        </w:rPr>
        <w:t xml:space="preserve"> Laury, C</w:t>
      </w:r>
      <w:r>
        <w:rPr>
          <w:rFonts w:ascii="Arial" w:hAnsi="Arial" w:cs="Arial"/>
          <w:b/>
          <w:sz w:val="24"/>
          <w:szCs w:val="24"/>
        </w:rPr>
        <w:t>hief Executive</w:t>
      </w:r>
      <w:r w:rsidR="007C47AE">
        <w:rPr>
          <w:rFonts w:ascii="Arial" w:hAnsi="Arial" w:cs="Arial"/>
          <w:b/>
          <w:sz w:val="24"/>
          <w:szCs w:val="24"/>
        </w:rPr>
        <w:t xml:space="preserve"> Officer</w:t>
      </w:r>
      <w:r w:rsidRPr="008A515C">
        <w:rPr>
          <w:rFonts w:ascii="Arial" w:hAnsi="Arial" w:cs="Arial"/>
          <w:b/>
          <w:sz w:val="24"/>
          <w:szCs w:val="24"/>
        </w:rPr>
        <w:t>, said</w:t>
      </w:r>
      <w:r>
        <w:rPr>
          <w:rFonts w:ascii="Arial" w:hAnsi="Arial" w:cs="Arial"/>
          <w:b/>
          <w:bCs/>
          <w:sz w:val="24"/>
          <w:szCs w:val="24"/>
        </w:rPr>
        <w:t>:</w:t>
      </w:r>
    </w:p>
    <w:p w14:paraId="0F6408A8" w14:textId="77777777" w:rsidR="00FD4DC7" w:rsidRPr="000971B9" w:rsidRDefault="00FD4DC7" w:rsidP="00926779">
      <w:pPr>
        <w:jc w:val="left"/>
        <w:rPr>
          <w:rFonts w:ascii="Arial" w:hAnsi="Arial" w:cs="Arial"/>
          <w:bCs/>
          <w:sz w:val="24"/>
          <w:szCs w:val="24"/>
        </w:rPr>
      </w:pPr>
    </w:p>
    <w:p w14:paraId="66192DA0" w14:textId="3BB86E04" w:rsidR="00403DE1" w:rsidRDefault="00403DE1" w:rsidP="00926779">
      <w:pPr>
        <w:jc w:val="left"/>
        <w:rPr>
          <w:rFonts w:ascii="Arial" w:hAnsi="Arial" w:cs="Arial"/>
          <w:bCs/>
          <w:sz w:val="24"/>
          <w:szCs w:val="24"/>
        </w:rPr>
      </w:pPr>
      <w:r w:rsidRPr="00324281">
        <w:rPr>
          <w:rFonts w:ascii="Arial" w:hAnsi="Arial" w:cs="Arial"/>
          <w:bCs/>
          <w:sz w:val="24"/>
          <w:szCs w:val="24"/>
        </w:rPr>
        <w:t>“</w:t>
      </w:r>
      <w:r>
        <w:rPr>
          <w:rFonts w:ascii="Arial" w:hAnsi="Arial" w:cs="Arial"/>
          <w:bCs/>
          <w:sz w:val="24"/>
          <w:szCs w:val="24"/>
        </w:rPr>
        <w:t>I am pleased that we have delivered</w:t>
      </w:r>
      <w:r w:rsidRPr="00324281">
        <w:rPr>
          <w:rFonts w:ascii="Arial" w:hAnsi="Arial" w:cs="Arial"/>
          <w:bCs/>
          <w:sz w:val="24"/>
          <w:szCs w:val="24"/>
        </w:rPr>
        <w:t xml:space="preserve"> a soli</w:t>
      </w:r>
      <w:r w:rsidR="004D003D">
        <w:rPr>
          <w:rFonts w:ascii="Arial" w:hAnsi="Arial" w:cs="Arial"/>
          <w:bCs/>
          <w:sz w:val="24"/>
          <w:szCs w:val="24"/>
        </w:rPr>
        <w:t>d first half of</w:t>
      </w:r>
      <w:r>
        <w:rPr>
          <w:rFonts w:ascii="Arial" w:hAnsi="Arial" w:cs="Arial"/>
          <w:bCs/>
          <w:sz w:val="24"/>
          <w:szCs w:val="24"/>
        </w:rPr>
        <w:t xml:space="preserve"> the year and have made good early progress </w:t>
      </w:r>
      <w:r w:rsidRPr="00324281">
        <w:rPr>
          <w:rFonts w:ascii="Arial" w:hAnsi="Arial" w:cs="Arial"/>
          <w:bCs/>
          <w:sz w:val="24"/>
          <w:szCs w:val="24"/>
        </w:rPr>
        <w:t>with our ‘ONE’ Kingfisher plan</w:t>
      </w:r>
      <w:r>
        <w:rPr>
          <w:rFonts w:ascii="Arial" w:hAnsi="Arial" w:cs="Arial"/>
          <w:bCs/>
          <w:sz w:val="24"/>
          <w:szCs w:val="24"/>
        </w:rPr>
        <w:t>. This plan will unlock our potential through</w:t>
      </w:r>
      <w:r w:rsidRPr="00324281">
        <w:rPr>
          <w:rFonts w:ascii="Arial" w:hAnsi="Arial" w:cs="Arial"/>
          <w:bCs/>
          <w:sz w:val="24"/>
          <w:szCs w:val="24"/>
        </w:rPr>
        <w:t xml:space="preserve"> </w:t>
      </w:r>
      <w:r>
        <w:rPr>
          <w:rFonts w:ascii="Arial" w:hAnsi="Arial" w:cs="Arial"/>
          <w:bCs/>
          <w:sz w:val="24"/>
          <w:szCs w:val="24"/>
        </w:rPr>
        <w:t xml:space="preserve">organising ourselves very differently in order to create a </w:t>
      </w:r>
      <w:r w:rsidRPr="00324281">
        <w:rPr>
          <w:rFonts w:ascii="Arial" w:hAnsi="Arial" w:cs="Arial"/>
          <w:bCs/>
          <w:sz w:val="24"/>
          <w:szCs w:val="24"/>
        </w:rPr>
        <w:t xml:space="preserve">single, unified company where customer needs come first. </w:t>
      </w:r>
    </w:p>
    <w:p w14:paraId="06F383BA" w14:textId="77777777" w:rsidR="00403DE1" w:rsidRDefault="00403DE1" w:rsidP="00926779">
      <w:pPr>
        <w:jc w:val="left"/>
        <w:rPr>
          <w:rFonts w:ascii="Arial" w:hAnsi="Arial" w:cs="Arial"/>
          <w:bCs/>
          <w:sz w:val="24"/>
          <w:szCs w:val="24"/>
        </w:rPr>
      </w:pPr>
    </w:p>
    <w:p w14:paraId="6EF83893" w14:textId="0995FE12" w:rsidR="00403DE1" w:rsidRDefault="00403DE1" w:rsidP="00926779">
      <w:pPr>
        <w:jc w:val="left"/>
        <w:rPr>
          <w:rFonts w:ascii="Arial" w:hAnsi="Arial" w:cs="Arial"/>
          <w:bCs/>
          <w:sz w:val="24"/>
          <w:szCs w:val="24"/>
        </w:rPr>
      </w:pPr>
      <w:r>
        <w:rPr>
          <w:rFonts w:ascii="Arial" w:hAnsi="Arial" w:cs="Arial"/>
          <w:bCs/>
          <w:sz w:val="24"/>
          <w:szCs w:val="24"/>
        </w:rPr>
        <w:t xml:space="preserve">“We have been working </w:t>
      </w:r>
      <w:r w:rsidR="004D003D">
        <w:rPr>
          <w:rFonts w:ascii="Arial" w:hAnsi="Arial" w:cs="Arial"/>
          <w:bCs/>
          <w:sz w:val="24"/>
          <w:szCs w:val="24"/>
        </w:rPr>
        <w:t xml:space="preserve">at pace </w:t>
      </w:r>
      <w:r>
        <w:rPr>
          <w:rFonts w:ascii="Arial" w:hAnsi="Arial" w:cs="Arial"/>
          <w:bCs/>
          <w:sz w:val="24"/>
          <w:szCs w:val="24"/>
        </w:rPr>
        <w:t>on our set of first ‘sh</w:t>
      </w:r>
      <w:r w:rsidR="004D003D">
        <w:rPr>
          <w:rFonts w:ascii="Arial" w:hAnsi="Arial" w:cs="Arial"/>
          <w:bCs/>
          <w:sz w:val="24"/>
          <w:szCs w:val="24"/>
        </w:rPr>
        <w:t>arp’ decisions</w:t>
      </w:r>
      <w:r w:rsidR="001F0815">
        <w:rPr>
          <w:rFonts w:ascii="Arial" w:hAnsi="Arial" w:cs="Arial"/>
          <w:bCs/>
          <w:sz w:val="24"/>
          <w:szCs w:val="24"/>
        </w:rPr>
        <w:t xml:space="preserve">. </w:t>
      </w:r>
      <w:r w:rsidR="004D003D">
        <w:rPr>
          <w:rFonts w:ascii="Arial" w:hAnsi="Arial" w:cs="Arial"/>
          <w:bCs/>
          <w:sz w:val="24"/>
          <w:szCs w:val="24"/>
        </w:rPr>
        <w:t>I am particularly excited</w:t>
      </w:r>
      <w:r>
        <w:rPr>
          <w:rFonts w:ascii="Arial" w:hAnsi="Arial" w:cs="Arial"/>
          <w:bCs/>
          <w:sz w:val="24"/>
          <w:szCs w:val="24"/>
        </w:rPr>
        <w:t xml:space="preserve"> to see the first wave of unified ‘core essential’ ranges landing in stores next year</w:t>
      </w:r>
      <w:r w:rsidR="007F5570">
        <w:rPr>
          <w:rFonts w:ascii="Arial" w:hAnsi="Arial" w:cs="Arial"/>
          <w:bCs/>
          <w:sz w:val="24"/>
          <w:szCs w:val="24"/>
        </w:rPr>
        <w:t>. This is</w:t>
      </w:r>
      <w:r w:rsidR="003E41A4">
        <w:rPr>
          <w:rFonts w:ascii="Arial" w:hAnsi="Arial" w:cs="Arial"/>
          <w:bCs/>
          <w:sz w:val="24"/>
          <w:szCs w:val="24"/>
        </w:rPr>
        <w:t xml:space="preserve"> being</w:t>
      </w:r>
      <w:r>
        <w:rPr>
          <w:rFonts w:ascii="Arial" w:hAnsi="Arial" w:cs="Arial"/>
          <w:bCs/>
          <w:sz w:val="24"/>
          <w:szCs w:val="24"/>
        </w:rPr>
        <w:t xml:space="preserve"> led by Arja Taaveniku, our Chief Offer &amp; Supply Chain Officer, who joined the team in May. Furthermore, I am also delighted with the pilot of our unified IT system</w:t>
      </w:r>
      <w:r w:rsidR="007B3341">
        <w:rPr>
          <w:rFonts w:ascii="Arial" w:hAnsi="Arial" w:cs="Arial"/>
          <w:bCs/>
          <w:sz w:val="24"/>
          <w:szCs w:val="24"/>
        </w:rPr>
        <w:t xml:space="preserve"> in Ireland</w:t>
      </w:r>
      <w:r>
        <w:rPr>
          <w:rFonts w:ascii="Arial" w:hAnsi="Arial" w:cs="Arial"/>
          <w:bCs/>
          <w:sz w:val="24"/>
          <w:szCs w:val="24"/>
        </w:rPr>
        <w:t xml:space="preserve">, which we are </w:t>
      </w:r>
      <w:r w:rsidR="002D541F">
        <w:rPr>
          <w:rFonts w:ascii="Arial" w:hAnsi="Arial" w:cs="Arial"/>
          <w:bCs/>
          <w:sz w:val="24"/>
          <w:szCs w:val="24"/>
        </w:rPr>
        <w:t xml:space="preserve">now </w:t>
      </w:r>
      <w:r>
        <w:rPr>
          <w:rFonts w:ascii="Arial" w:hAnsi="Arial" w:cs="Arial"/>
          <w:bCs/>
          <w:sz w:val="24"/>
          <w:szCs w:val="24"/>
        </w:rPr>
        <w:t xml:space="preserve">able to accelerate </w:t>
      </w:r>
      <w:r w:rsidR="007B3341">
        <w:rPr>
          <w:rFonts w:ascii="Arial" w:hAnsi="Arial" w:cs="Arial"/>
          <w:bCs/>
          <w:sz w:val="24"/>
          <w:szCs w:val="24"/>
        </w:rPr>
        <w:t xml:space="preserve">across Kingfisher </w:t>
      </w:r>
      <w:r>
        <w:rPr>
          <w:rFonts w:ascii="Arial" w:hAnsi="Arial" w:cs="Arial"/>
          <w:bCs/>
          <w:sz w:val="24"/>
          <w:szCs w:val="24"/>
        </w:rPr>
        <w:t xml:space="preserve">given the success so far. This will be a key enabler of our ‘ONE’ Kingfisher journey. </w:t>
      </w:r>
    </w:p>
    <w:p w14:paraId="4711356F" w14:textId="77777777" w:rsidR="00403DE1" w:rsidRDefault="00403DE1" w:rsidP="00926779">
      <w:pPr>
        <w:jc w:val="left"/>
        <w:rPr>
          <w:rFonts w:ascii="Arial" w:hAnsi="Arial" w:cs="Arial"/>
          <w:bCs/>
          <w:sz w:val="24"/>
          <w:szCs w:val="24"/>
        </w:rPr>
      </w:pPr>
    </w:p>
    <w:p w14:paraId="439F5D5B" w14:textId="09BA504A" w:rsidR="00403DE1" w:rsidRDefault="00403DE1" w:rsidP="00926779">
      <w:pPr>
        <w:jc w:val="left"/>
        <w:rPr>
          <w:rFonts w:ascii="Arial" w:hAnsi="Arial" w:cs="Arial"/>
          <w:bCs/>
          <w:sz w:val="24"/>
          <w:szCs w:val="24"/>
        </w:rPr>
      </w:pPr>
      <w:r>
        <w:rPr>
          <w:rFonts w:ascii="Arial" w:hAnsi="Arial" w:cs="Arial"/>
          <w:bCs/>
          <w:sz w:val="24"/>
          <w:szCs w:val="24"/>
        </w:rPr>
        <w:t>“</w:t>
      </w:r>
      <w:r w:rsidR="001545E7">
        <w:rPr>
          <w:rFonts w:ascii="Arial" w:hAnsi="Arial" w:cs="Arial"/>
          <w:bCs/>
          <w:sz w:val="24"/>
          <w:szCs w:val="24"/>
        </w:rPr>
        <w:t>There remains a lot to be done</w:t>
      </w:r>
      <w:r w:rsidR="001545E7" w:rsidDel="001545E7">
        <w:rPr>
          <w:rFonts w:ascii="Arial" w:hAnsi="Arial" w:cs="Arial"/>
          <w:bCs/>
          <w:sz w:val="24"/>
          <w:szCs w:val="24"/>
        </w:rPr>
        <w:t xml:space="preserve"> </w:t>
      </w:r>
      <w:r w:rsidR="001545E7">
        <w:rPr>
          <w:rFonts w:ascii="Arial" w:hAnsi="Arial" w:cs="Arial"/>
          <w:bCs/>
          <w:sz w:val="24"/>
          <w:szCs w:val="24"/>
        </w:rPr>
        <w:t>however. Our</w:t>
      </w:r>
      <w:r w:rsidR="004D003D">
        <w:rPr>
          <w:rFonts w:ascii="Arial" w:hAnsi="Arial" w:cs="Arial"/>
          <w:bCs/>
          <w:sz w:val="24"/>
          <w:szCs w:val="24"/>
        </w:rPr>
        <w:t xml:space="preserve"> </w:t>
      </w:r>
      <w:r>
        <w:rPr>
          <w:rFonts w:ascii="Arial" w:hAnsi="Arial" w:cs="Arial"/>
          <w:bCs/>
          <w:sz w:val="24"/>
          <w:szCs w:val="24"/>
        </w:rPr>
        <w:t>leadership team</w:t>
      </w:r>
      <w:r w:rsidR="004D003D">
        <w:rPr>
          <w:rFonts w:ascii="Arial" w:hAnsi="Arial" w:cs="Arial"/>
          <w:bCs/>
          <w:sz w:val="24"/>
          <w:szCs w:val="24"/>
        </w:rPr>
        <w:t xml:space="preserve"> is now complete</w:t>
      </w:r>
      <w:r w:rsidR="001545E7">
        <w:rPr>
          <w:rFonts w:ascii="Arial" w:hAnsi="Arial" w:cs="Arial"/>
          <w:bCs/>
          <w:sz w:val="24"/>
          <w:szCs w:val="24"/>
        </w:rPr>
        <w:t xml:space="preserve"> and w</w:t>
      </w:r>
      <w:r>
        <w:rPr>
          <w:rFonts w:ascii="Arial" w:hAnsi="Arial" w:cs="Arial"/>
          <w:bCs/>
          <w:sz w:val="24"/>
          <w:szCs w:val="24"/>
        </w:rPr>
        <w:t xml:space="preserve">e </w:t>
      </w:r>
      <w:r w:rsidR="004D003D">
        <w:rPr>
          <w:rFonts w:ascii="Arial" w:hAnsi="Arial" w:cs="Arial"/>
          <w:bCs/>
          <w:sz w:val="24"/>
          <w:szCs w:val="24"/>
        </w:rPr>
        <w:t>are continuing</w:t>
      </w:r>
      <w:r>
        <w:rPr>
          <w:rFonts w:ascii="Arial" w:hAnsi="Arial" w:cs="Arial"/>
          <w:bCs/>
          <w:sz w:val="24"/>
          <w:szCs w:val="24"/>
        </w:rPr>
        <w:t xml:space="preserve"> to develop our detailed plans </w:t>
      </w:r>
      <w:r w:rsidR="001545E7">
        <w:rPr>
          <w:rFonts w:ascii="Arial" w:hAnsi="Arial" w:cs="Arial"/>
          <w:bCs/>
          <w:sz w:val="24"/>
          <w:szCs w:val="24"/>
        </w:rPr>
        <w:t xml:space="preserve">at pace </w:t>
      </w:r>
      <w:r>
        <w:rPr>
          <w:rFonts w:ascii="Arial" w:hAnsi="Arial" w:cs="Arial"/>
          <w:bCs/>
          <w:sz w:val="24"/>
          <w:szCs w:val="24"/>
        </w:rPr>
        <w:t>as we progress on this exciting journey</w:t>
      </w:r>
      <w:r w:rsidR="001545E7">
        <w:rPr>
          <w:rFonts w:ascii="Arial" w:hAnsi="Arial" w:cs="Arial"/>
          <w:bCs/>
          <w:sz w:val="24"/>
          <w:szCs w:val="24"/>
        </w:rPr>
        <w:t>.</w:t>
      </w:r>
      <w:r>
        <w:rPr>
          <w:rFonts w:ascii="Arial" w:hAnsi="Arial" w:cs="Arial"/>
          <w:bCs/>
          <w:sz w:val="24"/>
          <w:szCs w:val="24"/>
        </w:rPr>
        <w:t xml:space="preserve"> </w:t>
      </w:r>
      <w:r w:rsidR="001545E7">
        <w:rPr>
          <w:rFonts w:ascii="Arial" w:hAnsi="Arial" w:cs="Arial"/>
          <w:bCs/>
          <w:sz w:val="24"/>
          <w:szCs w:val="24"/>
        </w:rPr>
        <w:t xml:space="preserve">We </w:t>
      </w:r>
      <w:r>
        <w:rPr>
          <w:rFonts w:ascii="Arial" w:hAnsi="Arial" w:cs="Arial"/>
          <w:bCs/>
          <w:sz w:val="24"/>
          <w:szCs w:val="24"/>
        </w:rPr>
        <w:t>look forward to updating on further progress along the way.”</w:t>
      </w:r>
    </w:p>
    <w:p w14:paraId="4A362A81" w14:textId="4CBAA39B" w:rsidR="00A11776" w:rsidRDefault="00403DE1" w:rsidP="00FD4DC7">
      <w:pPr>
        <w:jc w:val="left"/>
        <w:rPr>
          <w:rFonts w:ascii="Arial" w:hAnsi="Arial" w:cs="Arial"/>
          <w:bCs/>
          <w:sz w:val="24"/>
          <w:szCs w:val="24"/>
        </w:rPr>
      </w:pPr>
      <w:r w:rsidRPr="00FD4DC7" w:rsidDel="00403DE1">
        <w:rPr>
          <w:rFonts w:ascii="Arial" w:hAnsi="Arial" w:cs="Arial"/>
          <w:bCs/>
          <w:sz w:val="24"/>
          <w:szCs w:val="24"/>
        </w:rPr>
        <w:t xml:space="preserve"> </w:t>
      </w:r>
    </w:p>
    <w:p w14:paraId="3BDFD201" w14:textId="78A7A081" w:rsidR="00FD4DC7" w:rsidRPr="0054624C" w:rsidRDefault="00FD4DC7" w:rsidP="00FD4DC7">
      <w:pPr>
        <w:jc w:val="left"/>
        <w:rPr>
          <w:rFonts w:ascii="Arial" w:hAnsi="Arial" w:cs="Arial"/>
          <w:b/>
          <w:sz w:val="24"/>
          <w:szCs w:val="24"/>
        </w:rPr>
      </w:pPr>
      <w:r w:rsidRPr="0054624C">
        <w:rPr>
          <w:rFonts w:ascii="Arial" w:hAnsi="Arial" w:cs="Arial"/>
          <w:b/>
          <w:sz w:val="24"/>
          <w:szCs w:val="24"/>
        </w:rPr>
        <w:t xml:space="preserve">Karen Witts, </w:t>
      </w:r>
      <w:r w:rsidR="007A334A">
        <w:rPr>
          <w:rFonts w:ascii="Arial" w:hAnsi="Arial" w:cs="Arial"/>
          <w:b/>
          <w:sz w:val="24"/>
          <w:szCs w:val="24"/>
        </w:rPr>
        <w:t>Chief Financial Officer</w:t>
      </w:r>
      <w:r w:rsidRPr="0054624C">
        <w:rPr>
          <w:rFonts w:ascii="Arial" w:hAnsi="Arial" w:cs="Arial"/>
          <w:b/>
          <w:sz w:val="24"/>
          <w:szCs w:val="24"/>
        </w:rPr>
        <w:t xml:space="preserve">, said: </w:t>
      </w:r>
    </w:p>
    <w:p w14:paraId="14884BB4" w14:textId="77777777" w:rsidR="00BD7446" w:rsidRPr="006801A1" w:rsidRDefault="00BD7446">
      <w:pPr>
        <w:jc w:val="left"/>
        <w:rPr>
          <w:rFonts w:ascii="Arial" w:hAnsi="Arial" w:cs="Arial"/>
          <w:sz w:val="24"/>
          <w:szCs w:val="24"/>
        </w:rPr>
      </w:pPr>
    </w:p>
    <w:p w14:paraId="6E3AB0A7" w14:textId="77777777" w:rsidR="00E6659E" w:rsidRDefault="00E6659E" w:rsidP="00926779">
      <w:pPr>
        <w:jc w:val="left"/>
        <w:rPr>
          <w:rFonts w:ascii="Arial" w:hAnsi="Arial" w:cs="Arial"/>
          <w:bCs/>
          <w:sz w:val="24"/>
          <w:szCs w:val="24"/>
        </w:rPr>
      </w:pPr>
      <w:r>
        <w:rPr>
          <w:rFonts w:ascii="Arial" w:hAnsi="Arial" w:cs="Arial"/>
          <w:bCs/>
          <w:sz w:val="24"/>
          <w:szCs w:val="24"/>
        </w:rPr>
        <w:t>“</w:t>
      </w:r>
      <w:r w:rsidRPr="00324281">
        <w:rPr>
          <w:rFonts w:ascii="Arial" w:hAnsi="Arial" w:cs="Arial"/>
          <w:bCs/>
          <w:sz w:val="24"/>
          <w:szCs w:val="24"/>
        </w:rPr>
        <w:t xml:space="preserve">We </w:t>
      </w:r>
      <w:r>
        <w:rPr>
          <w:rFonts w:ascii="Arial" w:hAnsi="Arial" w:cs="Arial"/>
          <w:bCs/>
          <w:sz w:val="24"/>
          <w:szCs w:val="24"/>
        </w:rPr>
        <w:t xml:space="preserve">continue to </w:t>
      </w:r>
      <w:r w:rsidRPr="00324281">
        <w:rPr>
          <w:rFonts w:ascii="Arial" w:hAnsi="Arial" w:cs="Arial"/>
          <w:bCs/>
          <w:sz w:val="24"/>
          <w:szCs w:val="24"/>
        </w:rPr>
        <w:t>believe our plans will drive an increase in the value of our</w:t>
      </w:r>
      <w:r>
        <w:rPr>
          <w:rFonts w:ascii="Arial" w:hAnsi="Arial" w:cs="Arial"/>
          <w:bCs/>
          <w:sz w:val="24"/>
          <w:szCs w:val="24"/>
        </w:rPr>
        <w:t xml:space="preserve"> business for shareholders, </w:t>
      </w:r>
      <w:r w:rsidRPr="00324281">
        <w:rPr>
          <w:rFonts w:ascii="Arial" w:hAnsi="Arial" w:cs="Arial"/>
          <w:bCs/>
          <w:sz w:val="24"/>
          <w:szCs w:val="24"/>
        </w:rPr>
        <w:t>whilst at the same time optimising the generation and use of cash.</w:t>
      </w:r>
      <w:r>
        <w:rPr>
          <w:rFonts w:ascii="Arial" w:hAnsi="Arial" w:cs="Arial"/>
          <w:bCs/>
          <w:sz w:val="24"/>
          <w:szCs w:val="24"/>
        </w:rPr>
        <w:t xml:space="preserve"> </w:t>
      </w:r>
    </w:p>
    <w:p w14:paraId="54534459" w14:textId="77777777" w:rsidR="00E6659E" w:rsidRDefault="00E6659E" w:rsidP="00926779">
      <w:pPr>
        <w:jc w:val="left"/>
        <w:rPr>
          <w:rFonts w:ascii="Arial" w:hAnsi="Arial" w:cs="Arial"/>
          <w:bCs/>
          <w:sz w:val="24"/>
          <w:szCs w:val="24"/>
        </w:rPr>
      </w:pPr>
    </w:p>
    <w:p w14:paraId="5C97D90C" w14:textId="009AAA08" w:rsidR="00E6659E" w:rsidRDefault="00E6659E" w:rsidP="00926779">
      <w:pPr>
        <w:jc w:val="left"/>
        <w:rPr>
          <w:rFonts w:ascii="Arial" w:hAnsi="Arial" w:cs="Arial"/>
          <w:bCs/>
          <w:sz w:val="24"/>
          <w:szCs w:val="24"/>
        </w:rPr>
      </w:pPr>
      <w:r>
        <w:rPr>
          <w:rFonts w:ascii="Arial" w:hAnsi="Arial" w:cs="Arial"/>
          <w:bCs/>
          <w:sz w:val="24"/>
          <w:szCs w:val="24"/>
        </w:rPr>
        <w:t xml:space="preserve">“Our </w:t>
      </w:r>
      <w:r w:rsidRPr="00012C2C">
        <w:rPr>
          <w:rFonts w:ascii="Arial" w:hAnsi="Arial" w:cs="Arial"/>
          <w:bCs/>
          <w:sz w:val="24"/>
          <w:szCs w:val="24"/>
        </w:rPr>
        <w:t xml:space="preserve">balance sheet </w:t>
      </w:r>
      <w:r>
        <w:rPr>
          <w:rFonts w:ascii="Arial" w:hAnsi="Arial" w:cs="Arial"/>
          <w:bCs/>
          <w:sz w:val="24"/>
          <w:szCs w:val="24"/>
        </w:rPr>
        <w:t>remains strong, enabling us to continue investing for growth</w:t>
      </w:r>
      <w:r w:rsidR="00A667A7">
        <w:rPr>
          <w:rFonts w:ascii="Arial" w:hAnsi="Arial" w:cs="Arial"/>
          <w:bCs/>
          <w:sz w:val="24"/>
          <w:szCs w:val="24"/>
        </w:rPr>
        <w:t xml:space="preserve"> </w:t>
      </w:r>
      <w:r w:rsidR="001F0815">
        <w:rPr>
          <w:rFonts w:ascii="Arial" w:hAnsi="Arial" w:cs="Arial"/>
          <w:bCs/>
          <w:sz w:val="24"/>
          <w:szCs w:val="24"/>
        </w:rPr>
        <w:t>and to return s</w:t>
      </w:r>
      <w:r>
        <w:rPr>
          <w:rFonts w:ascii="Arial" w:hAnsi="Arial" w:cs="Arial"/>
          <w:bCs/>
          <w:sz w:val="24"/>
          <w:szCs w:val="24"/>
        </w:rPr>
        <w:t>o far this year</w:t>
      </w:r>
      <w:r w:rsidR="003E41A4">
        <w:rPr>
          <w:rFonts w:ascii="Arial" w:hAnsi="Arial" w:cs="Arial"/>
          <w:bCs/>
          <w:sz w:val="24"/>
          <w:szCs w:val="24"/>
        </w:rPr>
        <w:t>,</w:t>
      </w:r>
      <w:r>
        <w:rPr>
          <w:rFonts w:ascii="Arial" w:hAnsi="Arial" w:cs="Arial"/>
          <w:bCs/>
          <w:sz w:val="24"/>
          <w:szCs w:val="24"/>
        </w:rPr>
        <w:t xml:space="preserve"> </w:t>
      </w:r>
      <w:r w:rsidR="00453AB5">
        <w:rPr>
          <w:rFonts w:ascii="Arial" w:hAnsi="Arial" w:cs="Arial"/>
          <w:bCs/>
          <w:sz w:val="24"/>
          <w:szCs w:val="24"/>
        </w:rPr>
        <w:t>£</w:t>
      </w:r>
      <w:r w:rsidR="0004288F">
        <w:rPr>
          <w:rFonts w:ascii="Arial" w:hAnsi="Arial" w:cs="Arial"/>
          <w:bCs/>
          <w:sz w:val="24"/>
          <w:szCs w:val="24"/>
        </w:rPr>
        <w:t xml:space="preserve">160 </w:t>
      </w:r>
      <w:r w:rsidR="00453AB5">
        <w:rPr>
          <w:rFonts w:ascii="Arial" w:hAnsi="Arial" w:cs="Arial"/>
          <w:bCs/>
          <w:sz w:val="24"/>
          <w:szCs w:val="24"/>
        </w:rPr>
        <w:t>million via share buy</w:t>
      </w:r>
      <w:r>
        <w:rPr>
          <w:rFonts w:ascii="Arial" w:hAnsi="Arial" w:cs="Arial"/>
          <w:bCs/>
          <w:sz w:val="24"/>
          <w:szCs w:val="24"/>
        </w:rPr>
        <w:t>back</w:t>
      </w:r>
      <w:r w:rsidR="001F0815">
        <w:rPr>
          <w:rFonts w:ascii="Arial" w:hAnsi="Arial" w:cs="Arial"/>
          <w:bCs/>
          <w:sz w:val="24"/>
          <w:szCs w:val="24"/>
        </w:rPr>
        <w:t>. W</w:t>
      </w:r>
      <w:r>
        <w:rPr>
          <w:rFonts w:ascii="Arial" w:hAnsi="Arial" w:cs="Arial"/>
          <w:bCs/>
          <w:sz w:val="24"/>
          <w:szCs w:val="24"/>
        </w:rPr>
        <w:t xml:space="preserve">e are also </w:t>
      </w:r>
      <w:r w:rsidR="00A667A7">
        <w:rPr>
          <w:rFonts w:ascii="Arial" w:hAnsi="Arial" w:cs="Arial"/>
          <w:bCs/>
          <w:sz w:val="24"/>
          <w:szCs w:val="24"/>
        </w:rPr>
        <w:t xml:space="preserve">today </w:t>
      </w:r>
      <w:r>
        <w:rPr>
          <w:rFonts w:ascii="Arial" w:hAnsi="Arial" w:cs="Arial"/>
          <w:bCs/>
          <w:sz w:val="24"/>
          <w:szCs w:val="24"/>
        </w:rPr>
        <w:t xml:space="preserve">announcing </w:t>
      </w:r>
      <w:r w:rsidR="00A667A7">
        <w:rPr>
          <w:rFonts w:ascii="Arial" w:hAnsi="Arial" w:cs="Arial"/>
          <w:bCs/>
          <w:sz w:val="24"/>
          <w:szCs w:val="24"/>
        </w:rPr>
        <w:t>g</w:t>
      </w:r>
      <w:r>
        <w:rPr>
          <w:rFonts w:ascii="Arial" w:hAnsi="Arial" w:cs="Arial"/>
          <w:bCs/>
          <w:sz w:val="24"/>
          <w:szCs w:val="24"/>
        </w:rPr>
        <w:t xml:space="preserve">rowth in the interim dividend, ahead of earnings, reflecting our confidence in our medium term prospects. </w:t>
      </w:r>
      <w:r w:rsidR="00833B9B">
        <w:rPr>
          <w:rFonts w:ascii="Arial" w:hAnsi="Arial" w:cs="Arial"/>
          <w:bCs/>
          <w:sz w:val="24"/>
          <w:szCs w:val="24"/>
        </w:rPr>
        <w:t xml:space="preserve">In addition, </w:t>
      </w:r>
      <w:r>
        <w:rPr>
          <w:rFonts w:ascii="Arial" w:hAnsi="Arial" w:cs="Arial"/>
          <w:bCs/>
          <w:sz w:val="24"/>
          <w:szCs w:val="24"/>
        </w:rPr>
        <w:t xml:space="preserve">I am </w:t>
      </w:r>
      <w:r w:rsidR="004F4BB9">
        <w:rPr>
          <w:rFonts w:ascii="Arial" w:hAnsi="Arial" w:cs="Arial"/>
          <w:bCs/>
          <w:sz w:val="24"/>
          <w:szCs w:val="24"/>
        </w:rPr>
        <w:t xml:space="preserve">pleased </w:t>
      </w:r>
      <w:r>
        <w:rPr>
          <w:rFonts w:ascii="Arial" w:hAnsi="Arial" w:cs="Arial"/>
          <w:bCs/>
          <w:sz w:val="24"/>
          <w:szCs w:val="24"/>
        </w:rPr>
        <w:t xml:space="preserve">with the progress made to </w:t>
      </w:r>
      <w:r w:rsidR="007F5570">
        <w:rPr>
          <w:rFonts w:ascii="Arial" w:hAnsi="Arial" w:cs="Arial"/>
          <w:bCs/>
          <w:sz w:val="24"/>
          <w:szCs w:val="24"/>
        </w:rPr>
        <w:t>exit</w:t>
      </w:r>
      <w:r>
        <w:rPr>
          <w:rFonts w:ascii="Arial" w:hAnsi="Arial" w:cs="Arial"/>
          <w:bCs/>
          <w:sz w:val="24"/>
          <w:szCs w:val="24"/>
        </w:rPr>
        <w:t xml:space="preserve"> </w:t>
      </w:r>
      <w:r w:rsidR="001F0815">
        <w:rPr>
          <w:rFonts w:ascii="Arial" w:hAnsi="Arial" w:cs="Arial"/>
          <w:bCs/>
          <w:sz w:val="24"/>
          <w:szCs w:val="24"/>
        </w:rPr>
        <w:t xml:space="preserve">most of the </w:t>
      </w:r>
      <w:r>
        <w:rPr>
          <w:rFonts w:ascii="Arial" w:hAnsi="Arial" w:cs="Arial"/>
          <w:bCs/>
          <w:sz w:val="24"/>
          <w:szCs w:val="24"/>
        </w:rPr>
        <w:t>B&amp;Q stores earmarked for closure</w:t>
      </w:r>
      <w:r w:rsidR="001F0815">
        <w:rPr>
          <w:rFonts w:ascii="Arial" w:hAnsi="Arial" w:cs="Arial"/>
          <w:bCs/>
          <w:sz w:val="24"/>
          <w:szCs w:val="24"/>
        </w:rPr>
        <w:t xml:space="preserve"> this year</w:t>
      </w:r>
      <w:r>
        <w:rPr>
          <w:rFonts w:ascii="Arial" w:hAnsi="Arial" w:cs="Arial"/>
          <w:bCs/>
          <w:sz w:val="24"/>
          <w:szCs w:val="24"/>
        </w:rPr>
        <w:t xml:space="preserve">, which will in </w:t>
      </w:r>
      <w:r w:rsidRPr="0057404A">
        <w:rPr>
          <w:rFonts w:ascii="Arial" w:hAnsi="Arial" w:cs="Arial"/>
          <w:bCs/>
          <w:sz w:val="24"/>
          <w:szCs w:val="24"/>
        </w:rPr>
        <w:t xml:space="preserve">time </w:t>
      </w:r>
      <w:r w:rsidR="0057404A">
        <w:rPr>
          <w:rFonts w:ascii="Arial" w:hAnsi="Arial" w:cs="Arial"/>
          <w:bCs/>
          <w:sz w:val="24"/>
          <w:szCs w:val="24"/>
        </w:rPr>
        <w:t xml:space="preserve">strengthen our balance sheet and </w:t>
      </w:r>
      <w:r w:rsidR="00E455F3" w:rsidRPr="00E21AA0">
        <w:rPr>
          <w:rFonts w:ascii="Arial" w:hAnsi="Arial" w:cs="Arial"/>
          <w:bCs/>
          <w:sz w:val="24"/>
          <w:szCs w:val="24"/>
        </w:rPr>
        <w:t xml:space="preserve">maintain </w:t>
      </w:r>
      <w:r w:rsidR="0057404A">
        <w:rPr>
          <w:rFonts w:ascii="Arial" w:hAnsi="Arial" w:cs="Arial"/>
          <w:bCs/>
          <w:sz w:val="24"/>
          <w:szCs w:val="24"/>
        </w:rPr>
        <w:t>our financial flexibility</w:t>
      </w:r>
      <w:r w:rsidR="001F0815">
        <w:rPr>
          <w:rFonts w:ascii="Arial" w:hAnsi="Arial" w:cs="Arial"/>
          <w:bCs/>
          <w:sz w:val="24"/>
          <w:szCs w:val="24"/>
        </w:rPr>
        <w:t>.</w:t>
      </w:r>
    </w:p>
    <w:p w14:paraId="1971FF26" w14:textId="77777777" w:rsidR="00E6659E" w:rsidRDefault="00E6659E" w:rsidP="00926779">
      <w:pPr>
        <w:jc w:val="left"/>
        <w:rPr>
          <w:rFonts w:ascii="Arial" w:hAnsi="Arial" w:cs="Arial"/>
          <w:bCs/>
          <w:sz w:val="24"/>
          <w:szCs w:val="24"/>
        </w:rPr>
      </w:pPr>
    </w:p>
    <w:p w14:paraId="486E8E3B" w14:textId="3E569C95" w:rsidR="00E6659E" w:rsidRPr="00324281" w:rsidRDefault="002D541F">
      <w:pPr>
        <w:jc w:val="left"/>
        <w:rPr>
          <w:rFonts w:ascii="Arial" w:hAnsi="Arial" w:cs="Arial"/>
          <w:bCs/>
          <w:sz w:val="24"/>
          <w:szCs w:val="24"/>
        </w:rPr>
      </w:pPr>
      <w:r>
        <w:rPr>
          <w:rFonts w:ascii="Arial" w:hAnsi="Arial" w:cs="Arial"/>
          <w:bCs/>
          <w:sz w:val="24"/>
          <w:szCs w:val="24"/>
        </w:rPr>
        <w:t>“</w:t>
      </w:r>
      <w:r w:rsidR="00E6659E" w:rsidRPr="00324281">
        <w:rPr>
          <w:rFonts w:ascii="Arial" w:hAnsi="Arial" w:cs="Arial"/>
          <w:bCs/>
          <w:sz w:val="24"/>
          <w:szCs w:val="24"/>
        </w:rPr>
        <w:t xml:space="preserve">In the short term, whilst we </w:t>
      </w:r>
      <w:r w:rsidR="00A667A7">
        <w:rPr>
          <w:rFonts w:ascii="Arial" w:hAnsi="Arial" w:cs="Arial"/>
          <w:bCs/>
          <w:sz w:val="24"/>
          <w:szCs w:val="24"/>
        </w:rPr>
        <w:t xml:space="preserve">remain </w:t>
      </w:r>
      <w:r w:rsidR="00CA29E6">
        <w:rPr>
          <w:rFonts w:ascii="Arial" w:hAnsi="Arial" w:cs="Arial"/>
          <w:bCs/>
          <w:sz w:val="24"/>
          <w:szCs w:val="24"/>
        </w:rPr>
        <w:t xml:space="preserve">encouraged by the </w:t>
      </w:r>
      <w:r w:rsidR="00E33F38">
        <w:rPr>
          <w:rFonts w:ascii="Arial" w:hAnsi="Arial" w:cs="Arial"/>
          <w:bCs/>
          <w:sz w:val="24"/>
          <w:szCs w:val="24"/>
        </w:rPr>
        <w:t>macro</w:t>
      </w:r>
      <w:r w:rsidR="00E6659E" w:rsidRPr="00324281">
        <w:rPr>
          <w:rFonts w:ascii="Arial" w:hAnsi="Arial" w:cs="Arial"/>
          <w:bCs/>
          <w:sz w:val="24"/>
          <w:szCs w:val="24"/>
        </w:rPr>
        <w:t>economic backdrop in the UK, we remain cautious on the outlook for France</w:t>
      </w:r>
      <w:r w:rsidR="00A667A7">
        <w:rPr>
          <w:rFonts w:ascii="Arial" w:hAnsi="Arial" w:cs="Arial"/>
          <w:bCs/>
          <w:sz w:val="24"/>
          <w:szCs w:val="24"/>
        </w:rPr>
        <w:t>.</w:t>
      </w:r>
      <w:r w:rsidR="00E6659E" w:rsidRPr="00324281">
        <w:rPr>
          <w:rFonts w:ascii="Arial" w:hAnsi="Arial" w:cs="Arial"/>
          <w:bCs/>
          <w:sz w:val="24"/>
          <w:szCs w:val="24"/>
        </w:rPr>
        <w:t>”</w:t>
      </w:r>
    </w:p>
    <w:p w14:paraId="5FC3DEF9" w14:textId="77777777" w:rsidR="003055DB" w:rsidRDefault="003055DB" w:rsidP="00FD4DC7">
      <w:pPr>
        <w:jc w:val="left"/>
        <w:rPr>
          <w:rFonts w:ascii="Arial" w:hAnsi="Arial" w:cs="Arial"/>
          <w:sz w:val="24"/>
          <w:szCs w:val="24"/>
        </w:rPr>
      </w:pPr>
    </w:p>
    <w:p w14:paraId="11A192AD" w14:textId="77777777" w:rsidR="00C92423" w:rsidRPr="00315200" w:rsidRDefault="00C92423" w:rsidP="00AD5BF9">
      <w:pPr>
        <w:jc w:val="left"/>
        <w:rPr>
          <w:rFonts w:ascii="Arial" w:hAnsi="Arial" w:cs="Arial"/>
          <w:b/>
          <w:bCs/>
          <w:sz w:val="24"/>
          <w:szCs w:val="24"/>
          <w:u w:val="single"/>
        </w:rPr>
      </w:pPr>
      <w:r w:rsidRPr="00315200">
        <w:rPr>
          <w:rFonts w:ascii="Arial" w:hAnsi="Arial" w:cs="Arial"/>
          <w:b/>
          <w:bCs/>
          <w:sz w:val="24"/>
          <w:szCs w:val="24"/>
          <w:u w:val="single"/>
        </w:rPr>
        <w:t>Statutory reporting:</w:t>
      </w:r>
    </w:p>
    <w:tbl>
      <w:tblPr>
        <w:tblW w:w="5022" w:type="pct"/>
        <w:tblInd w:w="-106" w:type="dxa"/>
        <w:tblLayout w:type="fixed"/>
        <w:tblLook w:val="01E0" w:firstRow="1" w:lastRow="1" w:firstColumn="1" w:lastColumn="1" w:noHBand="0" w:noVBand="0"/>
      </w:tblPr>
      <w:tblGrid>
        <w:gridCol w:w="4217"/>
        <w:gridCol w:w="2268"/>
        <w:gridCol w:w="1418"/>
        <w:gridCol w:w="1544"/>
        <w:gridCol w:w="236"/>
      </w:tblGrid>
      <w:tr w:rsidR="00552387" w:rsidRPr="000971B9" w14:paraId="5FBA09FB" w14:textId="77777777" w:rsidTr="00EF42EF">
        <w:tc>
          <w:tcPr>
            <w:tcW w:w="4217" w:type="dxa"/>
            <w:tcBorders>
              <w:bottom w:val="single" w:sz="4" w:space="0" w:color="auto"/>
            </w:tcBorders>
          </w:tcPr>
          <w:p w14:paraId="7E84A287" w14:textId="77777777" w:rsidR="00552387" w:rsidRDefault="00552387" w:rsidP="004C7229">
            <w:pPr>
              <w:jc w:val="left"/>
              <w:rPr>
                <w:rFonts w:ascii="Arial" w:hAnsi="Arial" w:cs="Arial"/>
                <w:sz w:val="24"/>
                <w:szCs w:val="24"/>
              </w:rPr>
            </w:pPr>
          </w:p>
        </w:tc>
        <w:tc>
          <w:tcPr>
            <w:tcW w:w="2268" w:type="dxa"/>
            <w:tcBorders>
              <w:bottom w:val="single" w:sz="4" w:space="0" w:color="auto"/>
            </w:tcBorders>
          </w:tcPr>
          <w:p w14:paraId="415C1146" w14:textId="77260B3F" w:rsidR="00552387" w:rsidRPr="00315200" w:rsidRDefault="00552387" w:rsidP="00D37435">
            <w:pPr>
              <w:jc w:val="right"/>
              <w:rPr>
                <w:rFonts w:ascii="Arial" w:hAnsi="Arial" w:cs="Arial"/>
                <w:b/>
                <w:sz w:val="24"/>
                <w:szCs w:val="24"/>
              </w:rPr>
            </w:pPr>
            <w:r w:rsidRPr="00315200">
              <w:rPr>
                <w:rFonts w:ascii="Arial" w:hAnsi="Arial" w:cs="Arial"/>
                <w:b/>
                <w:sz w:val="24"/>
                <w:szCs w:val="24"/>
              </w:rPr>
              <w:t>2015</w:t>
            </w:r>
            <w:r w:rsidR="00D37435">
              <w:rPr>
                <w:rFonts w:ascii="Arial" w:hAnsi="Arial" w:cs="Arial"/>
                <w:b/>
                <w:sz w:val="24"/>
                <w:szCs w:val="24"/>
              </w:rPr>
              <w:t>/16</w:t>
            </w:r>
          </w:p>
        </w:tc>
        <w:tc>
          <w:tcPr>
            <w:tcW w:w="1418" w:type="dxa"/>
            <w:tcBorders>
              <w:bottom w:val="single" w:sz="4" w:space="0" w:color="auto"/>
            </w:tcBorders>
          </w:tcPr>
          <w:p w14:paraId="040F8A91" w14:textId="38C7D53B" w:rsidR="00552387" w:rsidRPr="00315200" w:rsidRDefault="00F668B7" w:rsidP="00F668B7">
            <w:pPr>
              <w:jc w:val="right"/>
              <w:rPr>
                <w:rFonts w:ascii="Arial" w:hAnsi="Arial" w:cs="Arial"/>
                <w:b/>
                <w:sz w:val="24"/>
                <w:szCs w:val="24"/>
              </w:rPr>
            </w:pPr>
            <w:r>
              <w:rPr>
                <w:rFonts w:ascii="Arial" w:hAnsi="Arial" w:cs="Arial"/>
                <w:b/>
                <w:sz w:val="24"/>
                <w:szCs w:val="24"/>
              </w:rPr>
              <w:t>2014/15</w:t>
            </w:r>
          </w:p>
        </w:tc>
        <w:tc>
          <w:tcPr>
            <w:tcW w:w="1544" w:type="dxa"/>
            <w:tcBorders>
              <w:bottom w:val="single" w:sz="4" w:space="0" w:color="auto"/>
            </w:tcBorders>
          </w:tcPr>
          <w:p w14:paraId="634391DF" w14:textId="77777777" w:rsidR="00552387" w:rsidRPr="00315200" w:rsidRDefault="00552387" w:rsidP="004C7229">
            <w:pPr>
              <w:jc w:val="right"/>
              <w:rPr>
                <w:rFonts w:ascii="Arial" w:hAnsi="Arial" w:cs="Arial"/>
                <w:b/>
                <w:sz w:val="24"/>
                <w:szCs w:val="24"/>
              </w:rPr>
            </w:pPr>
            <w:r w:rsidRPr="00315200">
              <w:rPr>
                <w:rFonts w:ascii="Arial" w:hAnsi="Arial" w:cs="Arial"/>
                <w:b/>
                <w:sz w:val="24"/>
                <w:szCs w:val="24"/>
              </w:rPr>
              <w:t>% Change Reported</w:t>
            </w:r>
          </w:p>
        </w:tc>
        <w:tc>
          <w:tcPr>
            <w:tcW w:w="236" w:type="dxa"/>
            <w:tcBorders>
              <w:bottom w:val="single" w:sz="4" w:space="0" w:color="auto"/>
            </w:tcBorders>
          </w:tcPr>
          <w:p w14:paraId="324016DE" w14:textId="77777777" w:rsidR="00552387" w:rsidRPr="000971B9" w:rsidRDefault="00552387" w:rsidP="004C7229">
            <w:pPr>
              <w:jc w:val="right"/>
              <w:rPr>
                <w:rFonts w:ascii="Arial" w:hAnsi="Arial" w:cs="Arial"/>
                <w:sz w:val="24"/>
                <w:szCs w:val="24"/>
              </w:rPr>
            </w:pPr>
          </w:p>
        </w:tc>
      </w:tr>
      <w:tr w:rsidR="007F5570" w:rsidRPr="000971B9" w14:paraId="5CD3B877" w14:textId="77777777" w:rsidTr="00EF42EF">
        <w:tc>
          <w:tcPr>
            <w:tcW w:w="4217" w:type="dxa"/>
            <w:tcBorders>
              <w:top w:val="single" w:sz="4" w:space="0" w:color="auto"/>
            </w:tcBorders>
          </w:tcPr>
          <w:p w14:paraId="606B0EB5" w14:textId="345B87F2" w:rsidR="007F5570" w:rsidRDefault="007F5570" w:rsidP="004C7229">
            <w:pPr>
              <w:jc w:val="left"/>
              <w:rPr>
                <w:rFonts w:ascii="Arial" w:hAnsi="Arial" w:cs="Arial"/>
                <w:sz w:val="24"/>
                <w:szCs w:val="24"/>
              </w:rPr>
            </w:pPr>
            <w:r>
              <w:rPr>
                <w:rFonts w:ascii="Arial" w:hAnsi="Arial" w:cs="Arial"/>
                <w:sz w:val="24"/>
                <w:szCs w:val="24"/>
              </w:rPr>
              <w:t>Statutory sales</w:t>
            </w:r>
            <w:r w:rsidR="007F444D">
              <w:rPr>
                <w:rFonts w:ascii="Arial" w:hAnsi="Arial" w:cs="Arial"/>
                <w:sz w:val="24"/>
                <w:szCs w:val="24"/>
              </w:rPr>
              <w:t>*</w:t>
            </w:r>
          </w:p>
        </w:tc>
        <w:tc>
          <w:tcPr>
            <w:tcW w:w="2268" w:type="dxa"/>
            <w:tcBorders>
              <w:top w:val="single" w:sz="4" w:space="0" w:color="auto"/>
            </w:tcBorders>
          </w:tcPr>
          <w:p w14:paraId="06201943" w14:textId="23A5A7FF" w:rsidR="007F5570" w:rsidRPr="004567F1" w:rsidRDefault="007F5570" w:rsidP="00D37435">
            <w:pPr>
              <w:jc w:val="right"/>
              <w:rPr>
                <w:rFonts w:ascii="Arial" w:hAnsi="Arial" w:cs="Arial"/>
                <w:sz w:val="24"/>
                <w:szCs w:val="24"/>
              </w:rPr>
            </w:pPr>
            <w:r>
              <w:rPr>
                <w:rFonts w:ascii="Arial" w:hAnsi="Arial" w:cs="Arial"/>
                <w:sz w:val="24"/>
                <w:szCs w:val="24"/>
              </w:rPr>
              <w:t>£5,492m</w:t>
            </w:r>
          </w:p>
        </w:tc>
        <w:tc>
          <w:tcPr>
            <w:tcW w:w="1418" w:type="dxa"/>
            <w:tcBorders>
              <w:top w:val="single" w:sz="4" w:space="0" w:color="auto"/>
            </w:tcBorders>
          </w:tcPr>
          <w:p w14:paraId="1875DB36" w14:textId="252AAD17" w:rsidR="007F5570" w:rsidRPr="004567F1" w:rsidRDefault="007F5570" w:rsidP="00D37435">
            <w:pPr>
              <w:jc w:val="right"/>
              <w:rPr>
                <w:rFonts w:ascii="Arial" w:hAnsi="Arial" w:cs="Arial"/>
                <w:sz w:val="24"/>
                <w:szCs w:val="24"/>
              </w:rPr>
            </w:pPr>
            <w:r>
              <w:rPr>
                <w:rFonts w:ascii="Arial" w:hAnsi="Arial" w:cs="Arial"/>
                <w:sz w:val="24"/>
                <w:szCs w:val="24"/>
              </w:rPr>
              <w:t>£5,768m</w:t>
            </w:r>
          </w:p>
        </w:tc>
        <w:tc>
          <w:tcPr>
            <w:tcW w:w="1544" w:type="dxa"/>
            <w:tcBorders>
              <w:top w:val="single" w:sz="4" w:space="0" w:color="auto"/>
            </w:tcBorders>
          </w:tcPr>
          <w:p w14:paraId="7C675F1C" w14:textId="713F21D2" w:rsidR="007F5570" w:rsidRDefault="007F5570" w:rsidP="004C7229">
            <w:pPr>
              <w:jc w:val="right"/>
              <w:rPr>
                <w:rFonts w:ascii="Arial" w:hAnsi="Arial" w:cs="Arial"/>
                <w:sz w:val="24"/>
                <w:szCs w:val="24"/>
              </w:rPr>
            </w:pPr>
            <w:r>
              <w:rPr>
                <w:rFonts w:ascii="Arial" w:hAnsi="Arial" w:cs="Arial"/>
                <w:sz w:val="24"/>
                <w:szCs w:val="24"/>
              </w:rPr>
              <w:t>(4.8)%</w:t>
            </w:r>
          </w:p>
        </w:tc>
        <w:tc>
          <w:tcPr>
            <w:tcW w:w="236" w:type="dxa"/>
            <w:tcBorders>
              <w:top w:val="single" w:sz="4" w:space="0" w:color="auto"/>
            </w:tcBorders>
          </w:tcPr>
          <w:p w14:paraId="24B8B3BA" w14:textId="77777777" w:rsidR="007F5570" w:rsidRPr="000971B9" w:rsidRDefault="007F5570" w:rsidP="004C7229">
            <w:pPr>
              <w:jc w:val="right"/>
              <w:rPr>
                <w:rFonts w:ascii="Arial" w:hAnsi="Arial" w:cs="Arial"/>
                <w:sz w:val="24"/>
                <w:szCs w:val="24"/>
              </w:rPr>
            </w:pPr>
          </w:p>
        </w:tc>
      </w:tr>
      <w:tr w:rsidR="00552387" w:rsidRPr="000971B9" w14:paraId="6AA99AB4" w14:textId="77777777" w:rsidTr="00EF42EF">
        <w:tc>
          <w:tcPr>
            <w:tcW w:w="4217" w:type="dxa"/>
          </w:tcPr>
          <w:p w14:paraId="7F1DB906" w14:textId="77777777" w:rsidR="00C92423" w:rsidRPr="000971B9" w:rsidRDefault="00C92423" w:rsidP="004C7229">
            <w:pPr>
              <w:jc w:val="left"/>
              <w:rPr>
                <w:rFonts w:ascii="Arial" w:hAnsi="Arial" w:cs="Arial"/>
                <w:sz w:val="24"/>
                <w:szCs w:val="24"/>
              </w:rPr>
            </w:pPr>
            <w:r>
              <w:rPr>
                <w:rFonts w:ascii="Arial" w:hAnsi="Arial" w:cs="Arial"/>
                <w:sz w:val="24"/>
                <w:szCs w:val="24"/>
              </w:rPr>
              <w:t>Statutory pre-tax profit</w:t>
            </w:r>
          </w:p>
        </w:tc>
        <w:tc>
          <w:tcPr>
            <w:tcW w:w="2268" w:type="dxa"/>
          </w:tcPr>
          <w:p w14:paraId="32500907" w14:textId="4F4B5817" w:rsidR="00C92423" w:rsidRPr="004567F1" w:rsidRDefault="00C92423" w:rsidP="00D37435">
            <w:pPr>
              <w:jc w:val="right"/>
              <w:rPr>
                <w:rFonts w:ascii="Arial" w:hAnsi="Arial" w:cs="Arial"/>
                <w:sz w:val="24"/>
                <w:szCs w:val="24"/>
              </w:rPr>
            </w:pPr>
            <w:r w:rsidRPr="004567F1">
              <w:rPr>
                <w:rFonts w:ascii="Arial" w:hAnsi="Arial" w:cs="Arial"/>
                <w:sz w:val="24"/>
                <w:szCs w:val="24"/>
              </w:rPr>
              <w:t>£</w:t>
            </w:r>
            <w:r w:rsidR="009C546D" w:rsidRPr="00926779">
              <w:rPr>
                <w:rFonts w:ascii="Arial" w:hAnsi="Arial" w:cs="Arial"/>
                <w:sz w:val="24"/>
                <w:szCs w:val="24"/>
              </w:rPr>
              <w:t>386</w:t>
            </w:r>
            <w:r w:rsidRPr="004567F1">
              <w:rPr>
                <w:rFonts w:ascii="Arial" w:hAnsi="Arial" w:cs="Arial"/>
                <w:sz w:val="24"/>
                <w:szCs w:val="24"/>
              </w:rPr>
              <w:t>m</w:t>
            </w:r>
          </w:p>
        </w:tc>
        <w:tc>
          <w:tcPr>
            <w:tcW w:w="1418" w:type="dxa"/>
          </w:tcPr>
          <w:p w14:paraId="4377101C" w14:textId="1FF92BFE" w:rsidR="00C92423" w:rsidRPr="004567F1" w:rsidRDefault="00C92423" w:rsidP="00D37435">
            <w:pPr>
              <w:jc w:val="right"/>
              <w:rPr>
                <w:rFonts w:ascii="Arial" w:hAnsi="Arial" w:cs="Arial"/>
                <w:sz w:val="24"/>
                <w:szCs w:val="24"/>
              </w:rPr>
            </w:pPr>
            <w:r w:rsidRPr="004567F1">
              <w:rPr>
                <w:rFonts w:ascii="Arial" w:hAnsi="Arial" w:cs="Arial"/>
                <w:sz w:val="24"/>
                <w:szCs w:val="24"/>
              </w:rPr>
              <w:t>£</w:t>
            </w:r>
            <w:r w:rsidR="00786E10" w:rsidRPr="00926779">
              <w:rPr>
                <w:rFonts w:ascii="Arial" w:hAnsi="Arial" w:cs="Arial"/>
                <w:sz w:val="24"/>
                <w:szCs w:val="24"/>
              </w:rPr>
              <w:t>393</w:t>
            </w:r>
            <w:r w:rsidRPr="004567F1">
              <w:rPr>
                <w:rFonts w:ascii="Arial" w:hAnsi="Arial" w:cs="Arial"/>
                <w:sz w:val="24"/>
                <w:szCs w:val="24"/>
              </w:rPr>
              <w:t>m</w:t>
            </w:r>
          </w:p>
        </w:tc>
        <w:tc>
          <w:tcPr>
            <w:tcW w:w="1544" w:type="dxa"/>
          </w:tcPr>
          <w:p w14:paraId="49B1CF59" w14:textId="38C429B5" w:rsidR="00C92423" w:rsidRPr="000971B9" w:rsidRDefault="004567F1" w:rsidP="004C7229">
            <w:pPr>
              <w:jc w:val="right"/>
              <w:rPr>
                <w:rFonts w:ascii="Arial" w:hAnsi="Arial" w:cs="Arial"/>
                <w:sz w:val="24"/>
                <w:szCs w:val="24"/>
              </w:rPr>
            </w:pPr>
            <w:r>
              <w:rPr>
                <w:rFonts w:ascii="Arial" w:hAnsi="Arial" w:cs="Arial"/>
                <w:sz w:val="24"/>
                <w:szCs w:val="24"/>
              </w:rPr>
              <w:t>(1.8)%</w:t>
            </w:r>
          </w:p>
        </w:tc>
        <w:tc>
          <w:tcPr>
            <w:tcW w:w="236" w:type="dxa"/>
          </w:tcPr>
          <w:p w14:paraId="456C669E" w14:textId="77777777" w:rsidR="00C92423" w:rsidRPr="000971B9" w:rsidRDefault="00C92423" w:rsidP="004C7229">
            <w:pPr>
              <w:jc w:val="right"/>
              <w:rPr>
                <w:rFonts w:ascii="Arial" w:hAnsi="Arial" w:cs="Arial"/>
                <w:sz w:val="24"/>
                <w:szCs w:val="24"/>
              </w:rPr>
            </w:pPr>
          </w:p>
        </w:tc>
      </w:tr>
      <w:tr w:rsidR="00552387" w:rsidRPr="000971B9" w14:paraId="1D3FF67B" w14:textId="77777777" w:rsidTr="00552387">
        <w:tc>
          <w:tcPr>
            <w:tcW w:w="4217" w:type="dxa"/>
          </w:tcPr>
          <w:p w14:paraId="07A0ED65" w14:textId="77777777" w:rsidR="00C92423" w:rsidRPr="000971B9" w:rsidRDefault="00C92423" w:rsidP="004C7229">
            <w:pPr>
              <w:jc w:val="left"/>
              <w:rPr>
                <w:rFonts w:ascii="Arial" w:hAnsi="Arial" w:cs="Arial"/>
                <w:sz w:val="24"/>
                <w:szCs w:val="24"/>
              </w:rPr>
            </w:pPr>
            <w:r>
              <w:rPr>
                <w:rFonts w:ascii="Arial" w:hAnsi="Arial" w:cs="Arial"/>
                <w:sz w:val="24"/>
                <w:szCs w:val="24"/>
              </w:rPr>
              <w:t>Statutory post-tax profit</w:t>
            </w:r>
          </w:p>
        </w:tc>
        <w:tc>
          <w:tcPr>
            <w:tcW w:w="2268" w:type="dxa"/>
          </w:tcPr>
          <w:p w14:paraId="43BFF4C9" w14:textId="268EF28F" w:rsidR="00C92423" w:rsidRPr="004567F1" w:rsidRDefault="00C92423" w:rsidP="00D37435">
            <w:pPr>
              <w:jc w:val="right"/>
              <w:rPr>
                <w:rFonts w:ascii="Arial" w:hAnsi="Arial" w:cs="Arial"/>
                <w:sz w:val="24"/>
                <w:szCs w:val="24"/>
              </w:rPr>
            </w:pPr>
            <w:r w:rsidRPr="004567F1">
              <w:rPr>
                <w:rFonts w:ascii="Arial" w:hAnsi="Arial" w:cs="Arial"/>
                <w:sz w:val="24"/>
                <w:szCs w:val="24"/>
              </w:rPr>
              <w:t>£</w:t>
            </w:r>
            <w:r w:rsidR="00A967E3" w:rsidRPr="00926779">
              <w:rPr>
                <w:rFonts w:ascii="Arial" w:hAnsi="Arial" w:cs="Arial"/>
                <w:sz w:val="24"/>
                <w:szCs w:val="24"/>
              </w:rPr>
              <w:t>318</w:t>
            </w:r>
            <w:r w:rsidRPr="004567F1">
              <w:rPr>
                <w:rFonts w:ascii="Arial" w:hAnsi="Arial" w:cs="Arial"/>
                <w:sz w:val="24"/>
                <w:szCs w:val="24"/>
              </w:rPr>
              <w:t>m</w:t>
            </w:r>
          </w:p>
        </w:tc>
        <w:tc>
          <w:tcPr>
            <w:tcW w:w="1418" w:type="dxa"/>
          </w:tcPr>
          <w:p w14:paraId="361EAC98" w14:textId="639C9B0A" w:rsidR="00C92423" w:rsidRPr="004567F1" w:rsidRDefault="00C92423" w:rsidP="00D37435">
            <w:pPr>
              <w:jc w:val="right"/>
              <w:rPr>
                <w:rFonts w:ascii="Arial" w:hAnsi="Arial" w:cs="Arial"/>
                <w:sz w:val="24"/>
                <w:szCs w:val="24"/>
              </w:rPr>
            </w:pPr>
            <w:r w:rsidRPr="004567F1">
              <w:rPr>
                <w:rFonts w:ascii="Arial" w:hAnsi="Arial" w:cs="Arial"/>
                <w:sz w:val="24"/>
                <w:szCs w:val="24"/>
              </w:rPr>
              <w:t>£</w:t>
            </w:r>
            <w:r w:rsidR="00786E10" w:rsidRPr="00926779">
              <w:rPr>
                <w:rFonts w:ascii="Arial" w:hAnsi="Arial" w:cs="Arial"/>
                <w:sz w:val="24"/>
                <w:szCs w:val="24"/>
              </w:rPr>
              <w:t>290</w:t>
            </w:r>
            <w:r w:rsidRPr="004567F1">
              <w:rPr>
                <w:rFonts w:ascii="Arial" w:hAnsi="Arial" w:cs="Arial"/>
                <w:sz w:val="24"/>
                <w:szCs w:val="24"/>
              </w:rPr>
              <w:t>m</w:t>
            </w:r>
          </w:p>
        </w:tc>
        <w:tc>
          <w:tcPr>
            <w:tcW w:w="1544" w:type="dxa"/>
          </w:tcPr>
          <w:p w14:paraId="51D01A6F" w14:textId="7F2393CF" w:rsidR="00C92423" w:rsidRPr="000971B9" w:rsidRDefault="002410F3" w:rsidP="00057892">
            <w:pPr>
              <w:jc w:val="right"/>
              <w:rPr>
                <w:rFonts w:ascii="Arial" w:hAnsi="Arial" w:cs="Arial"/>
                <w:sz w:val="24"/>
                <w:szCs w:val="24"/>
              </w:rPr>
            </w:pPr>
            <w:r>
              <w:rPr>
                <w:rFonts w:ascii="Arial" w:hAnsi="Arial" w:cs="Arial"/>
                <w:sz w:val="24"/>
                <w:szCs w:val="24"/>
              </w:rPr>
              <w:t>+9.7</w:t>
            </w:r>
            <w:r w:rsidR="004567F1">
              <w:rPr>
                <w:rFonts w:ascii="Arial" w:hAnsi="Arial" w:cs="Arial"/>
                <w:sz w:val="24"/>
                <w:szCs w:val="24"/>
              </w:rPr>
              <w:t>%</w:t>
            </w:r>
          </w:p>
        </w:tc>
        <w:tc>
          <w:tcPr>
            <w:tcW w:w="236" w:type="dxa"/>
          </w:tcPr>
          <w:p w14:paraId="3792FEA6" w14:textId="77777777" w:rsidR="00C92423" w:rsidRPr="000971B9" w:rsidRDefault="00C92423" w:rsidP="004C7229">
            <w:pPr>
              <w:jc w:val="right"/>
              <w:rPr>
                <w:rFonts w:ascii="Arial" w:hAnsi="Arial" w:cs="Arial"/>
                <w:sz w:val="24"/>
                <w:szCs w:val="24"/>
              </w:rPr>
            </w:pPr>
          </w:p>
        </w:tc>
      </w:tr>
      <w:tr w:rsidR="00552387" w:rsidRPr="000971B9" w14:paraId="10F54803" w14:textId="77777777" w:rsidTr="00552387">
        <w:tc>
          <w:tcPr>
            <w:tcW w:w="4217" w:type="dxa"/>
            <w:tcBorders>
              <w:bottom w:val="single" w:sz="4" w:space="0" w:color="auto"/>
            </w:tcBorders>
          </w:tcPr>
          <w:p w14:paraId="39DF8DCC" w14:textId="77777777" w:rsidR="00C92423" w:rsidRPr="000971B9" w:rsidRDefault="00C92423" w:rsidP="004C7229">
            <w:pPr>
              <w:jc w:val="left"/>
              <w:rPr>
                <w:rFonts w:ascii="Arial" w:hAnsi="Arial" w:cs="Arial"/>
                <w:sz w:val="24"/>
                <w:szCs w:val="24"/>
              </w:rPr>
            </w:pPr>
            <w:r>
              <w:rPr>
                <w:rFonts w:ascii="Arial" w:hAnsi="Arial" w:cs="Arial"/>
                <w:sz w:val="24"/>
                <w:szCs w:val="24"/>
              </w:rPr>
              <w:t>Basic EPS</w:t>
            </w:r>
          </w:p>
        </w:tc>
        <w:tc>
          <w:tcPr>
            <w:tcW w:w="2268" w:type="dxa"/>
            <w:tcBorders>
              <w:bottom w:val="single" w:sz="4" w:space="0" w:color="auto"/>
            </w:tcBorders>
          </w:tcPr>
          <w:p w14:paraId="504F9F07" w14:textId="204F5001" w:rsidR="00C92423" w:rsidRPr="004567F1" w:rsidRDefault="00C96E57" w:rsidP="004C7229">
            <w:pPr>
              <w:jc w:val="right"/>
              <w:rPr>
                <w:rFonts w:ascii="Arial" w:hAnsi="Arial" w:cs="Arial"/>
                <w:sz w:val="24"/>
                <w:szCs w:val="24"/>
              </w:rPr>
            </w:pPr>
            <w:r w:rsidRPr="00926779">
              <w:rPr>
                <w:rFonts w:ascii="Arial" w:hAnsi="Arial" w:cs="Arial"/>
                <w:sz w:val="24"/>
                <w:szCs w:val="24"/>
              </w:rPr>
              <w:t>13.6</w:t>
            </w:r>
            <w:r w:rsidR="00C92423" w:rsidRPr="004567F1">
              <w:rPr>
                <w:rFonts w:ascii="Arial" w:hAnsi="Arial" w:cs="Arial"/>
                <w:sz w:val="24"/>
                <w:szCs w:val="24"/>
              </w:rPr>
              <w:t>p</w:t>
            </w:r>
          </w:p>
        </w:tc>
        <w:tc>
          <w:tcPr>
            <w:tcW w:w="1418" w:type="dxa"/>
            <w:tcBorders>
              <w:bottom w:val="single" w:sz="4" w:space="0" w:color="auto"/>
            </w:tcBorders>
          </w:tcPr>
          <w:p w14:paraId="1994BA2B" w14:textId="737D8D9C" w:rsidR="00C92423" w:rsidRPr="004567F1" w:rsidRDefault="00C96E57" w:rsidP="004C7229">
            <w:pPr>
              <w:jc w:val="right"/>
              <w:rPr>
                <w:rFonts w:ascii="Arial" w:hAnsi="Arial" w:cs="Arial"/>
                <w:sz w:val="24"/>
                <w:szCs w:val="24"/>
              </w:rPr>
            </w:pPr>
            <w:r w:rsidRPr="00926779">
              <w:rPr>
                <w:rFonts w:ascii="Arial" w:hAnsi="Arial" w:cs="Arial"/>
                <w:sz w:val="24"/>
                <w:szCs w:val="24"/>
              </w:rPr>
              <w:t>12.3</w:t>
            </w:r>
            <w:r w:rsidR="00C92423" w:rsidRPr="004567F1">
              <w:rPr>
                <w:rFonts w:ascii="Arial" w:hAnsi="Arial" w:cs="Arial"/>
                <w:sz w:val="24"/>
                <w:szCs w:val="24"/>
              </w:rPr>
              <w:t>p</w:t>
            </w:r>
          </w:p>
        </w:tc>
        <w:tc>
          <w:tcPr>
            <w:tcW w:w="1544" w:type="dxa"/>
            <w:tcBorders>
              <w:bottom w:val="single" w:sz="4" w:space="0" w:color="auto"/>
            </w:tcBorders>
          </w:tcPr>
          <w:p w14:paraId="79B6C94D" w14:textId="1457EDB8" w:rsidR="00C92423" w:rsidRPr="000971B9" w:rsidRDefault="002410F3" w:rsidP="004C7229">
            <w:pPr>
              <w:jc w:val="right"/>
              <w:rPr>
                <w:rFonts w:ascii="Arial" w:hAnsi="Arial" w:cs="Arial"/>
                <w:sz w:val="24"/>
                <w:szCs w:val="24"/>
              </w:rPr>
            </w:pPr>
            <w:r>
              <w:rPr>
                <w:rFonts w:ascii="Arial" w:hAnsi="Arial" w:cs="Arial"/>
                <w:sz w:val="24"/>
                <w:szCs w:val="24"/>
              </w:rPr>
              <w:t>+10.6</w:t>
            </w:r>
            <w:r w:rsidR="004567F1">
              <w:rPr>
                <w:rFonts w:ascii="Arial" w:hAnsi="Arial" w:cs="Arial"/>
                <w:sz w:val="24"/>
                <w:szCs w:val="24"/>
              </w:rPr>
              <w:t>%</w:t>
            </w:r>
          </w:p>
        </w:tc>
        <w:tc>
          <w:tcPr>
            <w:tcW w:w="236" w:type="dxa"/>
          </w:tcPr>
          <w:p w14:paraId="74558C53" w14:textId="77777777" w:rsidR="00C92423" w:rsidRPr="000971B9" w:rsidRDefault="00C92423" w:rsidP="004C7229">
            <w:pPr>
              <w:jc w:val="right"/>
              <w:rPr>
                <w:rFonts w:ascii="Arial" w:hAnsi="Arial" w:cs="Arial"/>
                <w:sz w:val="24"/>
                <w:szCs w:val="24"/>
              </w:rPr>
            </w:pPr>
          </w:p>
        </w:tc>
      </w:tr>
    </w:tbl>
    <w:p w14:paraId="2CD8584F" w14:textId="77777777" w:rsidR="00C92423" w:rsidRDefault="00C92423" w:rsidP="00AD5BF9">
      <w:pPr>
        <w:jc w:val="left"/>
        <w:rPr>
          <w:rFonts w:ascii="Arial" w:hAnsi="Arial" w:cs="Arial"/>
          <w:b/>
          <w:bCs/>
          <w:sz w:val="24"/>
          <w:szCs w:val="24"/>
        </w:rPr>
      </w:pPr>
    </w:p>
    <w:p w14:paraId="02C0918A" w14:textId="77777777" w:rsidR="00181E03" w:rsidRDefault="003C4FFB" w:rsidP="00AD5BF9">
      <w:pPr>
        <w:jc w:val="left"/>
        <w:rPr>
          <w:rFonts w:ascii="Arial" w:hAnsi="Arial" w:cs="Arial"/>
          <w:b/>
          <w:bCs/>
          <w:sz w:val="24"/>
          <w:szCs w:val="24"/>
          <w:u w:val="single"/>
        </w:rPr>
      </w:pPr>
      <w:r w:rsidRPr="0054624C">
        <w:rPr>
          <w:rFonts w:ascii="Arial" w:hAnsi="Arial" w:cs="Arial"/>
          <w:b/>
          <w:bCs/>
          <w:sz w:val="24"/>
          <w:szCs w:val="24"/>
          <w:u w:val="single"/>
        </w:rPr>
        <w:t>Contacts:</w:t>
      </w:r>
    </w:p>
    <w:p w14:paraId="12CE66F1" w14:textId="77777777" w:rsidR="00E2024A" w:rsidRDefault="00E2024A" w:rsidP="00AD5BF9">
      <w:pPr>
        <w:jc w:val="left"/>
        <w:rPr>
          <w:rFonts w:ascii="Arial" w:hAnsi="Arial" w:cs="Arial"/>
          <w:b/>
          <w:bCs/>
          <w:sz w:val="24"/>
          <w:szCs w:val="24"/>
          <w:u w:val="single"/>
        </w:rPr>
      </w:pPr>
    </w:p>
    <w:tbl>
      <w:tblPr>
        <w:tblW w:w="4839" w:type="pct"/>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706"/>
        <w:gridCol w:w="2615"/>
      </w:tblGrid>
      <w:tr w:rsidR="00E2024A" w14:paraId="6C93410F" w14:textId="77777777" w:rsidTr="008F7BE3">
        <w:tc>
          <w:tcPr>
            <w:tcW w:w="3597" w:type="pct"/>
            <w:tcBorders>
              <w:top w:val="single" w:sz="4" w:space="0" w:color="auto"/>
              <w:left w:val="single" w:sz="4" w:space="0" w:color="auto"/>
              <w:bottom w:val="nil"/>
              <w:right w:val="nil"/>
            </w:tcBorders>
            <w:hideMark/>
          </w:tcPr>
          <w:p w14:paraId="7B2E9592" w14:textId="77777777" w:rsidR="00E2024A" w:rsidRDefault="00E2024A" w:rsidP="008F7BE3">
            <w:pPr>
              <w:jc w:val="left"/>
              <w:rPr>
                <w:rFonts w:ascii="Arial" w:hAnsi="Arial" w:cs="Arial"/>
                <w:sz w:val="24"/>
                <w:szCs w:val="24"/>
              </w:rPr>
            </w:pPr>
            <w:r>
              <w:rPr>
                <w:rFonts w:ascii="Arial" w:hAnsi="Arial" w:cs="Arial"/>
                <w:sz w:val="24"/>
                <w:szCs w:val="24"/>
              </w:rPr>
              <w:t>Investor Relations</w:t>
            </w:r>
          </w:p>
        </w:tc>
        <w:tc>
          <w:tcPr>
            <w:tcW w:w="1403" w:type="pct"/>
            <w:tcBorders>
              <w:top w:val="single" w:sz="4" w:space="0" w:color="auto"/>
              <w:left w:val="nil"/>
              <w:bottom w:val="nil"/>
              <w:right w:val="single" w:sz="4" w:space="0" w:color="auto"/>
            </w:tcBorders>
            <w:hideMark/>
          </w:tcPr>
          <w:p w14:paraId="452D0E88" w14:textId="77777777" w:rsidR="00E2024A" w:rsidRDefault="00E2024A" w:rsidP="008F7BE3">
            <w:pPr>
              <w:jc w:val="right"/>
              <w:rPr>
                <w:rFonts w:ascii="Arial" w:hAnsi="Arial" w:cs="Arial"/>
                <w:sz w:val="24"/>
                <w:szCs w:val="24"/>
              </w:rPr>
            </w:pPr>
            <w:r>
              <w:rPr>
                <w:rFonts w:ascii="Arial" w:hAnsi="Arial" w:cs="Arial"/>
                <w:sz w:val="24"/>
                <w:szCs w:val="24"/>
              </w:rPr>
              <w:t>+44 (0) 20 7644 1029</w:t>
            </w:r>
          </w:p>
        </w:tc>
      </w:tr>
      <w:tr w:rsidR="00E2024A" w14:paraId="2F161DC7" w14:textId="77777777" w:rsidTr="008F7BE3">
        <w:tc>
          <w:tcPr>
            <w:tcW w:w="3597" w:type="pct"/>
            <w:tcBorders>
              <w:top w:val="nil"/>
              <w:left w:val="single" w:sz="4" w:space="0" w:color="auto"/>
              <w:bottom w:val="nil"/>
              <w:right w:val="nil"/>
            </w:tcBorders>
            <w:hideMark/>
          </w:tcPr>
          <w:p w14:paraId="6833CB7E" w14:textId="77777777" w:rsidR="00E2024A" w:rsidRDefault="00E2024A" w:rsidP="008F7BE3">
            <w:pPr>
              <w:jc w:val="left"/>
              <w:rPr>
                <w:rFonts w:ascii="Arial" w:hAnsi="Arial" w:cs="Arial"/>
                <w:sz w:val="24"/>
                <w:szCs w:val="24"/>
              </w:rPr>
            </w:pPr>
            <w:r>
              <w:rPr>
                <w:rFonts w:ascii="Arial" w:hAnsi="Arial" w:cs="Arial"/>
                <w:sz w:val="24"/>
                <w:szCs w:val="24"/>
              </w:rPr>
              <w:t>Media Relations</w:t>
            </w:r>
          </w:p>
        </w:tc>
        <w:tc>
          <w:tcPr>
            <w:tcW w:w="1403" w:type="pct"/>
            <w:tcBorders>
              <w:top w:val="nil"/>
              <w:left w:val="nil"/>
              <w:bottom w:val="nil"/>
              <w:right w:val="single" w:sz="4" w:space="0" w:color="auto"/>
            </w:tcBorders>
            <w:hideMark/>
          </w:tcPr>
          <w:p w14:paraId="2612821B" w14:textId="77777777" w:rsidR="00E2024A" w:rsidRDefault="00E2024A" w:rsidP="008F7BE3">
            <w:pPr>
              <w:jc w:val="right"/>
              <w:rPr>
                <w:rFonts w:ascii="Arial" w:hAnsi="Arial" w:cs="Arial"/>
                <w:sz w:val="24"/>
                <w:szCs w:val="24"/>
              </w:rPr>
            </w:pPr>
            <w:r>
              <w:rPr>
                <w:rFonts w:ascii="Arial" w:hAnsi="Arial" w:cs="Arial"/>
                <w:sz w:val="24"/>
                <w:szCs w:val="24"/>
              </w:rPr>
              <w:t>+44 (0) 20 7644 1030</w:t>
            </w:r>
          </w:p>
        </w:tc>
      </w:tr>
      <w:tr w:rsidR="00E2024A" w14:paraId="15B3B4C7" w14:textId="77777777" w:rsidTr="008F7BE3">
        <w:tc>
          <w:tcPr>
            <w:tcW w:w="3597" w:type="pct"/>
            <w:tcBorders>
              <w:top w:val="nil"/>
              <w:left w:val="single" w:sz="4" w:space="0" w:color="auto"/>
              <w:bottom w:val="single" w:sz="4" w:space="0" w:color="auto"/>
              <w:right w:val="nil"/>
            </w:tcBorders>
            <w:hideMark/>
          </w:tcPr>
          <w:p w14:paraId="7E811835" w14:textId="77777777" w:rsidR="00E2024A" w:rsidRDefault="00E2024A" w:rsidP="008F7BE3">
            <w:pPr>
              <w:jc w:val="left"/>
              <w:rPr>
                <w:rFonts w:ascii="Arial" w:hAnsi="Arial" w:cs="Arial"/>
                <w:sz w:val="16"/>
                <w:szCs w:val="16"/>
              </w:rPr>
            </w:pPr>
            <w:r>
              <w:rPr>
                <w:rFonts w:ascii="Arial" w:hAnsi="Arial" w:cs="Arial"/>
                <w:sz w:val="24"/>
                <w:szCs w:val="24"/>
              </w:rPr>
              <w:t>Brunswick</w:t>
            </w:r>
          </w:p>
        </w:tc>
        <w:tc>
          <w:tcPr>
            <w:tcW w:w="1403" w:type="pct"/>
            <w:tcBorders>
              <w:top w:val="nil"/>
              <w:left w:val="nil"/>
              <w:bottom w:val="single" w:sz="4" w:space="0" w:color="auto"/>
              <w:right w:val="single" w:sz="4" w:space="0" w:color="auto"/>
            </w:tcBorders>
            <w:hideMark/>
          </w:tcPr>
          <w:p w14:paraId="398A9CF2" w14:textId="77777777" w:rsidR="00E2024A" w:rsidRDefault="00E2024A" w:rsidP="008F7BE3">
            <w:pPr>
              <w:jc w:val="right"/>
              <w:rPr>
                <w:rFonts w:ascii="Arial" w:hAnsi="Arial" w:cs="Arial"/>
                <w:sz w:val="16"/>
                <w:szCs w:val="16"/>
              </w:rPr>
            </w:pPr>
            <w:r>
              <w:rPr>
                <w:rFonts w:ascii="Arial" w:hAnsi="Arial" w:cs="Arial"/>
                <w:sz w:val="24"/>
                <w:szCs w:val="24"/>
              </w:rPr>
              <w:t>+44 (0) 20 7404 5959</w:t>
            </w:r>
          </w:p>
        </w:tc>
      </w:tr>
    </w:tbl>
    <w:p w14:paraId="1A48EC76" w14:textId="77777777" w:rsidR="00E2024A" w:rsidRDefault="00E2024A" w:rsidP="007C228C">
      <w:pPr>
        <w:jc w:val="left"/>
        <w:rPr>
          <w:rFonts w:ascii="Arial" w:hAnsi="Arial" w:cs="Arial"/>
          <w:sz w:val="24"/>
          <w:szCs w:val="24"/>
        </w:rPr>
      </w:pPr>
    </w:p>
    <w:p w14:paraId="37A2BF57" w14:textId="68A74C56" w:rsidR="00181E03" w:rsidRPr="000971B9" w:rsidRDefault="00E2024A" w:rsidP="007C228C">
      <w:pPr>
        <w:jc w:val="left"/>
        <w:rPr>
          <w:rFonts w:ascii="Arial" w:hAnsi="Arial" w:cs="Arial"/>
          <w:sz w:val="24"/>
          <w:szCs w:val="24"/>
        </w:rPr>
      </w:pPr>
      <w:r>
        <w:rPr>
          <w:rFonts w:ascii="Arial" w:hAnsi="Arial" w:cs="Arial"/>
          <w:sz w:val="24"/>
          <w:szCs w:val="24"/>
        </w:rPr>
        <w:t>T</w:t>
      </w:r>
      <w:r w:rsidRPr="00F16A72">
        <w:rPr>
          <w:rFonts w:ascii="Arial" w:hAnsi="Arial" w:cs="Arial"/>
          <w:sz w:val="24"/>
          <w:szCs w:val="24"/>
        </w:rPr>
        <w:t xml:space="preserve">his announcement can be downloaded from </w:t>
      </w:r>
      <w:hyperlink r:id="rId8" w:history="1">
        <w:r w:rsidRPr="009020B1">
          <w:rPr>
            <w:rStyle w:val="Hyperlink"/>
            <w:rFonts w:ascii="Arial" w:hAnsi="Arial" w:cs="Arial"/>
            <w:sz w:val="24"/>
            <w:szCs w:val="24"/>
          </w:rPr>
          <w:t>www.kingfisher.com</w:t>
        </w:r>
      </w:hyperlink>
      <w:r>
        <w:rPr>
          <w:rFonts w:ascii="Arial" w:hAnsi="Arial" w:cs="Arial"/>
          <w:sz w:val="24"/>
          <w:szCs w:val="24"/>
        </w:rPr>
        <w:t xml:space="preserve"> o</w:t>
      </w:r>
      <w:r w:rsidRPr="00F16A72">
        <w:rPr>
          <w:rFonts w:ascii="Arial" w:hAnsi="Arial" w:cs="Arial"/>
          <w:sz w:val="24"/>
          <w:szCs w:val="24"/>
        </w:rPr>
        <w:t>r viewed on the Kingfisher IR iPad App</w:t>
      </w:r>
      <w:r>
        <w:rPr>
          <w:rFonts w:ascii="Arial" w:hAnsi="Arial" w:cs="Arial"/>
          <w:sz w:val="24"/>
          <w:szCs w:val="24"/>
        </w:rPr>
        <w:t>.</w:t>
      </w:r>
      <w:r w:rsidRPr="00F16A72">
        <w:rPr>
          <w:rFonts w:ascii="Arial" w:hAnsi="Arial" w:cs="Arial"/>
          <w:sz w:val="24"/>
          <w:szCs w:val="24"/>
        </w:rPr>
        <w:t xml:space="preserve"> </w:t>
      </w:r>
      <w:r w:rsidR="00BC7493">
        <w:rPr>
          <w:rFonts w:ascii="Arial" w:hAnsi="Arial" w:cs="Arial"/>
          <w:sz w:val="24"/>
          <w:szCs w:val="24"/>
        </w:rPr>
        <w:t>W</w:t>
      </w:r>
      <w:r w:rsidR="007C228C" w:rsidRPr="000971B9">
        <w:rPr>
          <w:rFonts w:ascii="Arial" w:hAnsi="Arial" w:cs="Arial"/>
          <w:sz w:val="24"/>
          <w:szCs w:val="24"/>
        </w:rPr>
        <w:t>e can be followed on twitter</w:t>
      </w:r>
      <w:r w:rsidR="00BC7493">
        <w:rPr>
          <w:rFonts w:ascii="Arial" w:hAnsi="Arial" w:cs="Arial"/>
          <w:sz w:val="24"/>
          <w:szCs w:val="24"/>
        </w:rPr>
        <w:t xml:space="preserve"> </w:t>
      </w:r>
      <w:r w:rsidR="007C228C" w:rsidRPr="000971B9">
        <w:rPr>
          <w:rFonts w:ascii="Arial" w:hAnsi="Arial" w:cs="Arial"/>
          <w:sz w:val="24"/>
          <w:szCs w:val="24"/>
        </w:rPr>
        <w:t>@</w:t>
      </w:r>
      <w:proofErr w:type="spellStart"/>
      <w:r w:rsidR="007C228C" w:rsidRPr="000971B9">
        <w:rPr>
          <w:rFonts w:ascii="Arial" w:hAnsi="Arial" w:cs="Arial"/>
          <w:sz w:val="24"/>
          <w:szCs w:val="24"/>
        </w:rPr>
        <w:t>kingfisherplc</w:t>
      </w:r>
      <w:proofErr w:type="spellEnd"/>
      <w:r>
        <w:rPr>
          <w:rFonts w:ascii="Arial" w:hAnsi="Arial" w:cs="Arial"/>
          <w:sz w:val="24"/>
          <w:szCs w:val="24"/>
        </w:rPr>
        <w:t xml:space="preserve"> with the Interim results tag #KGFH1</w:t>
      </w:r>
      <w:r w:rsidR="007C228C" w:rsidRPr="000971B9">
        <w:rPr>
          <w:rFonts w:ascii="Arial" w:hAnsi="Arial" w:cs="Arial"/>
          <w:sz w:val="24"/>
          <w:szCs w:val="24"/>
        </w:rPr>
        <w:t>.</w:t>
      </w:r>
      <w:r>
        <w:rPr>
          <w:rFonts w:ascii="Arial" w:hAnsi="Arial" w:cs="Arial"/>
          <w:sz w:val="24"/>
          <w:szCs w:val="24"/>
        </w:rPr>
        <w:t xml:space="preserve"> Our next announcement</w:t>
      </w:r>
      <w:r w:rsidRPr="00B325A7">
        <w:rPr>
          <w:rFonts w:ascii="Arial" w:hAnsi="Arial" w:cs="Arial"/>
          <w:sz w:val="24"/>
          <w:szCs w:val="24"/>
        </w:rPr>
        <w:t xml:space="preserve"> will</w:t>
      </w:r>
      <w:r>
        <w:rPr>
          <w:rFonts w:ascii="Arial" w:hAnsi="Arial" w:cs="Arial"/>
          <w:sz w:val="24"/>
          <w:szCs w:val="24"/>
        </w:rPr>
        <w:t xml:space="preserve"> be </w:t>
      </w:r>
      <w:r w:rsidRPr="00B53777">
        <w:rPr>
          <w:rFonts w:ascii="Arial" w:hAnsi="Arial" w:cs="Arial"/>
          <w:sz w:val="24"/>
          <w:szCs w:val="24"/>
        </w:rPr>
        <w:t xml:space="preserve">the </w:t>
      </w:r>
      <w:r>
        <w:rPr>
          <w:rFonts w:ascii="Arial" w:hAnsi="Arial" w:cs="Arial"/>
          <w:sz w:val="24"/>
          <w:szCs w:val="24"/>
        </w:rPr>
        <w:t>Q3</w:t>
      </w:r>
      <w:r w:rsidRPr="00B53777">
        <w:rPr>
          <w:rFonts w:ascii="Arial" w:hAnsi="Arial" w:cs="Arial"/>
          <w:sz w:val="24"/>
          <w:szCs w:val="24"/>
        </w:rPr>
        <w:t xml:space="preserve"> </w:t>
      </w:r>
      <w:r w:rsidR="008808D8">
        <w:rPr>
          <w:rFonts w:ascii="Arial" w:hAnsi="Arial" w:cs="Arial"/>
          <w:sz w:val="24"/>
          <w:szCs w:val="24"/>
        </w:rPr>
        <w:t xml:space="preserve">trading update </w:t>
      </w:r>
      <w:r>
        <w:rPr>
          <w:rFonts w:ascii="Arial" w:hAnsi="Arial" w:cs="Arial"/>
          <w:sz w:val="24"/>
          <w:szCs w:val="24"/>
        </w:rPr>
        <w:t>for period</w:t>
      </w:r>
      <w:r w:rsidRPr="00B53777">
        <w:rPr>
          <w:rFonts w:ascii="Arial" w:hAnsi="Arial" w:cs="Arial"/>
          <w:sz w:val="24"/>
          <w:szCs w:val="24"/>
        </w:rPr>
        <w:t xml:space="preserve"> ended</w:t>
      </w:r>
      <w:r w:rsidR="00ED7733">
        <w:rPr>
          <w:rFonts w:ascii="Arial" w:hAnsi="Arial" w:cs="Arial"/>
          <w:sz w:val="24"/>
          <w:szCs w:val="24"/>
        </w:rPr>
        <w:t xml:space="preserve"> 31 October</w:t>
      </w:r>
      <w:r>
        <w:rPr>
          <w:rFonts w:ascii="Arial" w:hAnsi="Arial" w:cs="Arial"/>
          <w:sz w:val="24"/>
          <w:szCs w:val="24"/>
        </w:rPr>
        <w:t xml:space="preserve"> </w:t>
      </w:r>
      <w:r w:rsidRPr="00B53777">
        <w:rPr>
          <w:rFonts w:ascii="Arial" w:hAnsi="Arial" w:cs="Arial"/>
          <w:sz w:val="24"/>
          <w:szCs w:val="24"/>
        </w:rPr>
        <w:t xml:space="preserve">2015 on </w:t>
      </w:r>
      <w:r>
        <w:rPr>
          <w:rFonts w:ascii="Arial" w:hAnsi="Arial" w:cs="Arial"/>
          <w:sz w:val="24"/>
          <w:szCs w:val="24"/>
        </w:rPr>
        <w:t xml:space="preserve">24 November </w:t>
      </w:r>
      <w:r w:rsidRPr="00B53777">
        <w:rPr>
          <w:rFonts w:ascii="Arial" w:hAnsi="Arial" w:cs="Arial"/>
          <w:sz w:val="24"/>
          <w:szCs w:val="24"/>
        </w:rPr>
        <w:t>2015.</w:t>
      </w:r>
    </w:p>
    <w:p w14:paraId="79934492" w14:textId="77777777" w:rsidR="00025774" w:rsidRPr="000971B9" w:rsidRDefault="00025774" w:rsidP="007C228C">
      <w:pPr>
        <w:jc w:val="left"/>
        <w:rPr>
          <w:rFonts w:ascii="Arial" w:hAnsi="Arial" w:cs="Arial"/>
          <w:sz w:val="24"/>
          <w:szCs w:val="24"/>
        </w:rPr>
      </w:pPr>
    </w:p>
    <w:p w14:paraId="76775325" w14:textId="77777777" w:rsidR="00615012" w:rsidRDefault="00615012" w:rsidP="007C228C">
      <w:pPr>
        <w:autoSpaceDE w:val="0"/>
        <w:autoSpaceDN w:val="0"/>
        <w:adjustRightInd w:val="0"/>
        <w:jc w:val="left"/>
        <w:rPr>
          <w:rFonts w:ascii="Arial" w:hAnsi="Arial" w:cs="Arial"/>
          <w:sz w:val="24"/>
          <w:szCs w:val="24"/>
        </w:rPr>
      </w:pPr>
    </w:p>
    <w:p w14:paraId="21BA8F53" w14:textId="77777777" w:rsidR="007C228C" w:rsidRPr="000971B9" w:rsidRDefault="007C228C" w:rsidP="007C228C">
      <w:pPr>
        <w:autoSpaceDE w:val="0"/>
        <w:autoSpaceDN w:val="0"/>
        <w:adjustRightInd w:val="0"/>
        <w:jc w:val="left"/>
        <w:rPr>
          <w:rFonts w:ascii="Arial" w:hAnsi="Arial" w:cs="Arial"/>
          <w:sz w:val="24"/>
          <w:szCs w:val="24"/>
        </w:rPr>
      </w:pPr>
      <w:r w:rsidRPr="000971B9">
        <w:rPr>
          <w:rFonts w:ascii="Arial" w:hAnsi="Arial" w:cs="Arial"/>
          <w:sz w:val="24"/>
          <w:szCs w:val="24"/>
        </w:rPr>
        <w:t>Kingfisher American Depository Receipts are traded in the US on the OTCQX platform:</w:t>
      </w:r>
    </w:p>
    <w:p w14:paraId="1909D332" w14:textId="1660C342" w:rsidR="007C228C" w:rsidRPr="000971B9" w:rsidRDefault="007C228C" w:rsidP="00E2024A">
      <w:pPr>
        <w:autoSpaceDE w:val="0"/>
        <w:autoSpaceDN w:val="0"/>
        <w:adjustRightInd w:val="0"/>
        <w:jc w:val="left"/>
        <w:rPr>
          <w:rFonts w:ascii="Arial" w:hAnsi="Arial" w:cs="Arial"/>
          <w:sz w:val="24"/>
          <w:szCs w:val="24"/>
        </w:rPr>
      </w:pPr>
      <w:r w:rsidRPr="000971B9">
        <w:rPr>
          <w:rFonts w:ascii="Arial" w:hAnsi="Arial" w:cs="Arial"/>
          <w:sz w:val="24"/>
          <w:szCs w:val="24"/>
        </w:rPr>
        <w:t>(OTCQX: KGFHY)</w:t>
      </w:r>
      <w:r w:rsidR="00E2024A">
        <w:rPr>
          <w:rFonts w:ascii="Arial" w:hAnsi="Arial" w:cs="Arial"/>
          <w:sz w:val="24"/>
          <w:szCs w:val="24"/>
        </w:rPr>
        <w:t xml:space="preserve"> </w:t>
      </w:r>
      <w:r w:rsidRPr="000971B9">
        <w:rPr>
          <w:rFonts w:ascii="Arial" w:hAnsi="Arial" w:cs="Arial"/>
          <w:sz w:val="24"/>
          <w:szCs w:val="24"/>
        </w:rPr>
        <w:t>http://www.otcmarkets.com/stock/KGFHY/quote</w:t>
      </w:r>
    </w:p>
    <w:p w14:paraId="46D1A22A" w14:textId="116AA87E" w:rsidR="00341E1C" w:rsidRPr="000971B9" w:rsidRDefault="00341E1C" w:rsidP="00A1426F">
      <w:pPr>
        <w:autoSpaceDE w:val="0"/>
        <w:autoSpaceDN w:val="0"/>
        <w:adjustRightInd w:val="0"/>
        <w:jc w:val="left"/>
        <w:rPr>
          <w:rFonts w:ascii="Arial" w:hAnsi="Arial" w:cs="Arial"/>
          <w:sz w:val="24"/>
          <w:szCs w:val="24"/>
        </w:rPr>
      </w:pPr>
    </w:p>
    <w:p w14:paraId="734701CB" w14:textId="10773A0C" w:rsidR="00025774" w:rsidRPr="00317387" w:rsidRDefault="00181E03" w:rsidP="00EE1E29">
      <w:pPr>
        <w:jc w:val="left"/>
        <w:rPr>
          <w:rFonts w:ascii="Arial" w:hAnsi="Arial" w:cs="Arial"/>
          <w:sz w:val="24"/>
          <w:szCs w:val="24"/>
        </w:rPr>
      </w:pPr>
      <w:r w:rsidRPr="00317387">
        <w:rPr>
          <w:rFonts w:ascii="Arial" w:hAnsi="Arial" w:cs="Arial"/>
          <w:sz w:val="24"/>
          <w:szCs w:val="24"/>
        </w:rPr>
        <w:t xml:space="preserve">The remainder of this release </w:t>
      </w:r>
      <w:r w:rsidR="009B6367" w:rsidRPr="00317387">
        <w:rPr>
          <w:rFonts w:ascii="Arial" w:hAnsi="Arial" w:cs="Arial"/>
          <w:sz w:val="24"/>
          <w:szCs w:val="24"/>
        </w:rPr>
        <w:t xml:space="preserve">is broken down into </w:t>
      </w:r>
      <w:r w:rsidR="004F4BB9">
        <w:rPr>
          <w:rFonts w:ascii="Arial" w:hAnsi="Arial" w:cs="Arial"/>
          <w:sz w:val="24"/>
          <w:szCs w:val="24"/>
        </w:rPr>
        <w:t>six</w:t>
      </w:r>
      <w:r w:rsidR="004F4BB9" w:rsidRPr="00317387">
        <w:rPr>
          <w:rFonts w:ascii="Arial" w:hAnsi="Arial" w:cs="Arial"/>
          <w:sz w:val="24"/>
          <w:szCs w:val="24"/>
        </w:rPr>
        <w:t xml:space="preserve"> </w:t>
      </w:r>
      <w:r w:rsidRPr="00317387">
        <w:rPr>
          <w:rFonts w:ascii="Arial" w:hAnsi="Arial" w:cs="Arial"/>
          <w:sz w:val="24"/>
          <w:szCs w:val="24"/>
        </w:rPr>
        <w:t>main sections:</w:t>
      </w:r>
    </w:p>
    <w:p w14:paraId="061CAF1A" w14:textId="43E06523" w:rsidR="00C34F2D" w:rsidRPr="00317387" w:rsidRDefault="00317387" w:rsidP="004B173A">
      <w:pPr>
        <w:numPr>
          <w:ilvl w:val="0"/>
          <w:numId w:val="1"/>
        </w:numPr>
        <w:ind w:left="360"/>
        <w:jc w:val="left"/>
        <w:rPr>
          <w:rFonts w:ascii="Arial" w:hAnsi="Arial" w:cs="Arial"/>
          <w:sz w:val="24"/>
          <w:szCs w:val="24"/>
        </w:rPr>
      </w:pPr>
      <w:r w:rsidRPr="00317387">
        <w:rPr>
          <w:rFonts w:ascii="Arial" w:hAnsi="Arial" w:cs="Arial"/>
          <w:sz w:val="24"/>
          <w:szCs w:val="24"/>
        </w:rPr>
        <w:t>‘ONE’ Kingfisher</w:t>
      </w:r>
      <w:r w:rsidR="0081307B" w:rsidRPr="00317387">
        <w:rPr>
          <w:rFonts w:ascii="Arial" w:hAnsi="Arial" w:cs="Arial"/>
          <w:sz w:val="24"/>
          <w:szCs w:val="24"/>
        </w:rPr>
        <w:t xml:space="preserve"> update</w:t>
      </w:r>
    </w:p>
    <w:p w14:paraId="157630B8" w14:textId="0638DC61" w:rsidR="003E3617" w:rsidRPr="00317387" w:rsidRDefault="0058650E" w:rsidP="004B173A">
      <w:pPr>
        <w:numPr>
          <w:ilvl w:val="0"/>
          <w:numId w:val="1"/>
        </w:numPr>
        <w:ind w:left="360"/>
        <w:jc w:val="left"/>
        <w:rPr>
          <w:rFonts w:ascii="Arial" w:hAnsi="Arial" w:cs="Arial"/>
          <w:sz w:val="24"/>
          <w:szCs w:val="24"/>
        </w:rPr>
      </w:pPr>
      <w:r>
        <w:rPr>
          <w:rFonts w:ascii="Arial" w:hAnsi="Arial" w:cs="Arial"/>
          <w:sz w:val="24"/>
          <w:szCs w:val="24"/>
        </w:rPr>
        <w:t>Trading</w:t>
      </w:r>
      <w:r w:rsidR="007B306A" w:rsidRPr="00317387">
        <w:rPr>
          <w:rFonts w:ascii="Arial" w:hAnsi="Arial" w:cs="Arial"/>
          <w:sz w:val="24"/>
          <w:szCs w:val="24"/>
        </w:rPr>
        <w:t xml:space="preserve"> rev</w:t>
      </w:r>
      <w:r w:rsidR="003E3617" w:rsidRPr="00317387">
        <w:rPr>
          <w:rFonts w:ascii="Arial" w:hAnsi="Arial" w:cs="Arial"/>
          <w:sz w:val="24"/>
          <w:szCs w:val="24"/>
        </w:rPr>
        <w:t>iew by major geography</w:t>
      </w:r>
    </w:p>
    <w:p w14:paraId="12FDB545" w14:textId="77777777" w:rsidR="0030578B" w:rsidRPr="0030578B" w:rsidRDefault="0030578B" w:rsidP="0030578B">
      <w:pPr>
        <w:numPr>
          <w:ilvl w:val="0"/>
          <w:numId w:val="1"/>
        </w:numPr>
        <w:ind w:left="360"/>
        <w:jc w:val="left"/>
        <w:rPr>
          <w:rFonts w:ascii="Arial" w:hAnsi="Arial" w:cs="Arial"/>
          <w:sz w:val="24"/>
          <w:szCs w:val="24"/>
        </w:rPr>
      </w:pPr>
      <w:r w:rsidRPr="0030578B">
        <w:rPr>
          <w:rFonts w:ascii="Arial" w:hAnsi="Arial" w:cs="Arial"/>
          <w:sz w:val="24"/>
          <w:szCs w:val="24"/>
        </w:rPr>
        <w:t>FY 2015/16 Technical guidance</w:t>
      </w:r>
    </w:p>
    <w:p w14:paraId="7237C620" w14:textId="41845C37" w:rsidR="003A35D2" w:rsidRPr="00317387" w:rsidRDefault="003A35D2" w:rsidP="004B173A">
      <w:pPr>
        <w:numPr>
          <w:ilvl w:val="0"/>
          <w:numId w:val="1"/>
        </w:numPr>
        <w:ind w:left="360"/>
        <w:jc w:val="left"/>
        <w:rPr>
          <w:rFonts w:ascii="Arial" w:hAnsi="Arial" w:cs="Arial"/>
          <w:b/>
          <w:bCs/>
          <w:sz w:val="28"/>
          <w:szCs w:val="28"/>
        </w:rPr>
      </w:pPr>
      <w:r w:rsidRPr="00317387">
        <w:rPr>
          <w:rFonts w:ascii="Arial" w:hAnsi="Arial" w:cs="Arial"/>
          <w:sz w:val="24"/>
          <w:szCs w:val="24"/>
        </w:rPr>
        <w:t xml:space="preserve">Financial Review and, in part 2 of this </w:t>
      </w:r>
      <w:r w:rsidR="0058650E">
        <w:rPr>
          <w:rFonts w:ascii="Arial" w:hAnsi="Arial" w:cs="Arial"/>
          <w:sz w:val="24"/>
          <w:szCs w:val="24"/>
        </w:rPr>
        <w:t>announcement</w:t>
      </w:r>
      <w:r w:rsidRPr="00317387">
        <w:rPr>
          <w:rFonts w:ascii="Arial" w:hAnsi="Arial" w:cs="Arial"/>
          <w:sz w:val="24"/>
          <w:szCs w:val="24"/>
        </w:rPr>
        <w:t xml:space="preserve">, the </w:t>
      </w:r>
      <w:r w:rsidR="00317387">
        <w:rPr>
          <w:rFonts w:ascii="Arial" w:hAnsi="Arial" w:cs="Arial"/>
          <w:sz w:val="24"/>
          <w:szCs w:val="24"/>
        </w:rPr>
        <w:t>interim</w:t>
      </w:r>
      <w:r w:rsidRPr="00317387">
        <w:rPr>
          <w:rFonts w:ascii="Arial" w:hAnsi="Arial" w:cs="Arial"/>
          <w:sz w:val="24"/>
          <w:szCs w:val="24"/>
        </w:rPr>
        <w:t xml:space="preserve"> </w:t>
      </w:r>
      <w:r w:rsidR="0058650E">
        <w:rPr>
          <w:rFonts w:ascii="Arial" w:hAnsi="Arial" w:cs="Arial"/>
          <w:sz w:val="24"/>
          <w:szCs w:val="24"/>
        </w:rPr>
        <w:t xml:space="preserve">condensed </w:t>
      </w:r>
      <w:r w:rsidRPr="00317387">
        <w:rPr>
          <w:rFonts w:ascii="Arial" w:hAnsi="Arial" w:cs="Arial"/>
          <w:sz w:val="24"/>
          <w:szCs w:val="24"/>
        </w:rPr>
        <w:t>Financial Statements</w:t>
      </w:r>
    </w:p>
    <w:p w14:paraId="37468DDD" w14:textId="28BD17A6" w:rsidR="008B440F" w:rsidRPr="008B440F" w:rsidRDefault="008B440F" w:rsidP="0047127B">
      <w:pPr>
        <w:numPr>
          <w:ilvl w:val="0"/>
          <w:numId w:val="1"/>
        </w:numPr>
        <w:ind w:left="360"/>
        <w:jc w:val="left"/>
        <w:rPr>
          <w:rFonts w:ascii="Arial" w:hAnsi="Arial" w:cs="Arial"/>
          <w:sz w:val="24"/>
          <w:szCs w:val="24"/>
        </w:rPr>
      </w:pPr>
      <w:r w:rsidRPr="00926779">
        <w:rPr>
          <w:rFonts w:ascii="Arial" w:hAnsi="Arial" w:cs="Arial"/>
          <w:sz w:val="24"/>
          <w:szCs w:val="24"/>
        </w:rPr>
        <w:t>Glossary</w:t>
      </w:r>
    </w:p>
    <w:p w14:paraId="4AB07DF0" w14:textId="77777777" w:rsidR="00BF0805" w:rsidRPr="00E322C9" w:rsidRDefault="00F865E8" w:rsidP="0047127B">
      <w:pPr>
        <w:numPr>
          <w:ilvl w:val="0"/>
          <w:numId w:val="1"/>
        </w:numPr>
        <w:ind w:left="360"/>
        <w:jc w:val="left"/>
        <w:rPr>
          <w:rFonts w:ascii="Arial" w:hAnsi="Arial" w:cs="Arial"/>
          <w:b/>
          <w:sz w:val="24"/>
          <w:szCs w:val="24"/>
        </w:rPr>
      </w:pPr>
      <w:r w:rsidRPr="00F75065">
        <w:rPr>
          <w:rFonts w:ascii="Arial" w:hAnsi="Arial" w:cs="Arial"/>
          <w:sz w:val="24"/>
          <w:szCs w:val="24"/>
        </w:rPr>
        <w:t>Forward-looking statements</w:t>
      </w:r>
    </w:p>
    <w:p w14:paraId="04956A4C" w14:textId="6FDC433D" w:rsidR="00D37435" w:rsidRPr="00F75065" w:rsidRDefault="00D37435" w:rsidP="0047127B">
      <w:pPr>
        <w:numPr>
          <w:ilvl w:val="0"/>
          <w:numId w:val="1"/>
        </w:numPr>
        <w:ind w:left="360"/>
        <w:jc w:val="left"/>
        <w:rPr>
          <w:rFonts w:ascii="Arial" w:hAnsi="Arial" w:cs="Arial"/>
          <w:b/>
          <w:sz w:val="24"/>
          <w:szCs w:val="24"/>
        </w:rPr>
      </w:pPr>
      <w:r w:rsidRPr="00F75065">
        <w:rPr>
          <w:rFonts w:ascii="Arial" w:hAnsi="Arial" w:cs="Arial"/>
          <w:b/>
          <w:sz w:val="24"/>
          <w:szCs w:val="24"/>
        </w:rPr>
        <w:br w:type="page"/>
      </w:r>
    </w:p>
    <w:p w14:paraId="2863D570" w14:textId="27E6220A" w:rsidR="003E3617" w:rsidRPr="000971B9" w:rsidRDefault="003E3617" w:rsidP="003E3617">
      <w:pPr>
        <w:jc w:val="left"/>
        <w:rPr>
          <w:rFonts w:ascii="Arial" w:hAnsi="Arial" w:cs="Arial"/>
          <w:b/>
          <w:sz w:val="24"/>
          <w:szCs w:val="24"/>
        </w:rPr>
      </w:pPr>
      <w:r w:rsidRPr="000971B9">
        <w:rPr>
          <w:rFonts w:ascii="Arial" w:hAnsi="Arial" w:cs="Arial"/>
          <w:b/>
          <w:sz w:val="24"/>
          <w:szCs w:val="24"/>
        </w:rPr>
        <w:lastRenderedPageBreak/>
        <w:t>Section 1</w:t>
      </w:r>
      <w:r w:rsidR="00376255" w:rsidRPr="000971B9">
        <w:rPr>
          <w:rFonts w:ascii="Arial" w:hAnsi="Arial" w:cs="Arial"/>
          <w:b/>
          <w:sz w:val="24"/>
          <w:szCs w:val="24"/>
        </w:rPr>
        <w:t xml:space="preserve">: </w:t>
      </w:r>
      <w:r w:rsidR="00D7499F">
        <w:rPr>
          <w:rFonts w:ascii="Arial" w:hAnsi="Arial" w:cs="Arial"/>
          <w:b/>
          <w:sz w:val="24"/>
          <w:szCs w:val="24"/>
        </w:rPr>
        <w:t>‘ONE’ Kingfisher update</w:t>
      </w:r>
    </w:p>
    <w:p w14:paraId="18FFEB1A" w14:textId="77777777" w:rsidR="00593A8E" w:rsidRDefault="00593A8E" w:rsidP="006C2C39">
      <w:pPr>
        <w:jc w:val="left"/>
        <w:rPr>
          <w:highlight w:val="yellow"/>
        </w:rPr>
      </w:pPr>
    </w:p>
    <w:p w14:paraId="2CEB0DE0" w14:textId="77C4947E" w:rsidR="00DF50ED" w:rsidRPr="00702384" w:rsidRDefault="00702384" w:rsidP="00DF50ED">
      <w:pPr>
        <w:jc w:val="left"/>
        <w:rPr>
          <w:rFonts w:ascii="Arial" w:hAnsi="Arial" w:cs="Arial"/>
          <w:sz w:val="24"/>
          <w:szCs w:val="24"/>
        </w:rPr>
      </w:pPr>
      <w:r w:rsidRPr="00702384">
        <w:rPr>
          <w:rFonts w:ascii="Arial" w:hAnsi="Arial" w:cs="Arial"/>
          <w:sz w:val="24"/>
          <w:szCs w:val="24"/>
        </w:rPr>
        <w:t xml:space="preserve">Following an in depth review of Kingfisher’s business and strategy </w:t>
      </w:r>
      <w:r w:rsidR="001E032B">
        <w:rPr>
          <w:rFonts w:ascii="Arial" w:hAnsi="Arial" w:cs="Arial"/>
          <w:sz w:val="24"/>
          <w:szCs w:val="24"/>
        </w:rPr>
        <w:t xml:space="preserve">earlier this year, </w:t>
      </w:r>
      <w:r w:rsidRPr="00702384">
        <w:rPr>
          <w:rFonts w:ascii="Arial" w:hAnsi="Arial" w:cs="Arial"/>
          <w:sz w:val="24"/>
          <w:szCs w:val="24"/>
        </w:rPr>
        <w:t>the leadership team announced ‘ONE’ Kingfisher</w:t>
      </w:r>
      <w:r>
        <w:rPr>
          <w:rFonts w:ascii="Arial" w:hAnsi="Arial" w:cs="Arial"/>
          <w:sz w:val="24"/>
          <w:szCs w:val="24"/>
        </w:rPr>
        <w:t>, a</w:t>
      </w:r>
      <w:r w:rsidRPr="00702384">
        <w:rPr>
          <w:rFonts w:ascii="Arial" w:hAnsi="Arial" w:cs="Arial"/>
          <w:sz w:val="24"/>
          <w:szCs w:val="24"/>
        </w:rPr>
        <w:t xml:space="preserve"> </w:t>
      </w:r>
      <w:r>
        <w:rPr>
          <w:rFonts w:ascii="Arial" w:hAnsi="Arial" w:cs="Arial"/>
          <w:sz w:val="24"/>
          <w:szCs w:val="24"/>
        </w:rPr>
        <w:t xml:space="preserve">plan that will </w:t>
      </w:r>
      <w:r w:rsidRPr="00702384">
        <w:rPr>
          <w:rFonts w:ascii="Arial" w:hAnsi="Arial" w:cs="Arial"/>
          <w:sz w:val="24"/>
          <w:szCs w:val="24"/>
        </w:rPr>
        <w:t>leverage the scale of the business by becoming a single unified company</w:t>
      </w:r>
      <w:r w:rsidR="003055DB">
        <w:rPr>
          <w:rFonts w:ascii="Arial" w:hAnsi="Arial" w:cs="Arial"/>
          <w:sz w:val="24"/>
          <w:szCs w:val="24"/>
        </w:rPr>
        <w:t xml:space="preserve"> where customer needs come first</w:t>
      </w:r>
      <w:r w:rsidRPr="00702384">
        <w:rPr>
          <w:rFonts w:ascii="Arial" w:hAnsi="Arial" w:cs="Arial"/>
          <w:sz w:val="24"/>
          <w:szCs w:val="24"/>
        </w:rPr>
        <w:t xml:space="preserve">. To achieve </w:t>
      </w:r>
      <w:r>
        <w:rPr>
          <w:rFonts w:ascii="Arial" w:hAnsi="Arial" w:cs="Arial"/>
          <w:sz w:val="24"/>
          <w:szCs w:val="24"/>
        </w:rPr>
        <w:t xml:space="preserve">this </w:t>
      </w:r>
      <w:r w:rsidR="003D7E43">
        <w:rPr>
          <w:rFonts w:ascii="Arial" w:hAnsi="Arial" w:cs="Arial"/>
          <w:sz w:val="24"/>
          <w:szCs w:val="24"/>
        </w:rPr>
        <w:t>the team</w:t>
      </w:r>
      <w:r>
        <w:rPr>
          <w:rFonts w:ascii="Arial" w:hAnsi="Arial" w:cs="Arial"/>
          <w:sz w:val="24"/>
          <w:szCs w:val="24"/>
        </w:rPr>
        <w:t xml:space="preserve"> concluded that </w:t>
      </w:r>
      <w:r w:rsidR="005F081C" w:rsidRPr="00702384">
        <w:rPr>
          <w:rFonts w:ascii="Arial" w:hAnsi="Arial" w:cs="Arial"/>
          <w:sz w:val="24"/>
          <w:szCs w:val="24"/>
        </w:rPr>
        <w:t>the business need</w:t>
      </w:r>
      <w:r w:rsidR="00C556E4" w:rsidRPr="00702384">
        <w:rPr>
          <w:rFonts w:ascii="Arial" w:hAnsi="Arial" w:cs="Arial"/>
          <w:sz w:val="24"/>
          <w:szCs w:val="24"/>
        </w:rPr>
        <w:t>s</w:t>
      </w:r>
      <w:r w:rsidR="005F081C" w:rsidRPr="00702384">
        <w:rPr>
          <w:rFonts w:ascii="Arial" w:hAnsi="Arial" w:cs="Arial"/>
          <w:sz w:val="24"/>
          <w:szCs w:val="24"/>
        </w:rPr>
        <w:t xml:space="preserve"> to be organised very differently</w:t>
      </w:r>
      <w:r w:rsidR="003055DB">
        <w:rPr>
          <w:rFonts w:ascii="Arial" w:hAnsi="Arial" w:cs="Arial"/>
          <w:sz w:val="24"/>
          <w:szCs w:val="24"/>
        </w:rPr>
        <w:t xml:space="preserve"> moving away from a set of locally managed businesses to a single unified company</w:t>
      </w:r>
      <w:r>
        <w:rPr>
          <w:rFonts w:ascii="Arial" w:hAnsi="Arial" w:cs="Arial"/>
          <w:sz w:val="24"/>
          <w:szCs w:val="24"/>
        </w:rPr>
        <w:t xml:space="preserve">. </w:t>
      </w:r>
    </w:p>
    <w:p w14:paraId="50802483" w14:textId="77777777" w:rsidR="00DF50ED" w:rsidRPr="002D01E7" w:rsidRDefault="00DF50ED" w:rsidP="005F081C">
      <w:pPr>
        <w:jc w:val="left"/>
        <w:rPr>
          <w:rFonts w:ascii="Arial" w:hAnsi="Arial" w:cs="Arial"/>
          <w:sz w:val="24"/>
          <w:szCs w:val="24"/>
          <w:highlight w:val="green"/>
        </w:rPr>
      </w:pPr>
    </w:p>
    <w:p w14:paraId="5F05A322" w14:textId="77777777" w:rsidR="005F081C" w:rsidRPr="00926779" w:rsidRDefault="005F081C" w:rsidP="005F081C">
      <w:pPr>
        <w:jc w:val="left"/>
        <w:rPr>
          <w:rFonts w:ascii="Arial" w:hAnsi="Arial" w:cs="Arial"/>
          <w:b/>
          <w:sz w:val="24"/>
          <w:szCs w:val="24"/>
        </w:rPr>
      </w:pPr>
      <w:r w:rsidRPr="00926779">
        <w:rPr>
          <w:rFonts w:ascii="Arial" w:hAnsi="Arial" w:cs="Arial"/>
          <w:b/>
          <w:sz w:val="24"/>
          <w:szCs w:val="24"/>
        </w:rPr>
        <w:t>A summary of the review findings are</w:t>
      </w:r>
      <w:r w:rsidR="009D56ED" w:rsidRPr="00926779">
        <w:rPr>
          <w:rFonts w:ascii="Arial" w:hAnsi="Arial" w:cs="Arial"/>
          <w:b/>
          <w:sz w:val="24"/>
          <w:szCs w:val="24"/>
        </w:rPr>
        <w:t xml:space="preserve"> below</w:t>
      </w:r>
      <w:r w:rsidRPr="00926779">
        <w:rPr>
          <w:rFonts w:ascii="Arial" w:hAnsi="Arial" w:cs="Arial"/>
          <w:b/>
          <w:sz w:val="24"/>
          <w:szCs w:val="24"/>
        </w:rPr>
        <w:t xml:space="preserve">:   </w:t>
      </w:r>
    </w:p>
    <w:p w14:paraId="76503E9E" w14:textId="77777777" w:rsidR="005F081C" w:rsidRPr="00702384" w:rsidRDefault="005F081C" w:rsidP="005F081C">
      <w:pPr>
        <w:jc w:val="left"/>
        <w:rPr>
          <w:rFonts w:ascii="Arial" w:hAnsi="Arial" w:cs="Arial"/>
          <w:sz w:val="24"/>
          <w:szCs w:val="24"/>
        </w:rPr>
      </w:pPr>
    </w:p>
    <w:p w14:paraId="7F7F297B" w14:textId="4B81AA19" w:rsidR="005F081C" w:rsidRPr="00702384" w:rsidRDefault="005F081C" w:rsidP="00926779">
      <w:pPr>
        <w:pStyle w:val="ListParagraph"/>
        <w:numPr>
          <w:ilvl w:val="0"/>
          <w:numId w:val="10"/>
        </w:numPr>
        <w:spacing w:line="240" w:lineRule="exact"/>
        <w:jc w:val="left"/>
        <w:rPr>
          <w:rFonts w:ascii="Arial" w:hAnsi="Arial" w:cs="Arial"/>
          <w:sz w:val="24"/>
          <w:szCs w:val="24"/>
        </w:rPr>
      </w:pPr>
      <w:r w:rsidRPr="00702384">
        <w:rPr>
          <w:rFonts w:ascii="Arial" w:hAnsi="Arial" w:cs="Arial"/>
          <w:sz w:val="24"/>
          <w:szCs w:val="24"/>
        </w:rPr>
        <w:t xml:space="preserve">Home improvement is a great market with </w:t>
      </w:r>
      <w:r w:rsidR="00C556E4" w:rsidRPr="00702384">
        <w:rPr>
          <w:rFonts w:ascii="Arial" w:hAnsi="Arial" w:cs="Arial"/>
          <w:sz w:val="24"/>
          <w:szCs w:val="24"/>
        </w:rPr>
        <w:t>huge</w:t>
      </w:r>
      <w:r w:rsidRPr="00702384">
        <w:rPr>
          <w:rFonts w:ascii="Arial" w:hAnsi="Arial" w:cs="Arial"/>
          <w:sz w:val="24"/>
          <w:szCs w:val="24"/>
        </w:rPr>
        <w:t xml:space="preserve"> potential</w:t>
      </w:r>
    </w:p>
    <w:p w14:paraId="4C675E13" w14:textId="77777777" w:rsidR="005F081C" w:rsidRPr="00702384" w:rsidRDefault="005F081C" w:rsidP="00926779">
      <w:pPr>
        <w:pStyle w:val="ListParagraph"/>
        <w:spacing w:line="240" w:lineRule="exact"/>
        <w:jc w:val="left"/>
        <w:rPr>
          <w:rFonts w:ascii="Arial" w:hAnsi="Arial" w:cs="Arial"/>
          <w:sz w:val="24"/>
          <w:szCs w:val="24"/>
        </w:rPr>
      </w:pPr>
    </w:p>
    <w:p w14:paraId="3490EBA0" w14:textId="48675287" w:rsidR="005F081C" w:rsidRPr="00702384" w:rsidRDefault="005F081C" w:rsidP="00926779">
      <w:pPr>
        <w:pStyle w:val="ListParagraph"/>
        <w:numPr>
          <w:ilvl w:val="0"/>
          <w:numId w:val="9"/>
        </w:numPr>
        <w:spacing w:after="200" w:line="240" w:lineRule="exact"/>
        <w:contextualSpacing/>
        <w:jc w:val="left"/>
        <w:rPr>
          <w:rFonts w:ascii="Arial" w:hAnsi="Arial" w:cs="Arial"/>
          <w:sz w:val="24"/>
          <w:szCs w:val="24"/>
        </w:rPr>
      </w:pPr>
      <w:r w:rsidRPr="00702384">
        <w:rPr>
          <w:rFonts w:ascii="Arial" w:hAnsi="Arial" w:cs="Arial"/>
          <w:sz w:val="24"/>
          <w:szCs w:val="24"/>
        </w:rPr>
        <w:t>We are right to focus on Europe</w:t>
      </w:r>
      <w:r w:rsidR="00A93153" w:rsidRPr="00702384">
        <w:rPr>
          <w:rFonts w:ascii="Arial" w:hAnsi="Arial" w:cs="Arial"/>
          <w:sz w:val="24"/>
          <w:szCs w:val="24"/>
        </w:rPr>
        <w:t>+</w:t>
      </w:r>
      <w:r w:rsidR="0070301D" w:rsidRPr="00702384">
        <w:rPr>
          <w:rFonts w:ascii="Arial" w:hAnsi="Arial" w:cs="Arial"/>
          <w:sz w:val="24"/>
          <w:szCs w:val="24"/>
        </w:rPr>
        <w:t>*</w:t>
      </w:r>
    </w:p>
    <w:p w14:paraId="36AC221B" w14:textId="77777777" w:rsidR="005F081C" w:rsidRPr="00702384" w:rsidRDefault="005F081C" w:rsidP="00926779">
      <w:pPr>
        <w:pStyle w:val="ListParagraph"/>
        <w:spacing w:line="240" w:lineRule="exact"/>
        <w:jc w:val="left"/>
        <w:rPr>
          <w:rFonts w:ascii="Arial" w:hAnsi="Arial" w:cs="Arial"/>
          <w:sz w:val="24"/>
          <w:szCs w:val="24"/>
        </w:rPr>
      </w:pPr>
    </w:p>
    <w:p w14:paraId="04A53C81" w14:textId="3ED5EFE4" w:rsidR="005F081C" w:rsidRPr="00702384" w:rsidRDefault="005F081C" w:rsidP="00926779">
      <w:pPr>
        <w:pStyle w:val="ListParagraph"/>
        <w:numPr>
          <w:ilvl w:val="0"/>
          <w:numId w:val="9"/>
        </w:numPr>
        <w:spacing w:after="200" w:line="240" w:lineRule="exact"/>
        <w:contextualSpacing/>
        <w:jc w:val="left"/>
        <w:rPr>
          <w:rFonts w:ascii="Arial" w:hAnsi="Arial" w:cs="Arial"/>
          <w:sz w:val="24"/>
          <w:szCs w:val="24"/>
        </w:rPr>
      </w:pPr>
      <w:r w:rsidRPr="00702384">
        <w:rPr>
          <w:rFonts w:ascii="Arial" w:hAnsi="Arial" w:cs="Arial"/>
          <w:sz w:val="24"/>
          <w:szCs w:val="24"/>
        </w:rPr>
        <w:t>We can achieve significant benefits from developing a more common</w:t>
      </w:r>
      <w:r w:rsidR="00DB55F6" w:rsidRPr="00702384">
        <w:rPr>
          <w:rFonts w:ascii="Arial" w:hAnsi="Arial" w:cs="Arial"/>
          <w:sz w:val="24"/>
          <w:szCs w:val="24"/>
        </w:rPr>
        <w:t>, unique</w:t>
      </w:r>
      <w:r w:rsidRPr="00702384">
        <w:rPr>
          <w:rFonts w:ascii="Arial" w:hAnsi="Arial" w:cs="Arial"/>
          <w:sz w:val="24"/>
          <w:szCs w:val="24"/>
        </w:rPr>
        <w:t xml:space="preserve"> and </w:t>
      </w:r>
      <w:r w:rsidR="00DB55F6" w:rsidRPr="00702384">
        <w:rPr>
          <w:rFonts w:ascii="Arial" w:hAnsi="Arial" w:cs="Arial"/>
          <w:sz w:val="24"/>
          <w:szCs w:val="24"/>
        </w:rPr>
        <w:t xml:space="preserve">effective </w:t>
      </w:r>
      <w:r w:rsidRPr="00702384">
        <w:rPr>
          <w:rFonts w:ascii="Arial" w:hAnsi="Arial" w:cs="Arial"/>
          <w:sz w:val="24"/>
          <w:szCs w:val="24"/>
        </w:rPr>
        <w:t>offer</w:t>
      </w:r>
    </w:p>
    <w:p w14:paraId="520EDA68" w14:textId="77777777" w:rsidR="005F081C" w:rsidRPr="00702384" w:rsidRDefault="005F081C" w:rsidP="00926779">
      <w:pPr>
        <w:pStyle w:val="ListParagraph"/>
        <w:spacing w:line="240" w:lineRule="exact"/>
        <w:rPr>
          <w:rFonts w:ascii="Arial" w:hAnsi="Arial" w:cs="Arial"/>
          <w:sz w:val="24"/>
          <w:szCs w:val="24"/>
        </w:rPr>
      </w:pPr>
    </w:p>
    <w:p w14:paraId="4C7E0520" w14:textId="3060D86B" w:rsidR="00DB55F6" w:rsidRPr="00702384" w:rsidRDefault="005F081C" w:rsidP="00926779">
      <w:pPr>
        <w:pStyle w:val="ListParagraph"/>
        <w:numPr>
          <w:ilvl w:val="0"/>
          <w:numId w:val="9"/>
        </w:numPr>
        <w:spacing w:after="200" w:line="240" w:lineRule="exact"/>
        <w:contextualSpacing/>
        <w:jc w:val="left"/>
        <w:rPr>
          <w:rFonts w:ascii="Arial" w:hAnsi="Arial" w:cs="Arial"/>
          <w:sz w:val="24"/>
          <w:szCs w:val="24"/>
        </w:rPr>
      </w:pPr>
      <w:r w:rsidRPr="00702384">
        <w:rPr>
          <w:rFonts w:ascii="Arial" w:hAnsi="Arial" w:cs="Arial"/>
          <w:sz w:val="24"/>
          <w:szCs w:val="24"/>
        </w:rPr>
        <w:t>There is no one clear winning format or channel in our market today</w:t>
      </w:r>
    </w:p>
    <w:p w14:paraId="65CD60B0" w14:textId="77777777" w:rsidR="00DB55F6" w:rsidRPr="00702384" w:rsidRDefault="00DB55F6" w:rsidP="00926779">
      <w:pPr>
        <w:pStyle w:val="ListParagraph"/>
        <w:spacing w:line="240" w:lineRule="exact"/>
        <w:rPr>
          <w:rFonts w:ascii="Arial" w:hAnsi="Arial" w:cs="Arial"/>
          <w:sz w:val="24"/>
          <w:szCs w:val="24"/>
        </w:rPr>
      </w:pPr>
    </w:p>
    <w:p w14:paraId="191A6122" w14:textId="0E5B4B81" w:rsidR="00976414" w:rsidRPr="00702384" w:rsidRDefault="005F081C" w:rsidP="00926779">
      <w:pPr>
        <w:pStyle w:val="ListParagraph"/>
        <w:numPr>
          <w:ilvl w:val="0"/>
          <w:numId w:val="9"/>
        </w:numPr>
        <w:spacing w:after="200" w:line="240" w:lineRule="exact"/>
        <w:contextualSpacing/>
        <w:jc w:val="left"/>
        <w:rPr>
          <w:rFonts w:ascii="Arial" w:hAnsi="Arial" w:cs="Arial"/>
          <w:sz w:val="24"/>
          <w:szCs w:val="24"/>
        </w:rPr>
      </w:pPr>
      <w:r w:rsidRPr="00702384">
        <w:rPr>
          <w:rFonts w:ascii="Arial" w:hAnsi="Arial" w:cs="Arial"/>
          <w:sz w:val="24"/>
          <w:szCs w:val="24"/>
        </w:rPr>
        <w:t>We can achieve significant benefits from unifying activities and standardising processes</w:t>
      </w:r>
    </w:p>
    <w:p w14:paraId="24B66C11" w14:textId="77777777" w:rsidR="00976414" w:rsidRPr="002D01E7" w:rsidRDefault="00976414" w:rsidP="00657B3E">
      <w:pPr>
        <w:pStyle w:val="ListParagraph"/>
        <w:rPr>
          <w:rFonts w:ascii="Arial" w:hAnsi="Arial" w:cs="Arial"/>
          <w:sz w:val="24"/>
          <w:szCs w:val="24"/>
          <w:highlight w:val="green"/>
          <w:vertAlign w:val="subscript"/>
        </w:rPr>
      </w:pPr>
    </w:p>
    <w:p w14:paraId="25F85DAB" w14:textId="7F046DC3" w:rsidR="005F081C" w:rsidRPr="003055DB" w:rsidRDefault="003055DB" w:rsidP="005F081C">
      <w:pPr>
        <w:jc w:val="left"/>
        <w:rPr>
          <w:rFonts w:ascii="Arial" w:hAnsi="Arial" w:cs="Arial"/>
          <w:b/>
          <w:sz w:val="24"/>
          <w:szCs w:val="24"/>
        </w:rPr>
      </w:pPr>
      <w:r w:rsidRPr="003055DB">
        <w:rPr>
          <w:rFonts w:ascii="Arial" w:hAnsi="Arial" w:cs="Arial"/>
          <w:b/>
          <w:sz w:val="24"/>
          <w:szCs w:val="24"/>
        </w:rPr>
        <w:t>We will operate within the following clear set of guiding principles</w:t>
      </w:r>
      <w:r w:rsidR="005F081C" w:rsidRPr="003055DB">
        <w:rPr>
          <w:rFonts w:ascii="Arial" w:hAnsi="Arial" w:cs="Arial"/>
          <w:b/>
          <w:sz w:val="24"/>
          <w:szCs w:val="24"/>
        </w:rPr>
        <w:t>:</w:t>
      </w:r>
    </w:p>
    <w:p w14:paraId="442E3805" w14:textId="77777777" w:rsidR="009D56ED" w:rsidRPr="003055DB" w:rsidRDefault="009D56ED" w:rsidP="005F081C">
      <w:pPr>
        <w:jc w:val="left"/>
        <w:rPr>
          <w:rFonts w:ascii="Arial" w:hAnsi="Arial" w:cs="Arial"/>
          <w:sz w:val="24"/>
          <w:szCs w:val="24"/>
        </w:rPr>
      </w:pPr>
    </w:p>
    <w:p w14:paraId="3C27FBEC" w14:textId="77777777" w:rsidR="005F081C" w:rsidRPr="003055DB" w:rsidRDefault="005F081C" w:rsidP="00BF0805">
      <w:pPr>
        <w:numPr>
          <w:ilvl w:val="0"/>
          <w:numId w:val="6"/>
        </w:numPr>
        <w:tabs>
          <w:tab w:val="clear" w:pos="720"/>
        </w:tabs>
        <w:spacing w:after="200" w:line="240" w:lineRule="exact"/>
        <w:jc w:val="left"/>
        <w:rPr>
          <w:rFonts w:ascii="Arial" w:hAnsi="Arial" w:cs="Arial"/>
          <w:sz w:val="24"/>
          <w:szCs w:val="24"/>
        </w:rPr>
      </w:pPr>
      <w:r w:rsidRPr="003055DB">
        <w:rPr>
          <w:rFonts w:ascii="Arial" w:hAnsi="Arial" w:cs="Arial"/>
          <w:sz w:val="24"/>
          <w:szCs w:val="24"/>
        </w:rPr>
        <w:t xml:space="preserve">Customer </w:t>
      </w:r>
      <w:r w:rsidRPr="003055DB">
        <w:rPr>
          <w:rFonts w:ascii="Arial" w:hAnsi="Arial" w:cs="Arial"/>
          <w:sz w:val="24"/>
          <w:szCs w:val="24"/>
          <w:u w:val="single"/>
        </w:rPr>
        <w:t>needs</w:t>
      </w:r>
      <w:r w:rsidRPr="003055DB">
        <w:rPr>
          <w:rFonts w:ascii="Arial" w:hAnsi="Arial" w:cs="Arial"/>
          <w:sz w:val="24"/>
          <w:szCs w:val="24"/>
        </w:rPr>
        <w:t xml:space="preserve"> come first</w:t>
      </w:r>
    </w:p>
    <w:p w14:paraId="239ECD2D" w14:textId="1E320E44" w:rsidR="007C47AE" w:rsidRPr="003055DB" w:rsidRDefault="007C47AE" w:rsidP="00BF0805">
      <w:pPr>
        <w:numPr>
          <w:ilvl w:val="0"/>
          <w:numId w:val="6"/>
        </w:numPr>
        <w:tabs>
          <w:tab w:val="clear" w:pos="720"/>
        </w:tabs>
        <w:spacing w:after="200" w:line="240" w:lineRule="exact"/>
        <w:jc w:val="left"/>
        <w:rPr>
          <w:rFonts w:ascii="Arial" w:hAnsi="Arial" w:cs="Arial"/>
          <w:sz w:val="24"/>
          <w:szCs w:val="24"/>
        </w:rPr>
      </w:pPr>
      <w:r w:rsidRPr="003055DB">
        <w:rPr>
          <w:rFonts w:ascii="Arial" w:hAnsi="Arial" w:cs="Arial"/>
          <w:sz w:val="24"/>
          <w:szCs w:val="24"/>
        </w:rPr>
        <w:t xml:space="preserve">Create a </w:t>
      </w:r>
      <w:r w:rsidRPr="003055DB">
        <w:rPr>
          <w:rFonts w:ascii="Arial" w:hAnsi="Arial" w:cs="Arial"/>
          <w:sz w:val="24"/>
          <w:szCs w:val="24"/>
          <w:u w:val="single"/>
        </w:rPr>
        <w:t>unique</w:t>
      </w:r>
      <w:r w:rsidRPr="003055DB">
        <w:rPr>
          <w:rFonts w:ascii="Arial" w:hAnsi="Arial" w:cs="Arial"/>
          <w:sz w:val="24"/>
          <w:szCs w:val="24"/>
        </w:rPr>
        <w:t xml:space="preserve"> and leading offer</w:t>
      </w:r>
    </w:p>
    <w:p w14:paraId="64F859FC" w14:textId="77777777" w:rsidR="005F081C" w:rsidRPr="003055DB" w:rsidRDefault="005F081C" w:rsidP="00BF0805">
      <w:pPr>
        <w:numPr>
          <w:ilvl w:val="0"/>
          <w:numId w:val="6"/>
        </w:numPr>
        <w:tabs>
          <w:tab w:val="clear" w:pos="720"/>
        </w:tabs>
        <w:spacing w:after="200" w:line="240" w:lineRule="exact"/>
        <w:jc w:val="left"/>
        <w:rPr>
          <w:rFonts w:ascii="Arial" w:hAnsi="Arial" w:cs="Arial"/>
          <w:sz w:val="24"/>
          <w:szCs w:val="24"/>
        </w:rPr>
      </w:pPr>
      <w:r w:rsidRPr="003055DB">
        <w:rPr>
          <w:rFonts w:ascii="Arial" w:hAnsi="Arial" w:cs="Arial"/>
          <w:sz w:val="24"/>
          <w:szCs w:val="24"/>
          <w:u w:val="single"/>
        </w:rPr>
        <w:t>Same</w:t>
      </w:r>
      <w:r w:rsidRPr="003055DB">
        <w:rPr>
          <w:rFonts w:ascii="Arial" w:hAnsi="Arial" w:cs="Arial"/>
          <w:sz w:val="24"/>
          <w:szCs w:val="24"/>
        </w:rPr>
        <w:t xml:space="preserve"> products across Europe presented to customers in the </w:t>
      </w:r>
      <w:r w:rsidRPr="003055DB">
        <w:rPr>
          <w:rFonts w:ascii="Arial" w:hAnsi="Arial" w:cs="Arial"/>
          <w:sz w:val="24"/>
          <w:szCs w:val="24"/>
          <w:u w:val="single"/>
        </w:rPr>
        <w:t>same</w:t>
      </w:r>
      <w:r w:rsidRPr="003055DB">
        <w:rPr>
          <w:rFonts w:ascii="Arial" w:hAnsi="Arial" w:cs="Arial"/>
          <w:sz w:val="24"/>
          <w:szCs w:val="24"/>
        </w:rPr>
        <w:t xml:space="preserve"> way</w:t>
      </w:r>
    </w:p>
    <w:p w14:paraId="090F1FAA" w14:textId="69AD8216" w:rsidR="005F081C" w:rsidRPr="003055DB" w:rsidRDefault="005F081C" w:rsidP="00BF0805">
      <w:pPr>
        <w:numPr>
          <w:ilvl w:val="0"/>
          <w:numId w:val="6"/>
        </w:numPr>
        <w:tabs>
          <w:tab w:val="clear" w:pos="720"/>
        </w:tabs>
        <w:spacing w:after="200" w:line="240" w:lineRule="exact"/>
        <w:jc w:val="left"/>
        <w:rPr>
          <w:rFonts w:ascii="Arial" w:hAnsi="Arial" w:cs="Arial"/>
          <w:sz w:val="24"/>
          <w:szCs w:val="24"/>
        </w:rPr>
      </w:pPr>
      <w:r w:rsidRPr="003055DB">
        <w:rPr>
          <w:rFonts w:ascii="Arial" w:hAnsi="Arial" w:cs="Arial"/>
          <w:sz w:val="24"/>
          <w:szCs w:val="24"/>
          <w:u w:val="single"/>
        </w:rPr>
        <w:t>Limited</w:t>
      </w:r>
      <w:r w:rsidRPr="003055DB">
        <w:rPr>
          <w:rFonts w:ascii="Arial" w:hAnsi="Arial" w:cs="Arial"/>
          <w:sz w:val="24"/>
          <w:szCs w:val="24"/>
        </w:rPr>
        <w:t xml:space="preserve"> number of formats and </w:t>
      </w:r>
      <w:proofErr w:type="spellStart"/>
      <w:r w:rsidRPr="003055DB">
        <w:rPr>
          <w:rFonts w:ascii="Arial" w:hAnsi="Arial" w:cs="Arial"/>
          <w:sz w:val="24"/>
          <w:szCs w:val="24"/>
          <w:u w:val="single"/>
        </w:rPr>
        <w:t>omnichannel</w:t>
      </w:r>
      <w:proofErr w:type="spellEnd"/>
      <w:r w:rsidR="00C21029">
        <w:rPr>
          <w:rFonts w:ascii="Arial" w:hAnsi="Arial" w:cs="Arial"/>
          <w:sz w:val="24"/>
          <w:szCs w:val="24"/>
          <w:u w:val="single"/>
        </w:rPr>
        <w:t>*</w:t>
      </w:r>
      <w:r w:rsidRPr="003055DB">
        <w:rPr>
          <w:rFonts w:ascii="Arial" w:hAnsi="Arial" w:cs="Arial"/>
          <w:sz w:val="24"/>
          <w:szCs w:val="24"/>
        </w:rPr>
        <w:t xml:space="preserve"> everywhere</w:t>
      </w:r>
    </w:p>
    <w:p w14:paraId="243E7269" w14:textId="77777777" w:rsidR="005F081C" w:rsidRPr="003055DB" w:rsidRDefault="005F081C" w:rsidP="00BF0805">
      <w:pPr>
        <w:numPr>
          <w:ilvl w:val="0"/>
          <w:numId w:val="6"/>
        </w:numPr>
        <w:tabs>
          <w:tab w:val="clear" w:pos="720"/>
        </w:tabs>
        <w:spacing w:after="200" w:line="240" w:lineRule="exact"/>
        <w:jc w:val="left"/>
        <w:rPr>
          <w:rFonts w:ascii="Arial" w:hAnsi="Arial" w:cs="Arial"/>
          <w:sz w:val="24"/>
          <w:szCs w:val="24"/>
        </w:rPr>
      </w:pPr>
      <w:r w:rsidRPr="003055DB">
        <w:rPr>
          <w:rFonts w:ascii="Arial" w:hAnsi="Arial" w:cs="Arial"/>
          <w:sz w:val="24"/>
          <w:szCs w:val="24"/>
          <w:u w:val="single"/>
        </w:rPr>
        <w:t>Low</w:t>
      </w:r>
      <w:r w:rsidRPr="003055DB">
        <w:rPr>
          <w:rFonts w:ascii="Arial" w:hAnsi="Arial" w:cs="Arial"/>
          <w:sz w:val="24"/>
          <w:szCs w:val="24"/>
        </w:rPr>
        <w:t xml:space="preserve"> cost always</w:t>
      </w:r>
    </w:p>
    <w:p w14:paraId="0AB7DBB9" w14:textId="63BB2A08" w:rsidR="005F081C" w:rsidRPr="003055DB" w:rsidRDefault="005F081C" w:rsidP="00BF0805">
      <w:pPr>
        <w:numPr>
          <w:ilvl w:val="0"/>
          <w:numId w:val="6"/>
        </w:numPr>
        <w:tabs>
          <w:tab w:val="clear" w:pos="720"/>
        </w:tabs>
        <w:spacing w:after="200" w:line="240" w:lineRule="exact"/>
        <w:jc w:val="left"/>
        <w:rPr>
          <w:rFonts w:ascii="Arial" w:hAnsi="Arial" w:cs="Arial"/>
          <w:sz w:val="24"/>
          <w:szCs w:val="24"/>
        </w:rPr>
      </w:pPr>
      <w:r w:rsidRPr="003055DB">
        <w:rPr>
          <w:rFonts w:ascii="Arial" w:hAnsi="Arial" w:cs="Arial"/>
          <w:sz w:val="24"/>
          <w:szCs w:val="24"/>
          <w:u w:val="single"/>
        </w:rPr>
        <w:t>O</w:t>
      </w:r>
      <w:r w:rsidR="00507B19" w:rsidRPr="003055DB">
        <w:rPr>
          <w:rFonts w:ascii="Arial" w:hAnsi="Arial" w:cs="Arial"/>
          <w:sz w:val="24"/>
          <w:szCs w:val="24"/>
          <w:u w:val="single"/>
        </w:rPr>
        <w:t>ne</w:t>
      </w:r>
      <w:r w:rsidRPr="003055DB">
        <w:rPr>
          <w:rFonts w:ascii="Arial" w:hAnsi="Arial" w:cs="Arial"/>
          <w:sz w:val="24"/>
          <w:szCs w:val="24"/>
        </w:rPr>
        <w:t xml:space="preserve"> company culture</w:t>
      </w:r>
    </w:p>
    <w:p w14:paraId="4A74F6D0" w14:textId="77777777" w:rsidR="005F081C" w:rsidRPr="002D01E7" w:rsidRDefault="005F081C" w:rsidP="005F081C">
      <w:pPr>
        <w:jc w:val="left"/>
        <w:rPr>
          <w:rFonts w:ascii="Arial" w:hAnsi="Arial" w:cs="Arial"/>
          <w:sz w:val="24"/>
          <w:szCs w:val="24"/>
          <w:highlight w:val="green"/>
        </w:rPr>
      </w:pPr>
    </w:p>
    <w:p w14:paraId="042D62A8" w14:textId="1E485A96" w:rsidR="005F081C" w:rsidRDefault="00D91ED7" w:rsidP="006C2C39">
      <w:pPr>
        <w:jc w:val="left"/>
        <w:rPr>
          <w:rFonts w:ascii="Arial" w:hAnsi="Arial" w:cs="Arial"/>
          <w:sz w:val="24"/>
          <w:szCs w:val="24"/>
        </w:rPr>
      </w:pPr>
      <w:r w:rsidRPr="003055DB">
        <w:rPr>
          <w:rFonts w:ascii="Arial" w:hAnsi="Arial" w:cs="Arial"/>
          <w:sz w:val="24"/>
          <w:szCs w:val="24"/>
        </w:rPr>
        <w:t>We believe that f</w:t>
      </w:r>
      <w:r w:rsidR="005F081C" w:rsidRPr="003055DB">
        <w:rPr>
          <w:rFonts w:ascii="Arial" w:hAnsi="Arial" w:cs="Arial"/>
          <w:sz w:val="24"/>
          <w:szCs w:val="24"/>
        </w:rPr>
        <w:t xml:space="preserve">ollowing these principles will </w:t>
      </w:r>
      <w:r w:rsidR="008C6348" w:rsidRPr="003055DB">
        <w:rPr>
          <w:rFonts w:ascii="Arial" w:hAnsi="Arial" w:cs="Arial"/>
          <w:sz w:val="24"/>
          <w:szCs w:val="24"/>
        </w:rPr>
        <w:t xml:space="preserve">drive higher </w:t>
      </w:r>
      <w:r w:rsidR="005F081C" w:rsidRPr="003055DB">
        <w:rPr>
          <w:rFonts w:ascii="Arial" w:hAnsi="Arial" w:cs="Arial"/>
          <w:sz w:val="24"/>
          <w:szCs w:val="24"/>
        </w:rPr>
        <w:t xml:space="preserve">sales </w:t>
      </w:r>
      <w:r w:rsidR="008C6348" w:rsidRPr="003055DB">
        <w:rPr>
          <w:rFonts w:ascii="Arial" w:hAnsi="Arial" w:cs="Arial"/>
          <w:sz w:val="24"/>
          <w:szCs w:val="24"/>
        </w:rPr>
        <w:t xml:space="preserve">from </w:t>
      </w:r>
      <w:r w:rsidR="005F081C" w:rsidRPr="003055DB">
        <w:rPr>
          <w:rFonts w:ascii="Arial" w:hAnsi="Arial" w:cs="Arial"/>
          <w:sz w:val="24"/>
          <w:szCs w:val="24"/>
        </w:rPr>
        <w:t>having a unique, differentiated offer at good prices for our customers</w:t>
      </w:r>
      <w:r w:rsidR="008C6348" w:rsidRPr="003055DB">
        <w:rPr>
          <w:rFonts w:ascii="Arial" w:hAnsi="Arial" w:cs="Arial"/>
          <w:sz w:val="24"/>
          <w:szCs w:val="24"/>
        </w:rPr>
        <w:t xml:space="preserve"> whilst </w:t>
      </w:r>
      <w:r w:rsidR="005F081C" w:rsidRPr="003055DB">
        <w:rPr>
          <w:rFonts w:ascii="Arial" w:hAnsi="Arial" w:cs="Arial"/>
          <w:sz w:val="24"/>
          <w:szCs w:val="24"/>
        </w:rPr>
        <w:t>maintaining our gross margin rate</w:t>
      </w:r>
      <w:r w:rsidR="008C6348" w:rsidRPr="003055DB">
        <w:rPr>
          <w:rFonts w:ascii="Arial" w:hAnsi="Arial" w:cs="Arial"/>
          <w:sz w:val="24"/>
          <w:szCs w:val="24"/>
        </w:rPr>
        <w:t xml:space="preserve"> and </w:t>
      </w:r>
      <w:r w:rsidR="00457FC2" w:rsidRPr="003055DB">
        <w:rPr>
          <w:rFonts w:ascii="Arial" w:hAnsi="Arial" w:cs="Arial"/>
          <w:sz w:val="24"/>
          <w:szCs w:val="24"/>
        </w:rPr>
        <w:t>l</w:t>
      </w:r>
      <w:r w:rsidR="005F081C" w:rsidRPr="003055DB">
        <w:rPr>
          <w:rFonts w:ascii="Arial" w:hAnsi="Arial" w:cs="Arial"/>
          <w:sz w:val="24"/>
          <w:szCs w:val="24"/>
        </w:rPr>
        <w:t>owering our cost base</w:t>
      </w:r>
      <w:r w:rsidR="008C6348" w:rsidRPr="003055DB">
        <w:rPr>
          <w:rFonts w:ascii="Arial" w:hAnsi="Arial" w:cs="Arial"/>
          <w:sz w:val="24"/>
          <w:szCs w:val="24"/>
        </w:rPr>
        <w:t xml:space="preserve">. Combining this with </w:t>
      </w:r>
      <w:r w:rsidR="005E2623" w:rsidRPr="003055DB">
        <w:rPr>
          <w:rFonts w:ascii="Arial" w:hAnsi="Arial" w:cs="Arial"/>
          <w:sz w:val="24"/>
          <w:szCs w:val="24"/>
        </w:rPr>
        <w:t xml:space="preserve">continued </w:t>
      </w:r>
      <w:r w:rsidR="005F081C" w:rsidRPr="003055DB">
        <w:rPr>
          <w:rFonts w:ascii="Arial" w:hAnsi="Arial" w:cs="Arial"/>
          <w:sz w:val="24"/>
          <w:szCs w:val="24"/>
        </w:rPr>
        <w:t>strict capital discipline</w:t>
      </w:r>
      <w:r w:rsidR="005E2623" w:rsidRPr="003055DB">
        <w:rPr>
          <w:rFonts w:ascii="Arial" w:hAnsi="Arial" w:cs="Arial"/>
          <w:sz w:val="24"/>
          <w:szCs w:val="24"/>
        </w:rPr>
        <w:t xml:space="preserve"> will </w:t>
      </w:r>
      <w:r w:rsidR="008C6348" w:rsidRPr="003055DB">
        <w:rPr>
          <w:rFonts w:ascii="Arial" w:hAnsi="Arial" w:cs="Arial"/>
          <w:sz w:val="24"/>
          <w:szCs w:val="24"/>
        </w:rPr>
        <w:t xml:space="preserve">deliver improved financial metrics for our shareholders.  </w:t>
      </w:r>
    </w:p>
    <w:p w14:paraId="6822BA25" w14:textId="77777777" w:rsidR="004C5BEA" w:rsidRDefault="004C5BEA" w:rsidP="006C2C39">
      <w:pPr>
        <w:jc w:val="left"/>
        <w:rPr>
          <w:rFonts w:ascii="Arial" w:hAnsi="Arial" w:cs="Arial"/>
          <w:sz w:val="24"/>
          <w:szCs w:val="24"/>
        </w:rPr>
      </w:pPr>
    </w:p>
    <w:p w14:paraId="50DF30C3" w14:textId="577B2BF7" w:rsidR="00883F29" w:rsidRDefault="00883F29" w:rsidP="003D7E43">
      <w:pPr>
        <w:jc w:val="left"/>
        <w:rPr>
          <w:rFonts w:ascii="Arial" w:hAnsi="Arial" w:cs="Arial"/>
          <w:sz w:val="24"/>
          <w:szCs w:val="24"/>
        </w:rPr>
      </w:pPr>
      <w:r>
        <w:rPr>
          <w:rFonts w:ascii="Arial" w:hAnsi="Arial" w:cs="Arial"/>
          <w:sz w:val="24"/>
          <w:szCs w:val="24"/>
        </w:rPr>
        <w:t>At the full year results a</w:t>
      </w:r>
      <w:r w:rsidR="003D7E43">
        <w:rPr>
          <w:rFonts w:ascii="Arial" w:hAnsi="Arial" w:cs="Arial"/>
          <w:sz w:val="24"/>
          <w:szCs w:val="24"/>
        </w:rPr>
        <w:t xml:space="preserve"> series of first ‘sharp’ decisions were announced </w:t>
      </w:r>
      <w:r>
        <w:rPr>
          <w:rFonts w:ascii="Arial" w:hAnsi="Arial" w:cs="Arial"/>
          <w:sz w:val="24"/>
          <w:szCs w:val="24"/>
        </w:rPr>
        <w:t xml:space="preserve">relating to each of the key </w:t>
      </w:r>
      <w:r w:rsidR="009236DC">
        <w:rPr>
          <w:rFonts w:ascii="Arial" w:hAnsi="Arial" w:cs="Arial"/>
          <w:sz w:val="24"/>
          <w:szCs w:val="24"/>
        </w:rPr>
        <w:t>work streams</w:t>
      </w:r>
      <w:r>
        <w:rPr>
          <w:rFonts w:ascii="Arial" w:hAnsi="Arial" w:cs="Arial"/>
          <w:sz w:val="24"/>
          <w:szCs w:val="24"/>
        </w:rPr>
        <w:t xml:space="preserve"> of ‘ONE’ Kingfisher. The following section provides a</w:t>
      </w:r>
      <w:r w:rsidR="007F114E">
        <w:rPr>
          <w:rFonts w:ascii="Arial" w:hAnsi="Arial" w:cs="Arial"/>
          <w:sz w:val="24"/>
          <w:szCs w:val="24"/>
        </w:rPr>
        <w:t>n</w:t>
      </w:r>
      <w:r>
        <w:rPr>
          <w:rFonts w:ascii="Arial" w:hAnsi="Arial" w:cs="Arial"/>
          <w:sz w:val="24"/>
          <w:szCs w:val="24"/>
        </w:rPr>
        <w:t xml:space="preserve"> </w:t>
      </w:r>
      <w:r w:rsidR="001E032B">
        <w:rPr>
          <w:rFonts w:ascii="Arial" w:hAnsi="Arial" w:cs="Arial"/>
          <w:sz w:val="24"/>
          <w:szCs w:val="24"/>
        </w:rPr>
        <w:t>update</w:t>
      </w:r>
      <w:r>
        <w:rPr>
          <w:rFonts w:ascii="Arial" w:hAnsi="Arial" w:cs="Arial"/>
          <w:sz w:val="24"/>
          <w:szCs w:val="24"/>
        </w:rPr>
        <w:t>.</w:t>
      </w:r>
    </w:p>
    <w:p w14:paraId="2CEEFF3E" w14:textId="77777777" w:rsidR="00883F29" w:rsidRDefault="00883F29" w:rsidP="003D7E43">
      <w:pPr>
        <w:jc w:val="left"/>
        <w:rPr>
          <w:rFonts w:ascii="Arial" w:hAnsi="Arial" w:cs="Arial"/>
          <w:sz w:val="24"/>
          <w:szCs w:val="24"/>
          <w:highlight w:val="yellow"/>
        </w:rPr>
      </w:pPr>
    </w:p>
    <w:p w14:paraId="5C70B90D" w14:textId="56BCCABF" w:rsidR="003055DB" w:rsidRPr="00AD4D06" w:rsidRDefault="003055DB" w:rsidP="005F081C">
      <w:pPr>
        <w:jc w:val="left"/>
        <w:rPr>
          <w:rFonts w:ascii="Arial" w:hAnsi="Arial" w:cs="Arial"/>
          <w:b/>
          <w:sz w:val="24"/>
          <w:szCs w:val="24"/>
        </w:rPr>
      </w:pPr>
      <w:r w:rsidRPr="00AD4D06">
        <w:rPr>
          <w:rFonts w:ascii="Arial" w:hAnsi="Arial" w:cs="Arial"/>
          <w:b/>
          <w:sz w:val="24"/>
          <w:szCs w:val="24"/>
        </w:rPr>
        <w:t>Update on first ‘sharp’ decisions</w:t>
      </w:r>
      <w:r w:rsidR="001E032B">
        <w:rPr>
          <w:rFonts w:ascii="Arial" w:hAnsi="Arial" w:cs="Arial"/>
          <w:b/>
          <w:sz w:val="24"/>
          <w:szCs w:val="24"/>
        </w:rPr>
        <w:t>:</w:t>
      </w:r>
    </w:p>
    <w:p w14:paraId="6B781A49" w14:textId="77777777" w:rsidR="003055DB" w:rsidRPr="00AD4D06" w:rsidRDefault="003055DB" w:rsidP="005F081C">
      <w:pPr>
        <w:jc w:val="left"/>
        <w:rPr>
          <w:rFonts w:ascii="Arial" w:hAnsi="Arial" w:cs="Arial"/>
          <w:b/>
          <w:sz w:val="24"/>
          <w:szCs w:val="24"/>
        </w:rPr>
      </w:pPr>
    </w:p>
    <w:p w14:paraId="6E369243" w14:textId="0D961AC0" w:rsidR="005F081C" w:rsidRDefault="003055DB" w:rsidP="005F081C">
      <w:pPr>
        <w:jc w:val="left"/>
        <w:rPr>
          <w:rFonts w:ascii="Arial" w:hAnsi="Arial" w:cs="Arial"/>
          <w:sz w:val="24"/>
          <w:szCs w:val="24"/>
        </w:rPr>
      </w:pPr>
      <w:r w:rsidRPr="00AD4D06">
        <w:rPr>
          <w:rFonts w:ascii="Arial" w:hAnsi="Arial" w:cs="Arial"/>
          <w:sz w:val="24"/>
          <w:szCs w:val="24"/>
        </w:rPr>
        <w:t xml:space="preserve">We have made </w:t>
      </w:r>
      <w:r w:rsidR="001E032B">
        <w:rPr>
          <w:rFonts w:ascii="Arial" w:hAnsi="Arial" w:cs="Arial"/>
          <w:sz w:val="24"/>
          <w:szCs w:val="24"/>
        </w:rPr>
        <w:t>good early</w:t>
      </w:r>
      <w:r w:rsidRPr="00AD4D06">
        <w:rPr>
          <w:rFonts w:ascii="Arial" w:hAnsi="Arial" w:cs="Arial"/>
          <w:sz w:val="24"/>
          <w:szCs w:val="24"/>
        </w:rPr>
        <w:t xml:space="preserve"> progress with </w:t>
      </w:r>
      <w:r w:rsidR="005F081C" w:rsidRPr="00AD4D06">
        <w:rPr>
          <w:rFonts w:ascii="Arial" w:hAnsi="Arial" w:cs="Arial"/>
          <w:sz w:val="24"/>
          <w:szCs w:val="24"/>
        </w:rPr>
        <w:t>the first ‘sharp’ decisions</w:t>
      </w:r>
      <w:r w:rsidR="00B048E9">
        <w:rPr>
          <w:rFonts w:ascii="Arial" w:hAnsi="Arial" w:cs="Arial"/>
          <w:sz w:val="24"/>
          <w:szCs w:val="24"/>
        </w:rPr>
        <w:t xml:space="preserve"> since the year end.</w:t>
      </w:r>
      <w:r w:rsidR="001E032B">
        <w:rPr>
          <w:rFonts w:ascii="Arial" w:hAnsi="Arial" w:cs="Arial"/>
          <w:sz w:val="24"/>
          <w:szCs w:val="24"/>
        </w:rPr>
        <w:t xml:space="preserve"> As we </w:t>
      </w:r>
      <w:r w:rsidR="00AD4D06" w:rsidRPr="004B027E">
        <w:rPr>
          <w:rFonts w:ascii="Arial" w:hAnsi="Arial" w:cs="Arial"/>
          <w:sz w:val="24"/>
          <w:szCs w:val="24"/>
        </w:rPr>
        <w:t xml:space="preserve">have started to </w:t>
      </w:r>
      <w:r w:rsidR="004B027E" w:rsidRPr="004B027E">
        <w:rPr>
          <w:rFonts w:ascii="Arial" w:hAnsi="Arial" w:cs="Arial"/>
          <w:sz w:val="24"/>
          <w:szCs w:val="24"/>
        </w:rPr>
        <w:t>implement</w:t>
      </w:r>
      <w:r w:rsidR="00AD4D06" w:rsidRPr="004B027E">
        <w:rPr>
          <w:rFonts w:ascii="Arial" w:hAnsi="Arial" w:cs="Arial"/>
          <w:sz w:val="24"/>
          <w:szCs w:val="24"/>
        </w:rPr>
        <w:t xml:space="preserve"> our plan we have </w:t>
      </w:r>
      <w:r w:rsidR="007F114E">
        <w:rPr>
          <w:rFonts w:ascii="Arial" w:hAnsi="Arial" w:cs="Arial"/>
          <w:sz w:val="24"/>
          <w:szCs w:val="24"/>
        </w:rPr>
        <w:t>refined</w:t>
      </w:r>
      <w:r w:rsidR="00AD4D06" w:rsidRPr="004B027E">
        <w:rPr>
          <w:rFonts w:ascii="Arial" w:hAnsi="Arial" w:cs="Arial"/>
          <w:sz w:val="24"/>
          <w:szCs w:val="24"/>
        </w:rPr>
        <w:t xml:space="preserve"> the </w:t>
      </w:r>
      <w:r w:rsidR="009236DC">
        <w:rPr>
          <w:rFonts w:ascii="Arial" w:hAnsi="Arial" w:cs="Arial"/>
          <w:sz w:val="24"/>
          <w:szCs w:val="24"/>
        </w:rPr>
        <w:t>work streams</w:t>
      </w:r>
      <w:r w:rsidR="00AD4D06" w:rsidRPr="004B027E">
        <w:rPr>
          <w:rFonts w:ascii="Arial" w:hAnsi="Arial" w:cs="Arial"/>
          <w:sz w:val="24"/>
          <w:szCs w:val="24"/>
        </w:rPr>
        <w:t xml:space="preserve"> </w:t>
      </w:r>
      <w:r w:rsidR="001052D4">
        <w:rPr>
          <w:rFonts w:ascii="Arial" w:hAnsi="Arial" w:cs="Arial"/>
          <w:sz w:val="24"/>
          <w:szCs w:val="24"/>
        </w:rPr>
        <w:t>initially outlined</w:t>
      </w:r>
      <w:r w:rsidR="005961BD">
        <w:rPr>
          <w:rFonts w:ascii="Arial" w:hAnsi="Arial" w:cs="Arial"/>
          <w:sz w:val="24"/>
          <w:szCs w:val="24"/>
        </w:rPr>
        <w:t xml:space="preserve">. </w:t>
      </w:r>
      <w:r w:rsidR="001E032B">
        <w:rPr>
          <w:rFonts w:ascii="Arial" w:hAnsi="Arial" w:cs="Arial"/>
          <w:sz w:val="24"/>
          <w:szCs w:val="24"/>
        </w:rPr>
        <w:t>‘</w:t>
      </w:r>
      <w:r w:rsidR="00AD4D06" w:rsidRPr="004B027E">
        <w:rPr>
          <w:rFonts w:ascii="Arial" w:hAnsi="Arial" w:cs="Arial"/>
          <w:sz w:val="24"/>
          <w:szCs w:val="24"/>
        </w:rPr>
        <w:t xml:space="preserve">Customer </w:t>
      </w:r>
      <w:r w:rsidR="001E032B">
        <w:rPr>
          <w:rFonts w:ascii="Arial" w:hAnsi="Arial" w:cs="Arial"/>
          <w:sz w:val="24"/>
          <w:szCs w:val="24"/>
        </w:rPr>
        <w:t>&amp;</w:t>
      </w:r>
      <w:r w:rsidR="00AD4D06" w:rsidRPr="004B027E">
        <w:rPr>
          <w:rFonts w:ascii="Arial" w:hAnsi="Arial" w:cs="Arial"/>
          <w:sz w:val="24"/>
          <w:szCs w:val="24"/>
        </w:rPr>
        <w:t xml:space="preserve"> Offer</w:t>
      </w:r>
      <w:r w:rsidR="001E032B">
        <w:rPr>
          <w:rFonts w:ascii="Arial" w:hAnsi="Arial" w:cs="Arial"/>
          <w:sz w:val="24"/>
          <w:szCs w:val="24"/>
        </w:rPr>
        <w:t>’</w:t>
      </w:r>
      <w:r w:rsidR="00AD4D06" w:rsidRPr="004B027E">
        <w:rPr>
          <w:rFonts w:ascii="Arial" w:hAnsi="Arial" w:cs="Arial"/>
          <w:sz w:val="24"/>
          <w:szCs w:val="24"/>
        </w:rPr>
        <w:t xml:space="preserve"> </w:t>
      </w:r>
      <w:r w:rsidR="005961BD">
        <w:rPr>
          <w:rFonts w:ascii="Arial" w:hAnsi="Arial" w:cs="Arial"/>
          <w:sz w:val="24"/>
          <w:szCs w:val="24"/>
        </w:rPr>
        <w:t>are</w:t>
      </w:r>
      <w:r w:rsidR="004B027E" w:rsidRPr="004B027E">
        <w:rPr>
          <w:rFonts w:ascii="Arial" w:hAnsi="Arial" w:cs="Arial"/>
          <w:sz w:val="24"/>
          <w:szCs w:val="24"/>
        </w:rPr>
        <w:t xml:space="preserve"> </w:t>
      </w:r>
      <w:r w:rsidR="005961BD">
        <w:rPr>
          <w:rFonts w:ascii="Arial" w:hAnsi="Arial" w:cs="Arial"/>
          <w:sz w:val="24"/>
          <w:szCs w:val="24"/>
        </w:rPr>
        <w:t xml:space="preserve">now </w:t>
      </w:r>
      <w:r w:rsidR="004B027E" w:rsidRPr="004B027E">
        <w:rPr>
          <w:rFonts w:ascii="Arial" w:hAnsi="Arial" w:cs="Arial"/>
          <w:sz w:val="24"/>
          <w:szCs w:val="24"/>
        </w:rPr>
        <w:t xml:space="preserve">combined </w:t>
      </w:r>
      <w:r w:rsidR="00657162">
        <w:rPr>
          <w:rFonts w:ascii="Arial" w:hAnsi="Arial" w:cs="Arial"/>
          <w:sz w:val="24"/>
          <w:szCs w:val="24"/>
        </w:rPr>
        <w:t>as</w:t>
      </w:r>
      <w:r w:rsidR="00AD4D06" w:rsidRPr="004B027E">
        <w:rPr>
          <w:rFonts w:ascii="Arial" w:hAnsi="Arial" w:cs="Arial"/>
          <w:sz w:val="24"/>
          <w:szCs w:val="24"/>
        </w:rPr>
        <w:t xml:space="preserve"> one and </w:t>
      </w:r>
      <w:r w:rsidR="001E032B">
        <w:rPr>
          <w:rFonts w:ascii="Arial" w:hAnsi="Arial" w:cs="Arial"/>
          <w:sz w:val="24"/>
          <w:szCs w:val="24"/>
        </w:rPr>
        <w:t>‘</w:t>
      </w:r>
      <w:r w:rsidR="00AD4D06" w:rsidRPr="004B027E">
        <w:rPr>
          <w:rFonts w:ascii="Arial" w:hAnsi="Arial" w:cs="Arial"/>
          <w:sz w:val="24"/>
          <w:szCs w:val="24"/>
        </w:rPr>
        <w:t>Formats / Channels</w:t>
      </w:r>
      <w:r w:rsidR="001E032B">
        <w:rPr>
          <w:rFonts w:ascii="Arial" w:hAnsi="Arial" w:cs="Arial"/>
          <w:sz w:val="24"/>
          <w:szCs w:val="24"/>
        </w:rPr>
        <w:t>’</w:t>
      </w:r>
      <w:r w:rsidR="00AD4D06" w:rsidRPr="004B027E">
        <w:rPr>
          <w:rFonts w:ascii="Arial" w:hAnsi="Arial" w:cs="Arial"/>
          <w:sz w:val="24"/>
          <w:szCs w:val="24"/>
        </w:rPr>
        <w:t xml:space="preserve"> </w:t>
      </w:r>
      <w:r w:rsidR="00883F29">
        <w:rPr>
          <w:rFonts w:ascii="Arial" w:hAnsi="Arial" w:cs="Arial"/>
          <w:sz w:val="24"/>
          <w:szCs w:val="24"/>
        </w:rPr>
        <w:t xml:space="preserve">are now </w:t>
      </w:r>
      <w:r w:rsidR="001E032B">
        <w:rPr>
          <w:rFonts w:ascii="Arial" w:hAnsi="Arial" w:cs="Arial"/>
          <w:sz w:val="24"/>
          <w:szCs w:val="24"/>
        </w:rPr>
        <w:t>renamed as</w:t>
      </w:r>
      <w:r w:rsidR="00AD4D06" w:rsidRPr="004B027E">
        <w:rPr>
          <w:rFonts w:ascii="Arial" w:hAnsi="Arial" w:cs="Arial"/>
          <w:sz w:val="24"/>
          <w:szCs w:val="24"/>
        </w:rPr>
        <w:t xml:space="preserve"> </w:t>
      </w:r>
      <w:r w:rsidR="00657162">
        <w:rPr>
          <w:rFonts w:ascii="Arial" w:hAnsi="Arial" w:cs="Arial"/>
          <w:sz w:val="24"/>
          <w:szCs w:val="24"/>
        </w:rPr>
        <w:t>‘</w:t>
      </w:r>
      <w:r w:rsidR="00AD4D06" w:rsidRPr="004B027E">
        <w:rPr>
          <w:rFonts w:ascii="Arial" w:hAnsi="Arial" w:cs="Arial"/>
          <w:sz w:val="24"/>
          <w:szCs w:val="24"/>
        </w:rPr>
        <w:t>Retail Operations</w:t>
      </w:r>
      <w:r w:rsidR="00657162">
        <w:rPr>
          <w:rFonts w:ascii="Arial" w:hAnsi="Arial" w:cs="Arial"/>
          <w:sz w:val="24"/>
          <w:szCs w:val="24"/>
        </w:rPr>
        <w:t>’</w:t>
      </w:r>
      <w:r w:rsidR="00AD4D06" w:rsidRPr="004B027E">
        <w:rPr>
          <w:rFonts w:ascii="Arial" w:hAnsi="Arial" w:cs="Arial"/>
          <w:sz w:val="24"/>
          <w:szCs w:val="24"/>
        </w:rPr>
        <w:t>.</w:t>
      </w:r>
      <w:r w:rsidR="00AD4D06">
        <w:rPr>
          <w:rFonts w:ascii="Arial" w:hAnsi="Arial" w:cs="Arial"/>
          <w:sz w:val="24"/>
          <w:szCs w:val="24"/>
        </w:rPr>
        <w:t xml:space="preserve"> </w:t>
      </w:r>
    </w:p>
    <w:p w14:paraId="2D3B09EE" w14:textId="77777777" w:rsidR="005E0A52" w:rsidRDefault="005E0A52">
      <w:pPr>
        <w:jc w:val="left"/>
        <w:rPr>
          <w:rFonts w:ascii="Arial" w:hAnsi="Arial" w:cs="Arial"/>
          <w:sz w:val="24"/>
          <w:szCs w:val="24"/>
        </w:rPr>
      </w:pPr>
    </w:p>
    <w:p w14:paraId="4CF8B6CB" w14:textId="77777777" w:rsidR="005E0A52" w:rsidRDefault="005E0A52">
      <w:pPr>
        <w:jc w:val="left"/>
        <w:rPr>
          <w:rFonts w:ascii="Arial" w:hAnsi="Arial" w:cs="Arial"/>
          <w:sz w:val="24"/>
          <w:szCs w:val="24"/>
        </w:rPr>
      </w:pPr>
    </w:p>
    <w:p w14:paraId="7C896096" w14:textId="77777777" w:rsidR="005E0A52" w:rsidRDefault="005E0A52">
      <w:pPr>
        <w:jc w:val="left"/>
        <w:rPr>
          <w:rFonts w:ascii="Arial" w:hAnsi="Arial" w:cs="Arial"/>
          <w:sz w:val="24"/>
          <w:szCs w:val="24"/>
        </w:rPr>
      </w:pPr>
    </w:p>
    <w:p w14:paraId="3D4B4856" w14:textId="77777777" w:rsidR="005E0A52" w:rsidRDefault="005E0A52">
      <w:pPr>
        <w:jc w:val="left"/>
        <w:rPr>
          <w:rFonts w:ascii="Arial" w:hAnsi="Arial" w:cs="Arial"/>
          <w:sz w:val="24"/>
          <w:szCs w:val="24"/>
        </w:rPr>
      </w:pPr>
    </w:p>
    <w:p w14:paraId="65955CF1" w14:textId="77777777" w:rsidR="000A14C5" w:rsidRDefault="000A14C5" w:rsidP="005F081C">
      <w:pPr>
        <w:jc w:val="left"/>
        <w:rPr>
          <w:rFonts w:ascii="Arial" w:hAnsi="Arial" w:cs="Arial"/>
          <w:sz w:val="24"/>
          <w:szCs w:val="24"/>
        </w:rPr>
      </w:pPr>
    </w:p>
    <w:p w14:paraId="63A81F54" w14:textId="49A8667E" w:rsidR="00651FBA" w:rsidRPr="00EF42EF" w:rsidRDefault="005F081C" w:rsidP="004B173A">
      <w:pPr>
        <w:numPr>
          <w:ilvl w:val="0"/>
          <w:numId w:val="7"/>
        </w:numPr>
        <w:spacing w:after="200" w:line="276" w:lineRule="auto"/>
        <w:jc w:val="left"/>
        <w:rPr>
          <w:rFonts w:ascii="Arial" w:hAnsi="Arial" w:cs="Arial"/>
          <w:b/>
          <w:caps/>
          <w:sz w:val="24"/>
          <w:szCs w:val="24"/>
        </w:rPr>
      </w:pPr>
      <w:r w:rsidRPr="00EF42EF">
        <w:rPr>
          <w:rFonts w:ascii="Arial" w:hAnsi="Arial" w:cs="Arial"/>
          <w:b/>
          <w:caps/>
          <w:sz w:val="24"/>
          <w:szCs w:val="24"/>
          <w:u w:val="single"/>
        </w:rPr>
        <w:lastRenderedPageBreak/>
        <w:t xml:space="preserve">Customer </w:t>
      </w:r>
      <w:r w:rsidR="003055DB" w:rsidRPr="00EF42EF">
        <w:rPr>
          <w:rFonts w:ascii="Arial" w:hAnsi="Arial" w:cs="Arial"/>
          <w:b/>
          <w:caps/>
          <w:sz w:val="24"/>
          <w:szCs w:val="24"/>
          <w:u w:val="single"/>
        </w:rPr>
        <w:t>&amp; Offer</w:t>
      </w:r>
    </w:p>
    <w:p w14:paraId="5D831155" w14:textId="3A9180FC" w:rsidR="00736946" w:rsidRDefault="005B7509" w:rsidP="00926779">
      <w:pPr>
        <w:jc w:val="left"/>
        <w:rPr>
          <w:rFonts w:ascii="Arial" w:hAnsi="Arial" w:cs="Arial"/>
          <w:sz w:val="24"/>
          <w:szCs w:val="24"/>
        </w:rPr>
      </w:pPr>
      <w:r w:rsidRPr="005B7509">
        <w:rPr>
          <w:rFonts w:ascii="Arial" w:hAnsi="Arial" w:cs="Arial"/>
          <w:sz w:val="24"/>
          <w:szCs w:val="24"/>
        </w:rPr>
        <w:t>Everything will be based on our deep knowledge of customer needs and customers’ shopping journey</w:t>
      </w:r>
      <w:r w:rsidR="001E032B">
        <w:rPr>
          <w:rFonts w:ascii="Arial" w:hAnsi="Arial" w:cs="Arial"/>
          <w:sz w:val="24"/>
          <w:szCs w:val="24"/>
        </w:rPr>
        <w:t>s</w:t>
      </w:r>
      <w:r w:rsidRPr="005B7509">
        <w:rPr>
          <w:rFonts w:ascii="Arial" w:hAnsi="Arial" w:cs="Arial"/>
          <w:sz w:val="24"/>
          <w:szCs w:val="24"/>
        </w:rPr>
        <w:t>.</w:t>
      </w:r>
      <w:r>
        <w:rPr>
          <w:rFonts w:ascii="Arial" w:hAnsi="Arial" w:cs="Arial"/>
          <w:sz w:val="24"/>
          <w:szCs w:val="24"/>
        </w:rPr>
        <w:t xml:space="preserve"> </w:t>
      </w:r>
      <w:r w:rsidR="00736946">
        <w:rPr>
          <w:rFonts w:ascii="Arial" w:hAnsi="Arial" w:cs="Arial"/>
          <w:sz w:val="24"/>
          <w:szCs w:val="24"/>
        </w:rPr>
        <w:t>Of a total of 393,000</w:t>
      </w:r>
      <w:r w:rsidR="00736946" w:rsidRPr="00E21AA0">
        <w:rPr>
          <w:rFonts w:ascii="Arial" w:hAnsi="Arial" w:cs="Arial"/>
          <w:sz w:val="24"/>
          <w:szCs w:val="24"/>
          <w:vertAlign w:val="superscript"/>
        </w:rPr>
        <w:t xml:space="preserve">(1) </w:t>
      </w:r>
      <w:r w:rsidR="00A667A7">
        <w:rPr>
          <w:rFonts w:ascii="Arial" w:hAnsi="Arial" w:cs="Arial"/>
          <w:sz w:val="24"/>
          <w:szCs w:val="24"/>
        </w:rPr>
        <w:t>SKUs</w:t>
      </w:r>
      <w:r w:rsidR="00145B45">
        <w:rPr>
          <w:rFonts w:ascii="Arial" w:hAnsi="Arial" w:cs="Arial"/>
          <w:sz w:val="24"/>
          <w:szCs w:val="24"/>
        </w:rPr>
        <w:t>*</w:t>
      </w:r>
      <w:r w:rsidR="00736946">
        <w:rPr>
          <w:rFonts w:ascii="Arial" w:hAnsi="Arial" w:cs="Arial"/>
          <w:sz w:val="24"/>
          <w:szCs w:val="24"/>
        </w:rPr>
        <w:t xml:space="preserve"> sold across the company last year, only 7,000</w:t>
      </w:r>
      <w:r w:rsidR="00736946" w:rsidRPr="00E21AA0">
        <w:rPr>
          <w:rFonts w:ascii="Arial" w:hAnsi="Arial" w:cs="Arial"/>
          <w:sz w:val="24"/>
          <w:szCs w:val="24"/>
          <w:vertAlign w:val="superscript"/>
        </w:rPr>
        <w:t>(1)</w:t>
      </w:r>
      <w:r w:rsidR="00736946" w:rsidRPr="00926779">
        <w:rPr>
          <w:rFonts w:ascii="Arial" w:hAnsi="Arial" w:cs="Arial"/>
          <w:sz w:val="24"/>
          <w:szCs w:val="24"/>
        </w:rPr>
        <w:t xml:space="preserve"> </w:t>
      </w:r>
      <w:r w:rsidR="00736946">
        <w:rPr>
          <w:rFonts w:ascii="Arial" w:hAnsi="Arial" w:cs="Arial"/>
          <w:sz w:val="24"/>
          <w:szCs w:val="24"/>
        </w:rPr>
        <w:t>were sold in</w:t>
      </w:r>
      <w:r w:rsidR="004F4BB9">
        <w:rPr>
          <w:rFonts w:ascii="Arial" w:hAnsi="Arial" w:cs="Arial"/>
          <w:sz w:val="24"/>
          <w:szCs w:val="24"/>
        </w:rPr>
        <w:t xml:space="preserve"> at least</w:t>
      </w:r>
      <w:r w:rsidR="00736946">
        <w:rPr>
          <w:rFonts w:ascii="Arial" w:hAnsi="Arial" w:cs="Arial"/>
          <w:sz w:val="24"/>
          <w:szCs w:val="24"/>
        </w:rPr>
        <w:t xml:space="preserve"> two operating companies and around 193,000 SKUs related to </w:t>
      </w:r>
      <w:r w:rsidR="00EA7E88">
        <w:rPr>
          <w:rFonts w:ascii="Arial" w:hAnsi="Arial" w:cs="Arial"/>
          <w:sz w:val="24"/>
          <w:szCs w:val="24"/>
        </w:rPr>
        <w:t>non-ranged (</w:t>
      </w:r>
      <w:r w:rsidR="00736946">
        <w:rPr>
          <w:rFonts w:ascii="Arial" w:hAnsi="Arial" w:cs="Arial"/>
          <w:sz w:val="24"/>
          <w:szCs w:val="24"/>
        </w:rPr>
        <w:t>delisted and ex-promotional</w:t>
      </w:r>
      <w:r w:rsidR="00EA7E88">
        <w:rPr>
          <w:rFonts w:ascii="Arial" w:hAnsi="Arial" w:cs="Arial"/>
          <w:sz w:val="24"/>
          <w:szCs w:val="24"/>
        </w:rPr>
        <w:t>)</w:t>
      </w:r>
      <w:r w:rsidR="00736946">
        <w:rPr>
          <w:rFonts w:ascii="Arial" w:hAnsi="Arial" w:cs="Arial"/>
          <w:sz w:val="24"/>
          <w:szCs w:val="24"/>
        </w:rPr>
        <w:t xml:space="preserve"> </w:t>
      </w:r>
      <w:r w:rsidR="00EA7E88">
        <w:rPr>
          <w:rFonts w:ascii="Arial" w:hAnsi="Arial" w:cs="Arial"/>
          <w:sz w:val="24"/>
          <w:szCs w:val="24"/>
        </w:rPr>
        <w:t xml:space="preserve">products </w:t>
      </w:r>
      <w:r w:rsidR="00736946">
        <w:rPr>
          <w:rFonts w:ascii="Arial" w:hAnsi="Arial" w:cs="Arial"/>
          <w:sz w:val="24"/>
          <w:szCs w:val="24"/>
        </w:rPr>
        <w:t xml:space="preserve">which do not form part of existing retail planograms*. Driven by the knowledge </w:t>
      </w:r>
      <w:r w:rsidR="00736946" w:rsidRPr="005B7509">
        <w:rPr>
          <w:rFonts w:ascii="Arial" w:hAnsi="Arial" w:cs="Arial"/>
          <w:sz w:val="24"/>
          <w:szCs w:val="24"/>
        </w:rPr>
        <w:t xml:space="preserve">that customer needs are more similar than different across geographies, </w:t>
      </w:r>
      <w:r w:rsidR="00EA7E88">
        <w:rPr>
          <w:rFonts w:ascii="Arial" w:hAnsi="Arial" w:cs="Arial"/>
          <w:sz w:val="24"/>
          <w:szCs w:val="24"/>
        </w:rPr>
        <w:t xml:space="preserve">ranged products (part of </w:t>
      </w:r>
      <w:r w:rsidR="00736946" w:rsidRPr="005B7509">
        <w:rPr>
          <w:rFonts w:ascii="Arial" w:hAnsi="Arial" w:cs="Arial"/>
          <w:sz w:val="24"/>
          <w:szCs w:val="24"/>
        </w:rPr>
        <w:t>planogram</w:t>
      </w:r>
      <w:r w:rsidR="00EA7E88">
        <w:rPr>
          <w:rFonts w:ascii="Arial" w:hAnsi="Arial" w:cs="Arial"/>
          <w:sz w:val="24"/>
          <w:szCs w:val="24"/>
        </w:rPr>
        <w:t xml:space="preserve">s of </w:t>
      </w:r>
      <w:r w:rsidR="00736946">
        <w:rPr>
          <w:rFonts w:ascii="Arial" w:hAnsi="Arial" w:cs="Arial"/>
          <w:sz w:val="24"/>
          <w:szCs w:val="24"/>
        </w:rPr>
        <w:t xml:space="preserve">around 200,000 SKUs) </w:t>
      </w:r>
      <w:r w:rsidR="00736946" w:rsidRPr="005B7509">
        <w:rPr>
          <w:rFonts w:ascii="Arial" w:hAnsi="Arial" w:cs="Arial"/>
          <w:sz w:val="24"/>
          <w:szCs w:val="24"/>
        </w:rPr>
        <w:t xml:space="preserve">can be more </w:t>
      </w:r>
      <w:r w:rsidR="00736946">
        <w:rPr>
          <w:rFonts w:ascii="Arial" w:hAnsi="Arial" w:cs="Arial"/>
          <w:sz w:val="24"/>
          <w:szCs w:val="24"/>
        </w:rPr>
        <w:t>unified</w:t>
      </w:r>
      <w:r w:rsidR="00736946" w:rsidRPr="005B7509">
        <w:rPr>
          <w:rFonts w:ascii="Arial" w:hAnsi="Arial" w:cs="Arial"/>
          <w:sz w:val="24"/>
          <w:szCs w:val="24"/>
        </w:rPr>
        <w:t xml:space="preserve"> in all our markets across Europe</w:t>
      </w:r>
      <w:r w:rsidR="00736946">
        <w:rPr>
          <w:rFonts w:ascii="Arial" w:hAnsi="Arial" w:cs="Arial"/>
          <w:sz w:val="24"/>
          <w:szCs w:val="24"/>
        </w:rPr>
        <w:t>+</w:t>
      </w:r>
      <w:r w:rsidR="00736946" w:rsidRPr="005B7509">
        <w:rPr>
          <w:rFonts w:ascii="Arial" w:hAnsi="Arial" w:cs="Arial"/>
          <w:sz w:val="24"/>
          <w:szCs w:val="24"/>
        </w:rPr>
        <w:t>.</w:t>
      </w:r>
    </w:p>
    <w:p w14:paraId="453C3D5F" w14:textId="77777777" w:rsidR="00EC2AC8" w:rsidRDefault="00EC2AC8" w:rsidP="00EC2AC8">
      <w:pPr>
        <w:jc w:val="left"/>
        <w:rPr>
          <w:rFonts w:ascii="Arial" w:hAnsi="Arial" w:cs="Arial"/>
          <w:sz w:val="24"/>
          <w:szCs w:val="24"/>
        </w:rPr>
      </w:pPr>
    </w:p>
    <w:p w14:paraId="330B2E91" w14:textId="77777777" w:rsidR="00EC2AC8" w:rsidRDefault="00EC2AC8" w:rsidP="00EC2AC8">
      <w:pPr>
        <w:pStyle w:val="ListParagraph"/>
        <w:numPr>
          <w:ilvl w:val="0"/>
          <w:numId w:val="31"/>
        </w:numPr>
        <w:rPr>
          <w:rFonts w:ascii="Arial" w:hAnsi="Arial" w:cs="Arial"/>
          <w:bCs/>
          <w:sz w:val="18"/>
          <w:szCs w:val="18"/>
        </w:rPr>
      </w:pPr>
      <w:r>
        <w:rPr>
          <w:rFonts w:ascii="Arial" w:hAnsi="Arial" w:cs="Arial"/>
          <w:bCs/>
          <w:sz w:val="18"/>
          <w:szCs w:val="18"/>
        </w:rPr>
        <w:t xml:space="preserve">Across top 5 operating companies </w:t>
      </w:r>
      <w:proofErr w:type="spellStart"/>
      <w:r>
        <w:rPr>
          <w:rFonts w:ascii="Arial" w:hAnsi="Arial" w:cs="Arial"/>
          <w:bCs/>
          <w:sz w:val="18"/>
          <w:szCs w:val="18"/>
        </w:rPr>
        <w:t>Castorama</w:t>
      </w:r>
      <w:proofErr w:type="spellEnd"/>
      <w:r>
        <w:rPr>
          <w:rFonts w:ascii="Arial" w:hAnsi="Arial" w:cs="Arial"/>
          <w:bCs/>
          <w:sz w:val="18"/>
          <w:szCs w:val="18"/>
        </w:rPr>
        <w:t xml:space="preserve"> France, </w:t>
      </w:r>
      <w:proofErr w:type="spellStart"/>
      <w:r>
        <w:rPr>
          <w:rFonts w:ascii="Arial" w:hAnsi="Arial" w:cs="Arial"/>
          <w:bCs/>
          <w:sz w:val="18"/>
          <w:szCs w:val="18"/>
        </w:rPr>
        <w:t>Brico</w:t>
      </w:r>
      <w:proofErr w:type="spellEnd"/>
      <w:r>
        <w:rPr>
          <w:rFonts w:ascii="Arial" w:hAnsi="Arial" w:cs="Arial"/>
          <w:bCs/>
          <w:sz w:val="18"/>
          <w:szCs w:val="18"/>
        </w:rPr>
        <w:t xml:space="preserve"> </w:t>
      </w:r>
      <w:proofErr w:type="spellStart"/>
      <w:r w:rsidRPr="00926779">
        <w:rPr>
          <w:rFonts w:ascii="Arial" w:hAnsi="Arial" w:cs="Arial"/>
          <w:bCs/>
          <w:sz w:val="18"/>
          <w:szCs w:val="18"/>
        </w:rPr>
        <w:t>Dépôt</w:t>
      </w:r>
      <w:proofErr w:type="spellEnd"/>
      <w:r>
        <w:rPr>
          <w:rFonts w:ascii="Arial" w:hAnsi="Arial" w:cs="Arial"/>
          <w:bCs/>
          <w:sz w:val="18"/>
          <w:szCs w:val="18"/>
        </w:rPr>
        <w:t xml:space="preserve"> France, B&amp;Q, Screwfix UK &amp; Poland</w:t>
      </w:r>
    </w:p>
    <w:p w14:paraId="0654DDF8" w14:textId="77777777" w:rsidR="00F701CA" w:rsidRPr="00926779" w:rsidRDefault="00F701CA" w:rsidP="00926779">
      <w:pPr>
        <w:jc w:val="left"/>
        <w:rPr>
          <w:rFonts w:ascii="Arial" w:hAnsi="Arial" w:cs="Arial"/>
          <w:sz w:val="24"/>
          <w:szCs w:val="24"/>
        </w:rPr>
      </w:pPr>
    </w:p>
    <w:p w14:paraId="11127674" w14:textId="4B891D75" w:rsidR="00C37A32" w:rsidRDefault="009236DC" w:rsidP="00AD4D06">
      <w:pPr>
        <w:spacing w:after="200" w:line="276" w:lineRule="auto"/>
        <w:jc w:val="left"/>
        <w:rPr>
          <w:rFonts w:ascii="Arial" w:hAnsi="Arial" w:cs="Arial"/>
          <w:sz w:val="24"/>
          <w:szCs w:val="24"/>
        </w:rPr>
      </w:pPr>
      <w:r>
        <w:rPr>
          <w:rFonts w:ascii="Arial" w:hAnsi="Arial" w:cs="Arial"/>
          <w:sz w:val="24"/>
          <w:szCs w:val="24"/>
        </w:rPr>
        <w:t xml:space="preserve">Unified ranges </w:t>
      </w:r>
      <w:r w:rsidR="00EC2AC8">
        <w:rPr>
          <w:rFonts w:ascii="Arial" w:hAnsi="Arial" w:cs="Arial"/>
          <w:sz w:val="24"/>
          <w:szCs w:val="24"/>
        </w:rPr>
        <w:t xml:space="preserve">(same products everywhere presented in the same way) </w:t>
      </w:r>
      <w:r>
        <w:rPr>
          <w:rFonts w:ascii="Arial" w:hAnsi="Arial" w:cs="Arial"/>
          <w:sz w:val="24"/>
          <w:szCs w:val="24"/>
        </w:rPr>
        <w:t xml:space="preserve">will cover </w:t>
      </w:r>
      <w:r w:rsidRPr="00926779">
        <w:rPr>
          <w:rFonts w:ascii="Arial" w:hAnsi="Arial" w:cs="Arial"/>
          <w:i/>
          <w:sz w:val="24"/>
          <w:szCs w:val="24"/>
        </w:rPr>
        <w:t>unique</w:t>
      </w:r>
      <w:r w:rsidR="00C37A32">
        <w:rPr>
          <w:rFonts w:ascii="Arial" w:hAnsi="Arial" w:cs="Arial"/>
          <w:i/>
          <w:sz w:val="24"/>
          <w:szCs w:val="24"/>
        </w:rPr>
        <w:t xml:space="preserve">, core essential and </w:t>
      </w:r>
      <w:r w:rsidR="004F4BB9">
        <w:rPr>
          <w:rFonts w:ascii="Arial" w:hAnsi="Arial" w:cs="Arial"/>
          <w:i/>
          <w:sz w:val="24"/>
          <w:szCs w:val="24"/>
        </w:rPr>
        <w:t xml:space="preserve">complementary </w:t>
      </w:r>
      <w:r w:rsidR="00C37A32">
        <w:rPr>
          <w:rFonts w:ascii="Arial" w:hAnsi="Arial" w:cs="Arial"/>
          <w:sz w:val="24"/>
          <w:szCs w:val="24"/>
        </w:rPr>
        <w:t>categories, as defined below:</w:t>
      </w:r>
    </w:p>
    <w:p w14:paraId="3EB36A39" w14:textId="70ECA477" w:rsidR="00AD4D06" w:rsidRDefault="00C37A32" w:rsidP="00926779">
      <w:pPr>
        <w:jc w:val="left"/>
        <w:rPr>
          <w:rFonts w:ascii="Arial" w:hAnsi="Arial" w:cs="Arial"/>
          <w:sz w:val="24"/>
          <w:szCs w:val="24"/>
        </w:rPr>
      </w:pPr>
      <w:r w:rsidRPr="00926779">
        <w:rPr>
          <w:rFonts w:ascii="Arial" w:hAnsi="Arial" w:cs="Arial"/>
          <w:i/>
          <w:sz w:val="24"/>
          <w:szCs w:val="24"/>
        </w:rPr>
        <w:t>Unique:</w:t>
      </w:r>
      <w:r>
        <w:rPr>
          <w:rFonts w:ascii="Arial" w:hAnsi="Arial" w:cs="Arial"/>
          <w:sz w:val="24"/>
          <w:szCs w:val="24"/>
        </w:rPr>
        <w:t xml:space="preserve"> leading home improvement </w:t>
      </w:r>
      <w:r w:rsidR="009236DC">
        <w:rPr>
          <w:rFonts w:ascii="Arial" w:hAnsi="Arial" w:cs="Arial"/>
          <w:sz w:val="24"/>
          <w:szCs w:val="24"/>
        </w:rPr>
        <w:t xml:space="preserve">products </w:t>
      </w:r>
      <w:r>
        <w:rPr>
          <w:rFonts w:ascii="Arial" w:hAnsi="Arial" w:cs="Arial"/>
          <w:sz w:val="24"/>
          <w:szCs w:val="24"/>
        </w:rPr>
        <w:t xml:space="preserve">and solutions where we want to be the first </w:t>
      </w:r>
      <w:r w:rsidR="004F4BB9">
        <w:rPr>
          <w:rFonts w:ascii="Arial" w:hAnsi="Arial" w:cs="Arial"/>
          <w:sz w:val="24"/>
          <w:szCs w:val="24"/>
        </w:rPr>
        <w:t xml:space="preserve">choice </w:t>
      </w:r>
      <w:r>
        <w:rPr>
          <w:rFonts w:ascii="Arial" w:hAnsi="Arial" w:cs="Arial"/>
          <w:sz w:val="24"/>
          <w:szCs w:val="24"/>
        </w:rPr>
        <w:t xml:space="preserve">destination in customers’ minds. To develop unique products, we will need to </w:t>
      </w:r>
      <w:r w:rsidR="00322474">
        <w:rPr>
          <w:rFonts w:ascii="Arial" w:hAnsi="Arial" w:cs="Arial"/>
          <w:sz w:val="24"/>
          <w:szCs w:val="24"/>
        </w:rPr>
        <w:t>develop</w:t>
      </w:r>
      <w:r>
        <w:rPr>
          <w:rFonts w:ascii="Arial" w:hAnsi="Arial" w:cs="Arial"/>
          <w:sz w:val="24"/>
          <w:szCs w:val="24"/>
        </w:rPr>
        <w:t xml:space="preserve"> </w:t>
      </w:r>
      <w:r w:rsidRPr="001D7DCF">
        <w:rPr>
          <w:rFonts w:ascii="Arial" w:hAnsi="Arial" w:cs="Arial"/>
          <w:sz w:val="24"/>
          <w:szCs w:val="24"/>
        </w:rPr>
        <w:t>deeper competence in</w:t>
      </w:r>
      <w:r>
        <w:rPr>
          <w:rFonts w:ascii="Arial" w:hAnsi="Arial" w:cs="Arial"/>
          <w:sz w:val="24"/>
          <w:szCs w:val="24"/>
        </w:rPr>
        <w:t xml:space="preserve"> </w:t>
      </w:r>
      <w:r w:rsidRPr="001D7DCF">
        <w:rPr>
          <w:rFonts w:ascii="Arial" w:hAnsi="Arial" w:cs="Arial"/>
          <w:sz w:val="24"/>
          <w:szCs w:val="24"/>
        </w:rPr>
        <w:t xml:space="preserve">areas </w:t>
      </w:r>
      <w:r>
        <w:rPr>
          <w:rFonts w:ascii="Arial" w:hAnsi="Arial" w:cs="Arial"/>
          <w:sz w:val="24"/>
          <w:szCs w:val="24"/>
        </w:rPr>
        <w:t>such as</w:t>
      </w:r>
      <w:r w:rsidRPr="001D7DCF">
        <w:rPr>
          <w:rFonts w:ascii="Arial" w:hAnsi="Arial" w:cs="Arial"/>
          <w:sz w:val="24"/>
          <w:szCs w:val="24"/>
        </w:rPr>
        <w:t xml:space="preserve"> design, engineering, materials</w:t>
      </w:r>
      <w:r>
        <w:rPr>
          <w:rFonts w:ascii="Arial" w:hAnsi="Arial" w:cs="Arial"/>
          <w:sz w:val="24"/>
          <w:szCs w:val="24"/>
        </w:rPr>
        <w:t xml:space="preserve"> and </w:t>
      </w:r>
      <w:r w:rsidRPr="001D7DCF">
        <w:rPr>
          <w:rFonts w:ascii="Arial" w:hAnsi="Arial" w:cs="Arial"/>
          <w:sz w:val="24"/>
          <w:szCs w:val="24"/>
        </w:rPr>
        <w:t xml:space="preserve">packaging </w:t>
      </w:r>
      <w:r>
        <w:rPr>
          <w:rFonts w:ascii="Arial" w:hAnsi="Arial" w:cs="Arial"/>
          <w:sz w:val="24"/>
          <w:szCs w:val="24"/>
        </w:rPr>
        <w:t xml:space="preserve">to complement </w:t>
      </w:r>
      <w:r w:rsidRPr="001D7DCF">
        <w:rPr>
          <w:rFonts w:ascii="Arial" w:hAnsi="Arial" w:cs="Arial"/>
          <w:sz w:val="24"/>
          <w:szCs w:val="24"/>
        </w:rPr>
        <w:t>existing expertise</w:t>
      </w:r>
      <w:r>
        <w:rPr>
          <w:rFonts w:ascii="Arial" w:hAnsi="Arial" w:cs="Arial"/>
          <w:sz w:val="24"/>
          <w:szCs w:val="24"/>
        </w:rPr>
        <w:t xml:space="preserve"> as part of the new unified offer organisation. </w:t>
      </w:r>
    </w:p>
    <w:p w14:paraId="02519F75" w14:textId="77777777" w:rsidR="00F701CA" w:rsidRDefault="00F701CA" w:rsidP="00926779">
      <w:pPr>
        <w:jc w:val="left"/>
        <w:rPr>
          <w:rFonts w:ascii="Arial" w:hAnsi="Arial" w:cs="Arial"/>
          <w:sz w:val="24"/>
          <w:szCs w:val="24"/>
        </w:rPr>
      </w:pPr>
    </w:p>
    <w:p w14:paraId="358E8CBE" w14:textId="4879A16A" w:rsidR="009236DC" w:rsidRDefault="00C37A32" w:rsidP="00AD4D06">
      <w:pPr>
        <w:spacing w:after="200" w:line="276" w:lineRule="auto"/>
        <w:jc w:val="left"/>
        <w:rPr>
          <w:rFonts w:ascii="Arial" w:hAnsi="Arial" w:cs="Arial"/>
          <w:sz w:val="24"/>
          <w:szCs w:val="24"/>
        </w:rPr>
      </w:pPr>
      <w:r w:rsidRPr="00926779">
        <w:rPr>
          <w:rFonts w:ascii="Arial" w:hAnsi="Arial" w:cs="Arial"/>
          <w:i/>
          <w:sz w:val="24"/>
          <w:szCs w:val="24"/>
        </w:rPr>
        <w:t>Core essentials:</w:t>
      </w:r>
      <w:r w:rsidRPr="00926779">
        <w:rPr>
          <w:rFonts w:ascii="Arial" w:hAnsi="Arial" w:cs="Arial"/>
          <w:sz w:val="24"/>
          <w:szCs w:val="24"/>
        </w:rPr>
        <w:t xml:space="preserve"> </w:t>
      </w:r>
      <w:r>
        <w:rPr>
          <w:rFonts w:ascii="Arial" w:hAnsi="Arial" w:cs="Arial"/>
          <w:sz w:val="24"/>
          <w:szCs w:val="24"/>
        </w:rPr>
        <w:t xml:space="preserve">home improvement basics and consumables (e.g. </w:t>
      </w:r>
      <w:r w:rsidR="002410F3">
        <w:rPr>
          <w:rFonts w:ascii="Arial" w:hAnsi="Arial" w:cs="Arial"/>
          <w:sz w:val="24"/>
          <w:szCs w:val="24"/>
        </w:rPr>
        <w:t xml:space="preserve">batteries, </w:t>
      </w:r>
      <w:r>
        <w:rPr>
          <w:rFonts w:ascii="Arial" w:hAnsi="Arial" w:cs="Arial"/>
          <w:sz w:val="24"/>
          <w:szCs w:val="24"/>
        </w:rPr>
        <w:t>paintbrushes</w:t>
      </w:r>
      <w:r w:rsidR="002410F3">
        <w:rPr>
          <w:rFonts w:ascii="Arial" w:hAnsi="Arial" w:cs="Arial"/>
          <w:sz w:val="24"/>
          <w:szCs w:val="24"/>
        </w:rPr>
        <w:t>, light bulbs</w:t>
      </w:r>
      <w:r>
        <w:rPr>
          <w:rFonts w:ascii="Arial" w:hAnsi="Arial" w:cs="Arial"/>
          <w:sz w:val="24"/>
          <w:szCs w:val="24"/>
        </w:rPr>
        <w:t>). Products that our customers see as universal.</w:t>
      </w:r>
    </w:p>
    <w:p w14:paraId="58837EF5" w14:textId="34E830C8" w:rsidR="00C37A32" w:rsidRPr="00926779" w:rsidRDefault="00931A00" w:rsidP="00AD4D06">
      <w:pPr>
        <w:spacing w:after="200" w:line="276" w:lineRule="auto"/>
        <w:jc w:val="left"/>
        <w:rPr>
          <w:rFonts w:ascii="Arial" w:hAnsi="Arial" w:cs="Arial"/>
          <w:sz w:val="24"/>
          <w:szCs w:val="24"/>
        </w:rPr>
      </w:pPr>
      <w:r>
        <w:rPr>
          <w:rFonts w:ascii="Arial" w:hAnsi="Arial" w:cs="Arial"/>
          <w:i/>
          <w:sz w:val="24"/>
          <w:szCs w:val="24"/>
        </w:rPr>
        <w:t>Complementary</w:t>
      </w:r>
      <w:r w:rsidR="00C760BE" w:rsidRPr="00926779">
        <w:rPr>
          <w:rFonts w:ascii="Arial" w:hAnsi="Arial" w:cs="Arial"/>
          <w:i/>
          <w:sz w:val="24"/>
          <w:szCs w:val="24"/>
        </w:rPr>
        <w:t>:</w:t>
      </w:r>
      <w:r w:rsidR="00C760BE">
        <w:rPr>
          <w:rFonts w:ascii="Arial" w:hAnsi="Arial" w:cs="Arial"/>
          <w:sz w:val="24"/>
          <w:szCs w:val="24"/>
        </w:rPr>
        <w:t xml:space="preserve"> </w:t>
      </w:r>
      <w:r w:rsidR="00C37A32" w:rsidRPr="00A92794">
        <w:rPr>
          <w:rFonts w:ascii="Arial" w:hAnsi="Arial" w:cs="Arial"/>
          <w:sz w:val="24"/>
          <w:szCs w:val="24"/>
        </w:rPr>
        <w:t xml:space="preserve">products </w:t>
      </w:r>
      <w:r w:rsidR="00A92794">
        <w:rPr>
          <w:rFonts w:ascii="Arial" w:hAnsi="Arial" w:cs="Arial"/>
          <w:sz w:val="24"/>
          <w:szCs w:val="24"/>
        </w:rPr>
        <w:t>which will complete our home improvement offer</w:t>
      </w:r>
      <w:r w:rsidR="00C760BE" w:rsidRPr="00A92794">
        <w:rPr>
          <w:rFonts w:ascii="Arial" w:hAnsi="Arial" w:cs="Arial"/>
          <w:sz w:val="24"/>
          <w:szCs w:val="24"/>
        </w:rPr>
        <w:t>.</w:t>
      </w:r>
      <w:r w:rsidR="00C760BE">
        <w:rPr>
          <w:rFonts w:ascii="Arial" w:hAnsi="Arial" w:cs="Arial"/>
          <w:sz w:val="24"/>
          <w:szCs w:val="24"/>
        </w:rPr>
        <w:t xml:space="preserve"> </w:t>
      </w:r>
    </w:p>
    <w:p w14:paraId="60A05202" w14:textId="394E3394" w:rsidR="00AD4D06" w:rsidRPr="00A14B0F" w:rsidRDefault="00AD4D06" w:rsidP="00926779">
      <w:pPr>
        <w:spacing w:after="200" w:line="240" w:lineRule="exact"/>
        <w:ind w:left="360"/>
        <w:contextualSpacing/>
        <w:jc w:val="left"/>
        <w:rPr>
          <w:rFonts w:ascii="Arial" w:hAnsi="Arial" w:cs="Arial"/>
          <w:i/>
          <w:sz w:val="24"/>
          <w:szCs w:val="24"/>
        </w:rPr>
      </w:pPr>
      <w:r w:rsidRPr="00A14B0F">
        <w:rPr>
          <w:rFonts w:ascii="Arial" w:hAnsi="Arial" w:cs="Arial"/>
          <w:i/>
          <w:sz w:val="24"/>
          <w:szCs w:val="24"/>
        </w:rPr>
        <w:t>First sharp decisions:</w:t>
      </w:r>
    </w:p>
    <w:p w14:paraId="66098083" w14:textId="77777777" w:rsidR="001052D4" w:rsidRPr="001052D4" w:rsidRDefault="001052D4" w:rsidP="00926779">
      <w:pPr>
        <w:pStyle w:val="ListParagraph"/>
        <w:numPr>
          <w:ilvl w:val="0"/>
          <w:numId w:val="24"/>
        </w:numPr>
        <w:spacing w:line="240" w:lineRule="exact"/>
        <w:rPr>
          <w:rFonts w:ascii="Arial" w:hAnsi="Arial" w:cs="Arial"/>
          <w:sz w:val="24"/>
          <w:szCs w:val="24"/>
        </w:rPr>
      </w:pPr>
      <w:r w:rsidRPr="001052D4">
        <w:rPr>
          <w:rFonts w:ascii="Arial" w:hAnsi="Arial" w:cs="Arial"/>
          <w:sz w:val="24"/>
          <w:szCs w:val="24"/>
        </w:rPr>
        <w:t xml:space="preserve">Develop unique garden and bathroom businesses </w:t>
      </w:r>
    </w:p>
    <w:p w14:paraId="15941C8D" w14:textId="77777777" w:rsidR="001052D4" w:rsidRPr="001052D4" w:rsidRDefault="001052D4" w:rsidP="00926779">
      <w:pPr>
        <w:pStyle w:val="ListParagraph"/>
        <w:numPr>
          <w:ilvl w:val="0"/>
          <w:numId w:val="24"/>
        </w:numPr>
        <w:spacing w:line="240" w:lineRule="exact"/>
        <w:rPr>
          <w:rFonts w:ascii="Arial" w:hAnsi="Arial" w:cs="Arial"/>
          <w:sz w:val="24"/>
          <w:szCs w:val="24"/>
        </w:rPr>
      </w:pPr>
      <w:r w:rsidRPr="001052D4">
        <w:rPr>
          <w:rFonts w:ascii="Arial" w:hAnsi="Arial" w:cs="Arial"/>
          <w:sz w:val="24"/>
          <w:szCs w:val="24"/>
        </w:rPr>
        <w:t>Develop core essential offer</w:t>
      </w:r>
    </w:p>
    <w:p w14:paraId="63A40767" w14:textId="5A46EA40" w:rsidR="001052D4" w:rsidRPr="001052D4" w:rsidRDefault="001052D4" w:rsidP="00926779">
      <w:pPr>
        <w:pStyle w:val="ListParagraph"/>
        <w:numPr>
          <w:ilvl w:val="0"/>
          <w:numId w:val="24"/>
        </w:numPr>
        <w:spacing w:line="240" w:lineRule="exact"/>
        <w:rPr>
          <w:rFonts w:ascii="Arial" w:hAnsi="Arial" w:cs="Arial"/>
          <w:sz w:val="24"/>
          <w:szCs w:val="24"/>
        </w:rPr>
      </w:pPr>
      <w:r w:rsidRPr="001052D4">
        <w:rPr>
          <w:rFonts w:ascii="Arial" w:hAnsi="Arial" w:cs="Arial"/>
          <w:sz w:val="24"/>
          <w:szCs w:val="24"/>
        </w:rPr>
        <w:t>Develop plan to cut existing product tail</w:t>
      </w:r>
      <w:r w:rsidR="00C21029">
        <w:rPr>
          <w:rFonts w:ascii="Arial" w:hAnsi="Arial" w:cs="Arial"/>
          <w:sz w:val="24"/>
          <w:szCs w:val="24"/>
        </w:rPr>
        <w:t>*</w:t>
      </w:r>
    </w:p>
    <w:p w14:paraId="003FE7E1" w14:textId="77777777" w:rsidR="001052D4" w:rsidRDefault="001052D4" w:rsidP="001052D4">
      <w:pPr>
        <w:rPr>
          <w:rFonts w:ascii="Arial" w:hAnsi="Arial" w:cs="Arial"/>
          <w:sz w:val="24"/>
          <w:szCs w:val="24"/>
        </w:rPr>
      </w:pPr>
    </w:p>
    <w:p w14:paraId="085D950A" w14:textId="66A78029" w:rsidR="002410F3" w:rsidRDefault="002410F3" w:rsidP="00926779">
      <w:pPr>
        <w:jc w:val="left"/>
        <w:rPr>
          <w:rFonts w:ascii="Arial" w:hAnsi="Arial" w:cs="Arial"/>
          <w:sz w:val="24"/>
          <w:szCs w:val="24"/>
        </w:rPr>
      </w:pPr>
      <w:r>
        <w:rPr>
          <w:rFonts w:ascii="Arial" w:hAnsi="Arial" w:cs="Arial"/>
          <w:sz w:val="24"/>
          <w:szCs w:val="24"/>
        </w:rPr>
        <w:t>Update</w:t>
      </w:r>
      <w:r w:rsidR="00277DC8">
        <w:rPr>
          <w:rFonts w:ascii="Arial" w:hAnsi="Arial" w:cs="Arial"/>
          <w:sz w:val="24"/>
          <w:szCs w:val="24"/>
        </w:rPr>
        <w:t>:</w:t>
      </w:r>
    </w:p>
    <w:p w14:paraId="4C9E9841" w14:textId="729AC844" w:rsidR="00C324A1" w:rsidRDefault="002410F3" w:rsidP="00C324A1">
      <w:pPr>
        <w:jc w:val="left"/>
        <w:rPr>
          <w:rFonts w:ascii="Arial" w:hAnsi="Arial" w:cs="Arial"/>
          <w:i/>
          <w:sz w:val="24"/>
          <w:szCs w:val="24"/>
        </w:rPr>
      </w:pPr>
      <w:r w:rsidRPr="00926779">
        <w:rPr>
          <w:rFonts w:ascii="Arial" w:hAnsi="Arial" w:cs="Arial"/>
          <w:i/>
          <w:sz w:val="24"/>
          <w:szCs w:val="24"/>
        </w:rPr>
        <w:t xml:space="preserve">Core essentials: </w:t>
      </w:r>
    </w:p>
    <w:p w14:paraId="37F4CCE0" w14:textId="6E51531C" w:rsidR="00322474" w:rsidRPr="00E70614" w:rsidRDefault="002410F3" w:rsidP="00E70614">
      <w:pPr>
        <w:jc w:val="left"/>
        <w:rPr>
          <w:rFonts w:ascii="Arial" w:hAnsi="Arial" w:cs="Arial"/>
          <w:sz w:val="24"/>
          <w:szCs w:val="24"/>
        </w:rPr>
      </w:pPr>
      <w:r>
        <w:rPr>
          <w:rFonts w:ascii="Arial" w:hAnsi="Arial" w:cs="Arial"/>
          <w:sz w:val="24"/>
          <w:szCs w:val="24"/>
        </w:rPr>
        <w:t xml:space="preserve">These products represent around </w:t>
      </w:r>
      <w:r w:rsidR="00D10E08">
        <w:rPr>
          <w:rFonts w:ascii="Arial" w:hAnsi="Arial" w:cs="Arial"/>
          <w:sz w:val="24"/>
          <w:szCs w:val="24"/>
        </w:rPr>
        <w:t xml:space="preserve">one third of </w:t>
      </w:r>
      <w:r w:rsidR="004F3476">
        <w:rPr>
          <w:rFonts w:ascii="Arial" w:hAnsi="Arial" w:cs="Arial"/>
          <w:sz w:val="24"/>
          <w:szCs w:val="24"/>
        </w:rPr>
        <w:t xml:space="preserve">total </w:t>
      </w:r>
      <w:r w:rsidR="00C324A1">
        <w:rPr>
          <w:rFonts w:ascii="Arial" w:hAnsi="Arial" w:cs="Arial"/>
          <w:sz w:val="24"/>
          <w:szCs w:val="24"/>
        </w:rPr>
        <w:t xml:space="preserve">company </w:t>
      </w:r>
      <w:r>
        <w:rPr>
          <w:rFonts w:ascii="Arial" w:hAnsi="Arial" w:cs="Arial"/>
          <w:sz w:val="24"/>
          <w:szCs w:val="24"/>
        </w:rPr>
        <w:t>buying scale. We believe that the number of SKUs and suppliers can be significantly reduced. New</w:t>
      </w:r>
      <w:r w:rsidR="00C324A1">
        <w:rPr>
          <w:rFonts w:ascii="Arial" w:hAnsi="Arial" w:cs="Arial"/>
          <w:sz w:val="24"/>
          <w:szCs w:val="24"/>
        </w:rPr>
        <w:t xml:space="preserve"> </w:t>
      </w:r>
      <w:r>
        <w:rPr>
          <w:rFonts w:ascii="Arial" w:hAnsi="Arial" w:cs="Arial"/>
          <w:sz w:val="24"/>
          <w:szCs w:val="24"/>
        </w:rPr>
        <w:t xml:space="preserve">ways of working </w:t>
      </w:r>
      <w:r w:rsidR="00C324A1">
        <w:rPr>
          <w:rFonts w:ascii="Arial" w:hAnsi="Arial" w:cs="Arial"/>
          <w:sz w:val="24"/>
          <w:szCs w:val="24"/>
        </w:rPr>
        <w:t xml:space="preserve">and supplier guidelines </w:t>
      </w:r>
      <w:r>
        <w:rPr>
          <w:rFonts w:ascii="Arial" w:hAnsi="Arial" w:cs="Arial"/>
          <w:sz w:val="24"/>
          <w:szCs w:val="24"/>
        </w:rPr>
        <w:t>are already in place</w:t>
      </w:r>
      <w:r w:rsidR="00C324A1">
        <w:rPr>
          <w:rFonts w:ascii="Arial" w:hAnsi="Arial" w:cs="Arial"/>
          <w:sz w:val="24"/>
          <w:szCs w:val="24"/>
        </w:rPr>
        <w:t xml:space="preserve">. </w:t>
      </w:r>
      <w:r w:rsidR="004F3476">
        <w:rPr>
          <w:rFonts w:ascii="Arial" w:hAnsi="Arial" w:cs="Arial"/>
          <w:sz w:val="24"/>
          <w:szCs w:val="24"/>
        </w:rPr>
        <w:t xml:space="preserve">We are starting with </w:t>
      </w:r>
      <w:r w:rsidR="004F3476" w:rsidRPr="00E70614">
        <w:rPr>
          <w:rFonts w:ascii="Arial" w:hAnsi="Arial" w:cs="Arial"/>
          <w:sz w:val="24"/>
          <w:szCs w:val="24"/>
        </w:rPr>
        <w:t>20 categories which</w:t>
      </w:r>
      <w:r w:rsidR="00322474" w:rsidRPr="00E70614">
        <w:rPr>
          <w:rFonts w:ascii="Arial" w:hAnsi="Arial" w:cs="Arial"/>
          <w:sz w:val="24"/>
          <w:szCs w:val="24"/>
        </w:rPr>
        <w:t xml:space="preserve"> </w:t>
      </w:r>
      <w:r w:rsidR="004F3476">
        <w:rPr>
          <w:rFonts w:ascii="Arial" w:hAnsi="Arial" w:cs="Arial"/>
          <w:sz w:val="24"/>
          <w:szCs w:val="24"/>
        </w:rPr>
        <w:t xml:space="preserve">represent </w:t>
      </w:r>
      <w:r w:rsidR="00322474" w:rsidRPr="00E70614">
        <w:rPr>
          <w:rFonts w:ascii="Arial" w:hAnsi="Arial" w:cs="Arial"/>
          <w:sz w:val="24"/>
          <w:szCs w:val="24"/>
        </w:rPr>
        <w:t xml:space="preserve">£0.6 billion of </w:t>
      </w:r>
      <w:r w:rsidR="004F3476">
        <w:rPr>
          <w:rFonts w:ascii="Arial" w:hAnsi="Arial" w:cs="Arial"/>
          <w:sz w:val="24"/>
          <w:szCs w:val="24"/>
        </w:rPr>
        <w:t xml:space="preserve">total </w:t>
      </w:r>
      <w:r w:rsidR="00322474" w:rsidRPr="00E70614">
        <w:rPr>
          <w:rFonts w:ascii="Arial" w:hAnsi="Arial" w:cs="Arial"/>
          <w:sz w:val="24"/>
          <w:szCs w:val="24"/>
        </w:rPr>
        <w:t>company buying scale and will land</w:t>
      </w:r>
      <w:r w:rsidR="00956FAD" w:rsidRPr="00E70614">
        <w:rPr>
          <w:rFonts w:ascii="Arial" w:hAnsi="Arial" w:cs="Arial"/>
          <w:sz w:val="24"/>
          <w:szCs w:val="24"/>
        </w:rPr>
        <w:t xml:space="preserve"> in stores in FY 2016/17. </w:t>
      </w:r>
      <w:r w:rsidR="00EC2AC8">
        <w:rPr>
          <w:rFonts w:ascii="Arial" w:hAnsi="Arial" w:cs="Arial"/>
          <w:sz w:val="24"/>
          <w:szCs w:val="24"/>
        </w:rPr>
        <w:t xml:space="preserve">Progress to date indicates that c.90% </w:t>
      </w:r>
      <w:r w:rsidR="00BB74AF">
        <w:rPr>
          <w:rFonts w:ascii="Arial" w:hAnsi="Arial" w:cs="Arial"/>
          <w:sz w:val="24"/>
          <w:szCs w:val="24"/>
        </w:rPr>
        <w:t xml:space="preserve">will </w:t>
      </w:r>
      <w:r w:rsidR="00EC2AC8">
        <w:rPr>
          <w:rFonts w:ascii="Arial" w:hAnsi="Arial" w:cs="Arial"/>
          <w:sz w:val="24"/>
          <w:szCs w:val="24"/>
        </w:rPr>
        <w:t xml:space="preserve">be unified and c.10% will be locally adapted. </w:t>
      </w:r>
    </w:p>
    <w:p w14:paraId="7EE92A0D" w14:textId="77777777" w:rsidR="007A1AF6" w:rsidRDefault="007A1AF6" w:rsidP="00926779">
      <w:pPr>
        <w:jc w:val="left"/>
        <w:rPr>
          <w:rFonts w:ascii="Arial" w:hAnsi="Arial" w:cs="Arial"/>
          <w:sz w:val="24"/>
          <w:szCs w:val="24"/>
        </w:rPr>
      </w:pPr>
    </w:p>
    <w:p w14:paraId="05EA6B49" w14:textId="75108511" w:rsidR="00C324A1" w:rsidRDefault="00EC2AC8" w:rsidP="00926779">
      <w:pPr>
        <w:jc w:val="left"/>
        <w:rPr>
          <w:rFonts w:ascii="Arial" w:hAnsi="Arial" w:cs="Arial"/>
          <w:sz w:val="24"/>
          <w:szCs w:val="24"/>
        </w:rPr>
      </w:pPr>
      <w:r>
        <w:rPr>
          <w:rFonts w:ascii="Arial" w:hAnsi="Arial" w:cs="Arial"/>
          <w:sz w:val="24"/>
          <w:szCs w:val="24"/>
        </w:rPr>
        <w:t xml:space="preserve">We are </w:t>
      </w:r>
      <w:r w:rsidR="00C324A1">
        <w:rPr>
          <w:rFonts w:ascii="Arial" w:hAnsi="Arial" w:cs="Arial"/>
          <w:sz w:val="24"/>
          <w:szCs w:val="24"/>
        </w:rPr>
        <w:t xml:space="preserve">progressing well e.g. </w:t>
      </w:r>
      <w:r w:rsidR="00FE146F">
        <w:rPr>
          <w:rFonts w:ascii="Arial" w:hAnsi="Arial" w:cs="Arial"/>
          <w:sz w:val="24"/>
          <w:szCs w:val="24"/>
        </w:rPr>
        <w:t>we currently sell 33</w:t>
      </w:r>
      <w:r w:rsidR="00C324A1">
        <w:rPr>
          <w:rFonts w:ascii="Arial" w:hAnsi="Arial" w:cs="Arial"/>
          <w:sz w:val="24"/>
          <w:szCs w:val="24"/>
        </w:rPr>
        <w:t>8</w:t>
      </w:r>
      <w:r w:rsidR="00FE146F">
        <w:rPr>
          <w:rFonts w:ascii="Arial" w:hAnsi="Arial" w:cs="Arial"/>
          <w:sz w:val="24"/>
          <w:szCs w:val="24"/>
        </w:rPr>
        <w:t xml:space="preserve"> battery SKUs </w:t>
      </w:r>
      <w:r w:rsidR="007A1AF6">
        <w:rPr>
          <w:rFonts w:ascii="Arial" w:hAnsi="Arial" w:cs="Arial"/>
          <w:sz w:val="24"/>
          <w:szCs w:val="24"/>
        </w:rPr>
        <w:t xml:space="preserve">across our </w:t>
      </w:r>
      <w:r w:rsidR="00145B45">
        <w:rPr>
          <w:rFonts w:ascii="Arial" w:hAnsi="Arial" w:cs="Arial"/>
          <w:sz w:val="24"/>
          <w:szCs w:val="24"/>
        </w:rPr>
        <w:t>nine</w:t>
      </w:r>
      <w:r w:rsidR="007A1AF6">
        <w:rPr>
          <w:rFonts w:ascii="Arial" w:hAnsi="Arial" w:cs="Arial"/>
          <w:sz w:val="24"/>
          <w:szCs w:val="24"/>
        </w:rPr>
        <w:t xml:space="preserve"> operating companies with </w:t>
      </w:r>
      <w:r w:rsidR="003B0ADC">
        <w:rPr>
          <w:rFonts w:ascii="Arial" w:hAnsi="Arial" w:cs="Arial"/>
          <w:sz w:val="24"/>
          <w:szCs w:val="24"/>
        </w:rPr>
        <w:t xml:space="preserve">up to </w:t>
      </w:r>
      <w:r w:rsidR="007A1AF6">
        <w:rPr>
          <w:rFonts w:ascii="Arial" w:hAnsi="Arial" w:cs="Arial"/>
          <w:sz w:val="24"/>
          <w:szCs w:val="24"/>
        </w:rPr>
        <w:t xml:space="preserve">13 ranges sold in each. </w:t>
      </w:r>
      <w:r w:rsidR="00C324A1">
        <w:rPr>
          <w:rFonts w:ascii="Arial" w:hAnsi="Arial" w:cs="Arial"/>
          <w:sz w:val="24"/>
          <w:szCs w:val="24"/>
        </w:rPr>
        <w:t>We anticipate moving towards a</w:t>
      </w:r>
      <w:r w:rsidR="007A1AF6">
        <w:rPr>
          <w:rFonts w:ascii="Arial" w:hAnsi="Arial" w:cs="Arial"/>
          <w:sz w:val="24"/>
          <w:szCs w:val="24"/>
        </w:rPr>
        <w:t xml:space="preserve"> unified offer</w:t>
      </w:r>
      <w:r w:rsidR="00C324A1">
        <w:rPr>
          <w:rFonts w:ascii="Arial" w:hAnsi="Arial" w:cs="Arial"/>
          <w:sz w:val="24"/>
          <w:szCs w:val="24"/>
        </w:rPr>
        <w:t xml:space="preserve"> of 36 SKUs </w:t>
      </w:r>
      <w:r w:rsidR="00931A00">
        <w:rPr>
          <w:rFonts w:ascii="Arial" w:hAnsi="Arial" w:cs="Arial"/>
          <w:sz w:val="24"/>
          <w:szCs w:val="24"/>
        </w:rPr>
        <w:t xml:space="preserve">on up to </w:t>
      </w:r>
      <w:r w:rsidR="00145B45">
        <w:rPr>
          <w:rFonts w:ascii="Arial" w:hAnsi="Arial" w:cs="Arial"/>
          <w:sz w:val="24"/>
          <w:szCs w:val="24"/>
        </w:rPr>
        <w:t>four</w:t>
      </w:r>
      <w:r w:rsidR="003B0ADC" w:rsidRPr="003B0ADC">
        <w:rPr>
          <w:rFonts w:ascii="Arial" w:hAnsi="Arial" w:cs="Arial"/>
          <w:sz w:val="24"/>
          <w:szCs w:val="24"/>
        </w:rPr>
        <w:t xml:space="preserve"> ranges</w:t>
      </w:r>
      <w:r w:rsidR="00931A00">
        <w:rPr>
          <w:rFonts w:ascii="Arial" w:hAnsi="Arial" w:cs="Arial"/>
          <w:sz w:val="24"/>
          <w:szCs w:val="24"/>
        </w:rPr>
        <w:t xml:space="preserve"> across our formats</w:t>
      </w:r>
      <w:r w:rsidR="00C324A1">
        <w:rPr>
          <w:rFonts w:ascii="Arial" w:hAnsi="Arial" w:cs="Arial"/>
          <w:sz w:val="24"/>
          <w:szCs w:val="24"/>
        </w:rPr>
        <w:t xml:space="preserve">. </w:t>
      </w:r>
    </w:p>
    <w:p w14:paraId="27E48907" w14:textId="77777777" w:rsidR="003B0ADC" w:rsidRDefault="003B0ADC" w:rsidP="00926779">
      <w:pPr>
        <w:jc w:val="left"/>
        <w:rPr>
          <w:rFonts w:ascii="Arial" w:hAnsi="Arial" w:cs="Arial"/>
          <w:sz w:val="24"/>
          <w:szCs w:val="24"/>
        </w:rPr>
      </w:pPr>
    </w:p>
    <w:p w14:paraId="76F0C49E" w14:textId="0AF32094" w:rsidR="00A04F85" w:rsidRPr="00926779" w:rsidRDefault="00C324A1" w:rsidP="00926779">
      <w:pPr>
        <w:jc w:val="left"/>
        <w:rPr>
          <w:rFonts w:ascii="Arial" w:hAnsi="Arial" w:cs="Arial"/>
          <w:sz w:val="24"/>
          <w:szCs w:val="24"/>
        </w:rPr>
      </w:pPr>
      <w:r w:rsidRPr="00926779">
        <w:rPr>
          <w:rFonts w:ascii="Arial" w:hAnsi="Arial" w:cs="Arial"/>
          <w:i/>
          <w:sz w:val="24"/>
          <w:szCs w:val="24"/>
        </w:rPr>
        <w:t xml:space="preserve">Cut the </w:t>
      </w:r>
      <w:r w:rsidR="00322474">
        <w:rPr>
          <w:rFonts w:ascii="Arial" w:hAnsi="Arial" w:cs="Arial"/>
          <w:i/>
          <w:sz w:val="24"/>
          <w:szCs w:val="24"/>
        </w:rPr>
        <w:t>T</w:t>
      </w:r>
      <w:r w:rsidRPr="00926779">
        <w:rPr>
          <w:rFonts w:ascii="Arial" w:hAnsi="Arial" w:cs="Arial"/>
          <w:i/>
          <w:sz w:val="24"/>
          <w:szCs w:val="24"/>
        </w:rPr>
        <w:t>ail:</w:t>
      </w:r>
    </w:p>
    <w:p w14:paraId="713F9AF3" w14:textId="2C357E78" w:rsidR="00736946" w:rsidRDefault="00736946" w:rsidP="00926779">
      <w:pPr>
        <w:jc w:val="left"/>
        <w:rPr>
          <w:rFonts w:ascii="Arial" w:hAnsi="Arial" w:cs="Arial"/>
          <w:sz w:val="24"/>
          <w:szCs w:val="24"/>
        </w:rPr>
      </w:pPr>
      <w:r w:rsidRPr="00926779">
        <w:rPr>
          <w:rFonts w:ascii="Arial" w:hAnsi="Arial" w:cs="Arial"/>
          <w:sz w:val="24"/>
          <w:szCs w:val="24"/>
        </w:rPr>
        <w:t>This re</w:t>
      </w:r>
      <w:r w:rsidR="00B005F5" w:rsidRPr="00926779">
        <w:rPr>
          <w:rFonts w:ascii="Arial" w:hAnsi="Arial" w:cs="Arial"/>
          <w:sz w:val="24"/>
          <w:szCs w:val="24"/>
        </w:rPr>
        <w:t>lates to our plan to cut the 193,000</w:t>
      </w:r>
      <w:r>
        <w:rPr>
          <w:rFonts w:ascii="Arial" w:hAnsi="Arial" w:cs="Arial"/>
          <w:sz w:val="24"/>
          <w:szCs w:val="24"/>
        </w:rPr>
        <w:t xml:space="preserve"> de</w:t>
      </w:r>
      <w:r w:rsidR="00B005F5">
        <w:rPr>
          <w:rFonts w:ascii="Arial" w:hAnsi="Arial" w:cs="Arial"/>
          <w:sz w:val="24"/>
          <w:szCs w:val="24"/>
        </w:rPr>
        <w:t>listed and ex-promotional SKUs</w:t>
      </w:r>
      <w:r>
        <w:rPr>
          <w:rFonts w:ascii="Arial" w:hAnsi="Arial" w:cs="Arial"/>
          <w:sz w:val="24"/>
          <w:szCs w:val="24"/>
        </w:rPr>
        <w:t xml:space="preserve"> which do not form part of </w:t>
      </w:r>
      <w:r w:rsidR="00B005F5">
        <w:rPr>
          <w:rFonts w:ascii="Arial" w:hAnsi="Arial" w:cs="Arial"/>
          <w:sz w:val="24"/>
          <w:szCs w:val="24"/>
        </w:rPr>
        <w:t xml:space="preserve">our existing retail planograms, and </w:t>
      </w:r>
      <w:r w:rsidR="00322474">
        <w:rPr>
          <w:rFonts w:ascii="Arial" w:hAnsi="Arial" w:cs="Arial"/>
          <w:sz w:val="24"/>
          <w:szCs w:val="24"/>
        </w:rPr>
        <w:t>is mostly in</w:t>
      </w:r>
      <w:r w:rsidR="00B005F5">
        <w:rPr>
          <w:rFonts w:ascii="Arial" w:hAnsi="Arial" w:cs="Arial"/>
          <w:sz w:val="24"/>
          <w:szCs w:val="24"/>
        </w:rPr>
        <w:t xml:space="preserve"> Big Box stores. </w:t>
      </w:r>
    </w:p>
    <w:p w14:paraId="3D0E0E6A" w14:textId="77777777" w:rsidR="00B005F5" w:rsidRDefault="00B005F5" w:rsidP="00926779">
      <w:pPr>
        <w:jc w:val="left"/>
        <w:rPr>
          <w:rFonts w:ascii="Arial" w:hAnsi="Arial" w:cs="Arial"/>
          <w:sz w:val="24"/>
          <w:szCs w:val="24"/>
        </w:rPr>
      </w:pPr>
    </w:p>
    <w:p w14:paraId="06B8A7CF" w14:textId="0EBFF97A" w:rsidR="004F3476" w:rsidRDefault="00B005F5" w:rsidP="00E21AA0">
      <w:pPr>
        <w:jc w:val="left"/>
        <w:rPr>
          <w:rFonts w:ascii="Arial" w:hAnsi="Arial" w:cs="Arial"/>
          <w:sz w:val="24"/>
          <w:szCs w:val="24"/>
        </w:rPr>
      </w:pPr>
      <w:r>
        <w:rPr>
          <w:rFonts w:ascii="Arial" w:hAnsi="Arial" w:cs="Arial"/>
          <w:sz w:val="24"/>
          <w:szCs w:val="24"/>
        </w:rPr>
        <w:t xml:space="preserve">Dedicated teams have been set up in each operating company, led by Guy Colleau (Operations Director – Big Box). </w:t>
      </w:r>
      <w:r w:rsidR="00931A00">
        <w:rPr>
          <w:rFonts w:ascii="Arial" w:hAnsi="Arial" w:cs="Arial"/>
          <w:sz w:val="24"/>
          <w:szCs w:val="24"/>
        </w:rPr>
        <w:t xml:space="preserve">Plans are in place to cut the tail over the next </w:t>
      </w:r>
      <w:r w:rsidR="003E41A4">
        <w:rPr>
          <w:rFonts w:ascii="Arial" w:hAnsi="Arial" w:cs="Arial"/>
          <w:sz w:val="24"/>
          <w:szCs w:val="24"/>
        </w:rPr>
        <w:t>three</w:t>
      </w:r>
      <w:r w:rsidR="00931A00">
        <w:rPr>
          <w:rFonts w:ascii="Arial" w:hAnsi="Arial" w:cs="Arial"/>
          <w:sz w:val="24"/>
          <w:szCs w:val="24"/>
        </w:rPr>
        <w:t xml:space="preserve"> years and clearance has recen</w:t>
      </w:r>
      <w:r>
        <w:rPr>
          <w:rFonts w:ascii="Arial" w:hAnsi="Arial" w:cs="Arial"/>
          <w:sz w:val="24"/>
          <w:szCs w:val="24"/>
        </w:rPr>
        <w:t>tly started</w:t>
      </w:r>
      <w:r w:rsidR="00931A00">
        <w:rPr>
          <w:rFonts w:ascii="Arial" w:hAnsi="Arial" w:cs="Arial"/>
          <w:sz w:val="24"/>
          <w:szCs w:val="24"/>
        </w:rPr>
        <w:t>.</w:t>
      </w:r>
    </w:p>
    <w:p w14:paraId="7D37820B" w14:textId="77777777" w:rsidR="000A14C5" w:rsidRDefault="000A14C5" w:rsidP="00E21AA0">
      <w:pPr>
        <w:jc w:val="left"/>
        <w:rPr>
          <w:rFonts w:ascii="Arial" w:hAnsi="Arial" w:cs="Arial"/>
          <w:sz w:val="24"/>
          <w:szCs w:val="24"/>
        </w:rPr>
      </w:pPr>
    </w:p>
    <w:p w14:paraId="0C22F02D" w14:textId="77777777" w:rsidR="005E0A52" w:rsidRDefault="005E0A52" w:rsidP="00E21AA0">
      <w:pPr>
        <w:jc w:val="left"/>
        <w:rPr>
          <w:rFonts w:ascii="Arial" w:hAnsi="Arial" w:cs="Arial"/>
          <w:sz w:val="24"/>
          <w:szCs w:val="24"/>
        </w:rPr>
      </w:pPr>
    </w:p>
    <w:p w14:paraId="1F28844B" w14:textId="77777777" w:rsidR="00C06F32" w:rsidRPr="001052D4" w:rsidRDefault="00C06F32" w:rsidP="00E21AA0">
      <w:pPr>
        <w:jc w:val="left"/>
        <w:rPr>
          <w:rFonts w:ascii="Arial" w:hAnsi="Arial" w:cs="Arial"/>
          <w:sz w:val="24"/>
          <w:szCs w:val="24"/>
        </w:rPr>
      </w:pPr>
    </w:p>
    <w:p w14:paraId="60EB7E9E" w14:textId="384755DF" w:rsidR="00871E59" w:rsidRPr="00EF42EF" w:rsidRDefault="00AD4D06" w:rsidP="004B173A">
      <w:pPr>
        <w:numPr>
          <w:ilvl w:val="0"/>
          <w:numId w:val="7"/>
        </w:numPr>
        <w:spacing w:after="200" w:line="276" w:lineRule="auto"/>
        <w:jc w:val="left"/>
        <w:rPr>
          <w:rFonts w:ascii="Arial" w:hAnsi="Arial" w:cs="Arial"/>
          <w:b/>
          <w:caps/>
          <w:sz w:val="24"/>
          <w:szCs w:val="24"/>
        </w:rPr>
      </w:pPr>
      <w:r w:rsidRPr="00EF42EF">
        <w:rPr>
          <w:rFonts w:ascii="Arial" w:hAnsi="Arial" w:cs="Arial"/>
          <w:b/>
          <w:caps/>
          <w:sz w:val="24"/>
          <w:szCs w:val="24"/>
          <w:u w:val="single"/>
        </w:rPr>
        <w:lastRenderedPageBreak/>
        <w:t xml:space="preserve">Retail </w:t>
      </w:r>
      <w:r w:rsidR="00EA7E88" w:rsidRPr="00EF42EF">
        <w:rPr>
          <w:rFonts w:ascii="Arial" w:hAnsi="Arial" w:cs="Arial"/>
          <w:b/>
          <w:caps/>
          <w:sz w:val="24"/>
          <w:szCs w:val="24"/>
          <w:u w:val="single"/>
        </w:rPr>
        <w:t>O</w:t>
      </w:r>
      <w:r w:rsidRPr="00EF42EF">
        <w:rPr>
          <w:rFonts w:ascii="Arial" w:hAnsi="Arial" w:cs="Arial"/>
          <w:b/>
          <w:caps/>
          <w:sz w:val="24"/>
          <w:szCs w:val="24"/>
          <w:u w:val="single"/>
        </w:rPr>
        <w:t xml:space="preserve">perations </w:t>
      </w:r>
    </w:p>
    <w:p w14:paraId="3A5B7F84" w14:textId="77777777" w:rsidR="005B7509" w:rsidRPr="005B7509" w:rsidRDefault="005B7509" w:rsidP="00926779">
      <w:pPr>
        <w:jc w:val="left"/>
        <w:rPr>
          <w:rFonts w:ascii="Arial" w:hAnsi="Arial" w:cs="Arial"/>
          <w:sz w:val="24"/>
          <w:szCs w:val="24"/>
        </w:rPr>
      </w:pPr>
      <w:r w:rsidRPr="005B7509">
        <w:rPr>
          <w:rFonts w:ascii="Arial" w:hAnsi="Arial" w:cs="Arial"/>
          <w:sz w:val="24"/>
          <w:szCs w:val="24"/>
        </w:rPr>
        <w:t xml:space="preserve">Our goal is to present the same products to customers across Europe in the same way under a simplified model. This will drive operational efficiencies whilst recognising that customer needs are evolving quickly so we need to adapt to this fast changing retail environment. Our existing channels will be managed under three formats: Big Box, Medium Box and </w:t>
      </w:r>
      <w:proofErr w:type="spellStart"/>
      <w:r w:rsidRPr="005B7509">
        <w:rPr>
          <w:rFonts w:ascii="Arial" w:hAnsi="Arial" w:cs="Arial"/>
          <w:sz w:val="24"/>
          <w:szCs w:val="24"/>
        </w:rPr>
        <w:t>Omnichannel</w:t>
      </w:r>
      <w:proofErr w:type="spellEnd"/>
      <w:r w:rsidRPr="005B7509">
        <w:rPr>
          <w:rFonts w:ascii="Arial" w:hAnsi="Arial" w:cs="Arial"/>
          <w:sz w:val="24"/>
          <w:szCs w:val="24"/>
        </w:rPr>
        <w:t xml:space="preserve">, and each will be standardised across all of our markets. </w:t>
      </w:r>
    </w:p>
    <w:p w14:paraId="6574096D" w14:textId="77777777" w:rsidR="00E35EEE" w:rsidRDefault="00E35EEE" w:rsidP="00926779">
      <w:pPr>
        <w:spacing w:after="200" w:line="240" w:lineRule="exact"/>
        <w:ind w:left="360"/>
        <w:contextualSpacing/>
        <w:jc w:val="left"/>
        <w:rPr>
          <w:rFonts w:ascii="Arial" w:hAnsi="Arial" w:cs="Arial"/>
          <w:i/>
          <w:sz w:val="24"/>
          <w:szCs w:val="24"/>
        </w:rPr>
      </w:pPr>
    </w:p>
    <w:p w14:paraId="75AD07A5" w14:textId="73E00060" w:rsidR="001052D4" w:rsidRPr="00A14B0F" w:rsidRDefault="00AD4D06" w:rsidP="00926779">
      <w:pPr>
        <w:spacing w:after="200" w:line="240" w:lineRule="exact"/>
        <w:ind w:left="360"/>
        <w:contextualSpacing/>
        <w:jc w:val="left"/>
        <w:rPr>
          <w:rFonts w:ascii="Arial" w:hAnsi="Arial" w:cs="Arial"/>
          <w:i/>
          <w:sz w:val="24"/>
          <w:szCs w:val="24"/>
        </w:rPr>
      </w:pPr>
      <w:r w:rsidRPr="00A14B0F">
        <w:rPr>
          <w:rFonts w:ascii="Arial" w:hAnsi="Arial" w:cs="Arial"/>
          <w:i/>
          <w:sz w:val="24"/>
          <w:szCs w:val="24"/>
        </w:rPr>
        <w:t>First sharp decisions:</w:t>
      </w:r>
    </w:p>
    <w:p w14:paraId="46D723BC" w14:textId="77777777" w:rsidR="001052D4" w:rsidRPr="00926779" w:rsidRDefault="001052D4" w:rsidP="00926779">
      <w:pPr>
        <w:pStyle w:val="ListParagraph"/>
        <w:numPr>
          <w:ilvl w:val="0"/>
          <w:numId w:val="24"/>
        </w:numPr>
        <w:spacing w:line="240" w:lineRule="exact"/>
        <w:rPr>
          <w:rFonts w:ascii="Arial" w:hAnsi="Arial" w:cs="Arial"/>
          <w:sz w:val="24"/>
          <w:szCs w:val="24"/>
        </w:rPr>
      </w:pPr>
      <w:r w:rsidRPr="00926779">
        <w:rPr>
          <w:rFonts w:ascii="Arial" w:hAnsi="Arial" w:cs="Arial"/>
          <w:sz w:val="24"/>
          <w:szCs w:val="24"/>
        </w:rPr>
        <w:t>Space rationalisation:</w:t>
      </w:r>
    </w:p>
    <w:p w14:paraId="4682B26C" w14:textId="77777777" w:rsidR="001052D4" w:rsidRPr="00926779" w:rsidRDefault="001052D4" w:rsidP="00926779">
      <w:pPr>
        <w:pStyle w:val="ListParagraph"/>
        <w:numPr>
          <w:ilvl w:val="1"/>
          <w:numId w:val="24"/>
        </w:numPr>
        <w:spacing w:line="240" w:lineRule="exact"/>
        <w:rPr>
          <w:rFonts w:ascii="Arial" w:hAnsi="Arial" w:cs="Arial"/>
          <w:sz w:val="24"/>
          <w:szCs w:val="24"/>
        </w:rPr>
      </w:pPr>
      <w:r w:rsidRPr="00926779">
        <w:rPr>
          <w:rFonts w:ascii="Arial" w:hAnsi="Arial" w:cs="Arial"/>
          <w:sz w:val="24"/>
          <w:szCs w:val="24"/>
        </w:rPr>
        <w:t>Close c.15% surplus space at B&amp;Q</w:t>
      </w:r>
    </w:p>
    <w:p w14:paraId="1F03ABE2" w14:textId="77777777" w:rsidR="001052D4" w:rsidRPr="00926779" w:rsidRDefault="001052D4" w:rsidP="00926779">
      <w:pPr>
        <w:pStyle w:val="ListParagraph"/>
        <w:numPr>
          <w:ilvl w:val="1"/>
          <w:numId w:val="24"/>
        </w:numPr>
        <w:spacing w:line="240" w:lineRule="exact"/>
        <w:rPr>
          <w:rFonts w:ascii="Arial" w:hAnsi="Arial" w:cs="Arial"/>
          <w:sz w:val="24"/>
          <w:szCs w:val="24"/>
        </w:rPr>
      </w:pPr>
      <w:r w:rsidRPr="00926779">
        <w:rPr>
          <w:rFonts w:ascii="Arial" w:hAnsi="Arial" w:cs="Arial"/>
          <w:sz w:val="24"/>
          <w:szCs w:val="24"/>
        </w:rPr>
        <w:t>Close our few loss making stores in Europe</w:t>
      </w:r>
    </w:p>
    <w:p w14:paraId="6AE5BDFD" w14:textId="77777777" w:rsidR="001052D4" w:rsidRPr="00926779" w:rsidRDefault="001052D4" w:rsidP="00926779">
      <w:pPr>
        <w:pStyle w:val="ListParagraph"/>
        <w:numPr>
          <w:ilvl w:val="0"/>
          <w:numId w:val="24"/>
        </w:numPr>
        <w:spacing w:line="240" w:lineRule="exact"/>
        <w:rPr>
          <w:rFonts w:ascii="Arial" w:hAnsi="Arial" w:cs="Arial"/>
          <w:sz w:val="24"/>
          <w:szCs w:val="24"/>
        </w:rPr>
      </w:pPr>
      <w:r w:rsidRPr="00926779">
        <w:rPr>
          <w:rFonts w:ascii="Arial" w:hAnsi="Arial" w:cs="Arial"/>
          <w:sz w:val="24"/>
          <w:szCs w:val="24"/>
        </w:rPr>
        <w:t>Pilot Big Box best practice across Europe</w:t>
      </w:r>
    </w:p>
    <w:p w14:paraId="74A8F6E2" w14:textId="1B419DFC" w:rsidR="001052D4" w:rsidRPr="00926779" w:rsidRDefault="001052D4" w:rsidP="00926779">
      <w:pPr>
        <w:pStyle w:val="ListParagraph"/>
        <w:numPr>
          <w:ilvl w:val="0"/>
          <w:numId w:val="24"/>
        </w:numPr>
        <w:spacing w:line="240" w:lineRule="exact"/>
        <w:rPr>
          <w:rFonts w:ascii="Arial" w:hAnsi="Arial" w:cs="Arial"/>
          <w:sz w:val="24"/>
          <w:szCs w:val="24"/>
        </w:rPr>
      </w:pPr>
      <w:r w:rsidRPr="00926779">
        <w:rPr>
          <w:rFonts w:ascii="Arial" w:hAnsi="Arial" w:cs="Arial"/>
          <w:sz w:val="24"/>
          <w:szCs w:val="24"/>
        </w:rPr>
        <w:t>Extend</w:t>
      </w:r>
      <w:r w:rsidR="00C04DC9">
        <w:rPr>
          <w:rFonts w:ascii="Arial" w:hAnsi="Arial" w:cs="Arial"/>
          <w:sz w:val="24"/>
          <w:szCs w:val="24"/>
        </w:rPr>
        <w:t xml:space="preserve"> Screwfix</w:t>
      </w:r>
      <w:r w:rsidRPr="00926779">
        <w:rPr>
          <w:rFonts w:ascii="Arial" w:hAnsi="Arial" w:cs="Arial"/>
          <w:sz w:val="24"/>
          <w:szCs w:val="24"/>
        </w:rPr>
        <w:t xml:space="preserve"> trial in Germany</w:t>
      </w:r>
    </w:p>
    <w:p w14:paraId="4F351B46" w14:textId="77777777" w:rsidR="001052D4" w:rsidRDefault="001052D4" w:rsidP="00926779">
      <w:pPr>
        <w:pStyle w:val="ListParagraph"/>
        <w:jc w:val="left"/>
        <w:rPr>
          <w:rFonts w:ascii="Arial" w:hAnsi="Arial" w:cs="Arial"/>
          <w:sz w:val="24"/>
          <w:szCs w:val="24"/>
        </w:rPr>
      </w:pPr>
    </w:p>
    <w:p w14:paraId="03627122" w14:textId="42EC9523" w:rsidR="00766FEB" w:rsidRDefault="00277DC8" w:rsidP="00926779">
      <w:pPr>
        <w:spacing w:after="200" w:line="276" w:lineRule="auto"/>
        <w:contextualSpacing/>
        <w:jc w:val="left"/>
        <w:rPr>
          <w:rFonts w:ascii="Arial" w:hAnsi="Arial" w:cs="Arial"/>
          <w:sz w:val="24"/>
          <w:szCs w:val="24"/>
        </w:rPr>
      </w:pPr>
      <w:r>
        <w:rPr>
          <w:rFonts w:ascii="Arial" w:hAnsi="Arial" w:cs="Arial"/>
          <w:sz w:val="24"/>
          <w:szCs w:val="24"/>
        </w:rPr>
        <w:t>Update:</w:t>
      </w:r>
    </w:p>
    <w:p w14:paraId="3CA9694B" w14:textId="271482A7" w:rsidR="00440A54" w:rsidRDefault="00766FEB" w:rsidP="00926779">
      <w:pPr>
        <w:spacing w:after="200" w:line="276" w:lineRule="auto"/>
        <w:contextualSpacing/>
        <w:jc w:val="left"/>
        <w:rPr>
          <w:rFonts w:ascii="Arial" w:hAnsi="Arial" w:cs="Arial"/>
          <w:sz w:val="24"/>
          <w:szCs w:val="24"/>
        </w:rPr>
      </w:pPr>
      <w:r w:rsidRPr="00926779">
        <w:rPr>
          <w:rFonts w:ascii="Arial" w:hAnsi="Arial" w:cs="Arial"/>
          <w:i/>
          <w:sz w:val="24"/>
          <w:szCs w:val="24"/>
        </w:rPr>
        <w:t xml:space="preserve">Space rationalisation: </w:t>
      </w:r>
    </w:p>
    <w:p w14:paraId="61CFDB30" w14:textId="33C6995B" w:rsidR="00C3428D" w:rsidRDefault="00F92D63" w:rsidP="00926779">
      <w:pPr>
        <w:jc w:val="left"/>
        <w:rPr>
          <w:rFonts w:ascii="Arial" w:hAnsi="Arial" w:cs="Arial"/>
          <w:sz w:val="24"/>
          <w:szCs w:val="24"/>
        </w:rPr>
      </w:pPr>
      <w:r w:rsidRPr="00E65A20">
        <w:rPr>
          <w:rFonts w:ascii="Arial" w:hAnsi="Arial" w:cs="Arial"/>
          <w:sz w:val="24"/>
          <w:szCs w:val="24"/>
        </w:rPr>
        <w:t>As previously announced we intend to</w:t>
      </w:r>
      <w:r w:rsidR="00A14B0F" w:rsidRPr="00E65A20">
        <w:rPr>
          <w:rFonts w:ascii="Arial" w:hAnsi="Arial" w:cs="Arial"/>
          <w:sz w:val="24"/>
          <w:szCs w:val="24"/>
        </w:rPr>
        <w:t xml:space="preserve"> close c</w:t>
      </w:r>
      <w:r w:rsidR="00EA7E88">
        <w:rPr>
          <w:rFonts w:ascii="Arial" w:hAnsi="Arial" w:cs="Arial"/>
          <w:sz w:val="24"/>
          <w:szCs w:val="24"/>
        </w:rPr>
        <w:t>.</w:t>
      </w:r>
      <w:r w:rsidR="00A14B0F" w:rsidRPr="00E65A20">
        <w:rPr>
          <w:rFonts w:ascii="Arial" w:hAnsi="Arial" w:cs="Arial"/>
          <w:sz w:val="24"/>
          <w:szCs w:val="24"/>
        </w:rPr>
        <w:t>15% surplus space</w:t>
      </w:r>
      <w:r w:rsidR="007D2034">
        <w:rPr>
          <w:rFonts w:ascii="Arial" w:hAnsi="Arial" w:cs="Arial"/>
          <w:sz w:val="24"/>
          <w:szCs w:val="24"/>
        </w:rPr>
        <w:t xml:space="preserve"> (c.60 stores; 6 right-sizes*)</w:t>
      </w:r>
      <w:r w:rsidR="00A14B0F" w:rsidRPr="00E65A20">
        <w:rPr>
          <w:rFonts w:ascii="Arial" w:hAnsi="Arial" w:cs="Arial"/>
          <w:sz w:val="24"/>
          <w:szCs w:val="24"/>
        </w:rPr>
        <w:t xml:space="preserve"> at B&amp;Q by the end of the 2016/17 as </w:t>
      </w:r>
      <w:r w:rsidRPr="00E65A20">
        <w:rPr>
          <w:rFonts w:ascii="Arial" w:hAnsi="Arial" w:cs="Arial"/>
          <w:sz w:val="24"/>
          <w:szCs w:val="24"/>
        </w:rPr>
        <w:t xml:space="preserve">we know that we can </w:t>
      </w:r>
      <w:r w:rsidR="007D2034">
        <w:rPr>
          <w:rFonts w:ascii="Arial" w:hAnsi="Arial" w:cs="Arial"/>
          <w:sz w:val="24"/>
          <w:szCs w:val="24"/>
        </w:rPr>
        <w:t xml:space="preserve">adequately meet local customer needs from fewer stores and that some of the stores should be smaller. The closures are being prioritised by the most over-spaced catchments in order to retain customers and sales. </w:t>
      </w:r>
      <w:r w:rsidR="00C3428D" w:rsidRPr="00E65A20">
        <w:rPr>
          <w:rFonts w:ascii="Arial" w:hAnsi="Arial" w:cs="Arial"/>
          <w:sz w:val="24"/>
          <w:szCs w:val="24"/>
        </w:rPr>
        <w:t>The</w:t>
      </w:r>
      <w:r w:rsidR="00C3428D">
        <w:rPr>
          <w:rFonts w:ascii="Arial" w:hAnsi="Arial" w:cs="Arial"/>
          <w:sz w:val="24"/>
          <w:szCs w:val="24"/>
        </w:rPr>
        <w:t xml:space="preserve"> </w:t>
      </w:r>
      <w:r w:rsidR="00C3428D" w:rsidRPr="00E65A20">
        <w:rPr>
          <w:rFonts w:ascii="Arial" w:hAnsi="Arial" w:cs="Arial"/>
          <w:sz w:val="24"/>
          <w:szCs w:val="24"/>
        </w:rPr>
        <w:t>majority of the 3</w:t>
      </w:r>
      <w:r w:rsidR="00833B9B">
        <w:rPr>
          <w:rFonts w:ascii="Arial" w:hAnsi="Arial" w:cs="Arial"/>
          <w:sz w:val="24"/>
          <w:szCs w:val="24"/>
        </w:rPr>
        <w:t>0</w:t>
      </w:r>
      <w:r w:rsidR="00C3428D" w:rsidRPr="00E65A20">
        <w:rPr>
          <w:rFonts w:ascii="Arial" w:hAnsi="Arial" w:cs="Arial"/>
          <w:sz w:val="24"/>
          <w:szCs w:val="24"/>
        </w:rPr>
        <w:t xml:space="preserve"> </w:t>
      </w:r>
      <w:r w:rsidR="00C3428D">
        <w:rPr>
          <w:rFonts w:ascii="Arial" w:hAnsi="Arial" w:cs="Arial"/>
          <w:sz w:val="24"/>
          <w:szCs w:val="24"/>
        </w:rPr>
        <w:t xml:space="preserve">B&amp;Q </w:t>
      </w:r>
      <w:r w:rsidR="00C3428D" w:rsidRPr="00E65A20">
        <w:rPr>
          <w:rFonts w:ascii="Arial" w:hAnsi="Arial" w:cs="Arial"/>
          <w:sz w:val="24"/>
          <w:szCs w:val="24"/>
        </w:rPr>
        <w:t xml:space="preserve">closures planned for this year </w:t>
      </w:r>
      <w:r w:rsidR="00C3428D">
        <w:rPr>
          <w:rFonts w:ascii="Arial" w:hAnsi="Arial" w:cs="Arial"/>
          <w:sz w:val="24"/>
          <w:szCs w:val="24"/>
        </w:rPr>
        <w:t>will take place in H2.</w:t>
      </w:r>
      <w:r w:rsidR="00C3428D" w:rsidRPr="00E65A20">
        <w:rPr>
          <w:rFonts w:ascii="Arial" w:hAnsi="Arial" w:cs="Arial"/>
          <w:sz w:val="24"/>
          <w:szCs w:val="24"/>
        </w:rPr>
        <w:t xml:space="preserve"> </w:t>
      </w:r>
      <w:r w:rsidR="007F5570">
        <w:rPr>
          <w:rFonts w:ascii="Arial" w:hAnsi="Arial" w:cs="Arial"/>
          <w:sz w:val="24"/>
          <w:szCs w:val="24"/>
        </w:rPr>
        <w:t>Exits</w:t>
      </w:r>
      <w:r w:rsidR="00C3428D" w:rsidRPr="00037641">
        <w:rPr>
          <w:rFonts w:ascii="Arial" w:hAnsi="Arial" w:cs="Arial"/>
          <w:sz w:val="24"/>
          <w:szCs w:val="24"/>
        </w:rPr>
        <w:t xml:space="preserve"> </w:t>
      </w:r>
      <w:r w:rsidR="00C3428D">
        <w:rPr>
          <w:rFonts w:ascii="Arial" w:hAnsi="Arial" w:cs="Arial"/>
          <w:sz w:val="24"/>
          <w:szCs w:val="24"/>
        </w:rPr>
        <w:t xml:space="preserve">of </w:t>
      </w:r>
      <w:r w:rsidR="00C3428D" w:rsidRPr="00037641">
        <w:rPr>
          <w:rFonts w:ascii="Arial" w:hAnsi="Arial" w:cs="Arial"/>
          <w:sz w:val="24"/>
          <w:szCs w:val="24"/>
        </w:rPr>
        <w:t>2</w:t>
      </w:r>
      <w:r w:rsidR="00C3428D" w:rsidRPr="00E21AA0">
        <w:rPr>
          <w:rFonts w:ascii="Arial" w:hAnsi="Arial" w:cs="Arial"/>
          <w:sz w:val="24"/>
          <w:szCs w:val="24"/>
        </w:rPr>
        <w:t>6</w:t>
      </w:r>
      <w:r w:rsidR="00C3428D" w:rsidRPr="00037641">
        <w:rPr>
          <w:rFonts w:ascii="Arial" w:hAnsi="Arial" w:cs="Arial"/>
          <w:sz w:val="24"/>
          <w:szCs w:val="24"/>
        </w:rPr>
        <w:t xml:space="preserve"> leases</w:t>
      </w:r>
      <w:r w:rsidR="00C3428D" w:rsidRPr="00E21AA0">
        <w:rPr>
          <w:rFonts w:ascii="Arial" w:hAnsi="Arial" w:cs="Arial"/>
          <w:sz w:val="24"/>
          <w:szCs w:val="24"/>
        </w:rPr>
        <w:t xml:space="preserve"> </w:t>
      </w:r>
      <w:r w:rsidR="00C3428D">
        <w:rPr>
          <w:rFonts w:ascii="Arial" w:hAnsi="Arial" w:cs="Arial"/>
          <w:sz w:val="24"/>
          <w:szCs w:val="24"/>
        </w:rPr>
        <w:t>have been</w:t>
      </w:r>
      <w:r w:rsidR="00C3428D" w:rsidRPr="00E21AA0">
        <w:rPr>
          <w:rFonts w:ascii="Arial" w:hAnsi="Arial" w:cs="Arial"/>
          <w:sz w:val="24"/>
          <w:szCs w:val="24"/>
        </w:rPr>
        <w:t xml:space="preserve"> </w:t>
      </w:r>
      <w:r w:rsidR="00C3428D">
        <w:rPr>
          <w:rFonts w:ascii="Arial" w:hAnsi="Arial" w:cs="Arial"/>
          <w:sz w:val="24"/>
          <w:szCs w:val="24"/>
        </w:rPr>
        <w:t>secured</w:t>
      </w:r>
      <w:r w:rsidR="00C3428D" w:rsidRPr="00E21AA0">
        <w:rPr>
          <w:rFonts w:ascii="Arial" w:hAnsi="Arial" w:cs="Arial"/>
          <w:sz w:val="24"/>
          <w:szCs w:val="24"/>
        </w:rPr>
        <w:t xml:space="preserve"> through a combination of transfers to </w:t>
      </w:r>
      <w:r w:rsidR="003E41A4">
        <w:rPr>
          <w:rFonts w:ascii="Arial" w:hAnsi="Arial" w:cs="Arial"/>
          <w:sz w:val="24"/>
          <w:szCs w:val="24"/>
        </w:rPr>
        <w:t>three</w:t>
      </w:r>
      <w:r w:rsidR="00C3428D" w:rsidRPr="00E21AA0">
        <w:rPr>
          <w:rFonts w:ascii="Arial" w:hAnsi="Arial" w:cs="Arial"/>
          <w:sz w:val="24"/>
          <w:szCs w:val="24"/>
        </w:rPr>
        <w:t xml:space="preserve"> national retailers (</w:t>
      </w:r>
      <w:r w:rsidR="003E41A4">
        <w:rPr>
          <w:rFonts w:ascii="Arial" w:hAnsi="Arial" w:cs="Arial"/>
          <w:sz w:val="24"/>
          <w:szCs w:val="24"/>
        </w:rPr>
        <w:t>three</w:t>
      </w:r>
      <w:r w:rsidR="00C3428D" w:rsidRPr="00E21AA0">
        <w:rPr>
          <w:rFonts w:ascii="Arial" w:hAnsi="Arial" w:cs="Arial"/>
          <w:sz w:val="24"/>
          <w:szCs w:val="24"/>
        </w:rPr>
        <w:t xml:space="preserve"> stores subject to planning change)</w:t>
      </w:r>
      <w:r w:rsidR="00C3428D" w:rsidRPr="00A452AA">
        <w:rPr>
          <w:rFonts w:ascii="Arial" w:hAnsi="Arial" w:cs="Arial"/>
          <w:sz w:val="24"/>
          <w:szCs w:val="24"/>
        </w:rPr>
        <w:t xml:space="preserve"> </w:t>
      </w:r>
      <w:r w:rsidR="00C3428D">
        <w:rPr>
          <w:rFonts w:ascii="Arial" w:hAnsi="Arial" w:cs="Arial"/>
          <w:sz w:val="24"/>
          <w:szCs w:val="24"/>
        </w:rPr>
        <w:t xml:space="preserve">and </w:t>
      </w:r>
      <w:r w:rsidR="00C3428D" w:rsidRPr="00A452AA">
        <w:rPr>
          <w:rFonts w:ascii="Arial" w:hAnsi="Arial" w:cs="Arial"/>
          <w:sz w:val="24"/>
          <w:szCs w:val="24"/>
        </w:rPr>
        <w:t xml:space="preserve">lease </w:t>
      </w:r>
      <w:proofErr w:type="spellStart"/>
      <w:r w:rsidR="00C3428D" w:rsidRPr="00A452AA">
        <w:rPr>
          <w:rFonts w:ascii="Arial" w:hAnsi="Arial" w:cs="Arial"/>
          <w:sz w:val="24"/>
          <w:szCs w:val="24"/>
        </w:rPr>
        <w:t>expiries</w:t>
      </w:r>
      <w:proofErr w:type="spellEnd"/>
      <w:r w:rsidR="00C3428D">
        <w:rPr>
          <w:rFonts w:ascii="Arial" w:hAnsi="Arial" w:cs="Arial"/>
          <w:sz w:val="24"/>
          <w:szCs w:val="24"/>
        </w:rPr>
        <w:t xml:space="preserve">. </w:t>
      </w:r>
      <w:r w:rsidR="00C3428D" w:rsidRPr="000643D9">
        <w:rPr>
          <w:rFonts w:ascii="Arial" w:hAnsi="Arial" w:cs="Arial"/>
          <w:sz w:val="24"/>
          <w:szCs w:val="24"/>
        </w:rPr>
        <w:t>Discussions are ongoing on further stores</w:t>
      </w:r>
      <w:r w:rsidR="00C3428D">
        <w:rPr>
          <w:rFonts w:ascii="Arial" w:hAnsi="Arial" w:cs="Arial"/>
          <w:sz w:val="24"/>
          <w:szCs w:val="24"/>
        </w:rPr>
        <w:t>.</w:t>
      </w:r>
      <w:r w:rsidR="00C3428D" w:rsidRPr="000643D9">
        <w:rPr>
          <w:rFonts w:ascii="Arial" w:hAnsi="Arial" w:cs="Arial"/>
          <w:sz w:val="24"/>
          <w:szCs w:val="24"/>
        </w:rPr>
        <w:t xml:space="preserve"> </w:t>
      </w:r>
      <w:r w:rsidR="00C3428D">
        <w:rPr>
          <w:rFonts w:ascii="Arial" w:hAnsi="Arial" w:cs="Arial"/>
          <w:sz w:val="24"/>
          <w:szCs w:val="24"/>
        </w:rPr>
        <w:t>W</w:t>
      </w:r>
      <w:r w:rsidR="00C3428D" w:rsidRPr="00E65A20">
        <w:rPr>
          <w:rFonts w:ascii="Arial" w:hAnsi="Arial" w:cs="Arial"/>
          <w:sz w:val="24"/>
          <w:szCs w:val="24"/>
        </w:rPr>
        <w:t xml:space="preserve">e </w:t>
      </w:r>
      <w:r w:rsidR="00C3428D">
        <w:rPr>
          <w:rFonts w:ascii="Arial" w:hAnsi="Arial" w:cs="Arial"/>
          <w:sz w:val="24"/>
          <w:szCs w:val="24"/>
        </w:rPr>
        <w:t xml:space="preserve">have </w:t>
      </w:r>
      <w:r w:rsidR="00C3428D" w:rsidRPr="00E65A20">
        <w:rPr>
          <w:rFonts w:ascii="Arial" w:hAnsi="Arial" w:cs="Arial"/>
          <w:sz w:val="24"/>
          <w:szCs w:val="24"/>
        </w:rPr>
        <w:t>also</w:t>
      </w:r>
      <w:r w:rsidR="00C3428D">
        <w:rPr>
          <w:rFonts w:ascii="Arial" w:hAnsi="Arial" w:cs="Arial"/>
          <w:sz w:val="24"/>
          <w:szCs w:val="24"/>
        </w:rPr>
        <w:t xml:space="preserve"> announced the closure of 2</w:t>
      </w:r>
      <w:r w:rsidR="00C3428D" w:rsidRPr="00E65A20">
        <w:rPr>
          <w:rFonts w:ascii="Arial" w:hAnsi="Arial" w:cs="Arial"/>
          <w:sz w:val="24"/>
          <w:szCs w:val="24"/>
        </w:rPr>
        <w:t xml:space="preserve"> </w:t>
      </w:r>
      <w:r w:rsidR="00C3428D">
        <w:rPr>
          <w:rFonts w:ascii="Arial" w:hAnsi="Arial" w:cs="Arial"/>
          <w:sz w:val="24"/>
          <w:szCs w:val="24"/>
        </w:rPr>
        <w:t xml:space="preserve">stores in </w:t>
      </w:r>
      <w:proofErr w:type="spellStart"/>
      <w:r w:rsidR="00C3428D" w:rsidRPr="00E65A20">
        <w:rPr>
          <w:rFonts w:ascii="Arial" w:hAnsi="Arial" w:cs="Arial"/>
          <w:sz w:val="24"/>
          <w:szCs w:val="24"/>
        </w:rPr>
        <w:t>Castorama</w:t>
      </w:r>
      <w:proofErr w:type="spellEnd"/>
      <w:r w:rsidR="00C3428D" w:rsidRPr="00E65A20">
        <w:rPr>
          <w:rFonts w:ascii="Arial" w:hAnsi="Arial" w:cs="Arial"/>
          <w:sz w:val="24"/>
          <w:szCs w:val="24"/>
        </w:rPr>
        <w:t xml:space="preserve"> </w:t>
      </w:r>
      <w:r w:rsidR="00C3428D">
        <w:rPr>
          <w:rFonts w:ascii="Arial" w:hAnsi="Arial" w:cs="Arial"/>
          <w:sz w:val="24"/>
          <w:szCs w:val="24"/>
        </w:rPr>
        <w:t xml:space="preserve">France and 1 in </w:t>
      </w:r>
      <w:r w:rsidR="00C3428D" w:rsidRPr="00E65A20">
        <w:rPr>
          <w:rFonts w:ascii="Arial" w:hAnsi="Arial" w:cs="Arial"/>
          <w:sz w:val="24"/>
          <w:szCs w:val="24"/>
        </w:rPr>
        <w:t xml:space="preserve">Russia. </w:t>
      </w:r>
    </w:p>
    <w:p w14:paraId="12E31073" w14:textId="77777777" w:rsidR="00C3428D" w:rsidRDefault="00C3428D" w:rsidP="00926779">
      <w:pPr>
        <w:jc w:val="left"/>
        <w:rPr>
          <w:rFonts w:ascii="Arial" w:hAnsi="Arial" w:cs="Arial"/>
          <w:sz w:val="24"/>
          <w:szCs w:val="24"/>
        </w:rPr>
      </w:pPr>
    </w:p>
    <w:p w14:paraId="613E9CF4" w14:textId="61FF1D2D" w:rsidR="004F3476" w:rsidRDefault="007D2034" w:rsidP="00E70614">
      <w:pPr>
        <w:jc w:val="left"/>
        <w:rPr>
          <w:rFonts w:ascii="Arial" w:hAnsi="Arial" w:cs="Arial"/>
          <w:i/>
          <w:sz w:val="24"/>
          <w:szCs w:val="24"/>
        </w:rPr>
      </w:pPr>
      <w:r>
        <w:rPr>
          <w:rFonts w:ascii="Arial" w:hAnsi="Arial" w:cs="Arial"/>
          <w:sz w:val="24"/>
          <w:szCs w:val="24"/>
        </w:rPr>
        <w:t>This will give rise to a total exceptional charge of around £350</w:t>
      </w:r>
      <w:r w:rsidR="00833B9B">
        <w:rPr>
          <w:rFonts w:ascii="Arial" w:hAnsi="Arial" w:cs="Arial"/>
          <w:sz w:val="24"/>
          <w:szCs w:val="24"/>
        </w:rPr>
        <w:t xml:space="preserve"> </w:t>
      </w:r>
      <w:r>
        <w:rPr>
          <w:rFonts w:ascii="Arial" w:hAnsi="Arial" w:cs="Arial"/>
          <w:sz w:val="24"/>
          <w:szCs w:val="24"/>
        </w:rPr>
        <w:t>m</w:t>
      </w:r>
      <w:r w:rsidR="00833B9B">
        <w:rPr>
          <w:rFonts w:ascii="Arial" w:hAnsi="Arial" w:cs="Arial"/>
          <w:sz w:val="24"/>
          <w:szCs w:val="24"/>
        </w:rPr>
        <w:t>illion</w:t>
      </w:r>
      <w:r>
        <w:rPr>
          <w:rFonts w:ascii="Arial" w:hAnsi="Arial" w:cs="Arial"/>
          <w:sz w:val="24"/>
          <w:szCs w:val="24"/>
        </w:rPr>
        <w:t xml:space="preserve"> relating principally to onerous lease provisions over this year and next year, £1</w:t>
      </w:r>
      <w:r w:rsidR="00C3428D">
        <w:rPr>
          <w:rFonts w:ascii="Arial" w:hAnsi="Arial" w:cs="Arial"/>
          <w:sz w:val="24"/>
          <w:szCs w:val="24"/>
        </w:rPr>
        <w:t>51</w:t>
      </w:r>
      <w:r w:rsidR="00833B9B">
        <w:rPr>
          <w:rFonts w:ascii="Arial" w:hAnsi="Arial" w:cs="Arial"/>
          <w:sz w:val="24"/>
          <w:szCs w:val="24"/>
        </w:rPr>
        <w:t xml:space="preserve"> </w:t>
      </w:r>
      <w:r>
        <w:rPr>
          <w:rFonts w:ascii="Arial" w:hAnsi="Arial" w:cs="Arial"/>
          <w:sz w:val="24"/>
          <w:szCs w:val="24"/>
        </w:rPr>
        <w:t>m</w:t>
      </w:r>
      <w:r w:rsidR="00833B9B">
        <w:rPr>
          <w:rFonts w:ascii="Arial" w:hAnsi="Arial" w:cs="Arial"/>
          <w:sz w:val="24"/>
          <w:szCs w:val="24"/>
        </w:rPr>
        <w:t>illion</w:t>
      </w:r>
      <w:r>
        <w:rPr>
          <w:rFonts w:ascii="Arial" w:hAnsi="Arial" w:cs="Arial"/>
          <w:sz w:val="24"/>
          <w:szCs w:val="24"/>
        </w:rPr>
        <w:t xml:space="preserve"> of which was booked in H1.</w:t>
      </w:r>
    </w:p>
    <w:p w14:paraId="4D872BCA" w14:textId="77777777" w:rsidR="004F3476" w:rsidRDefault="004F3476" w:rsidP="00E70614">
      <w:pPr>
        <w:jc w:val="left"/>
        <w:rPr>
          <w:rFonts w:ascii="Arial" w:hAnsi="Arial" w:cs="Arial"/>
          <w:i/>
          <w:sz w:val="24"/>
          <w:szCs w:val="24"/>
        </w:rPr>
      </w:pPr>
    </w:p>
    <w:p w14:paraId="5FFDB843" w14:textId="352A7804" w:rsidR="00766FEB" w:rsidRPr="007544E8" w:rsidRDefault="004F3476" w:rsidP="00E70614">
      <w:pPr>
        <w:jc w:val="left"/>
        <w:rPr>
          <w:rFonts w:ascii="Arial" w:hAnsi="Arial" w:cs="Arial"/>
          <w:i/>
          <w:sz w:val="24"/>
          <w:szCs w:val="24"/>
        </w:rPr>
      </w:pPr>
      <w:r>
        <w:rPr>
          <w:rFonts w:ascii="Arial" w:hAnsi="Arial" w:cs="Arial"/>
          <w:i/>
          <w:sz w:val="24"/>
          <w:szCs w:val="24"/>
        </w:rPr>
        <w:t>Screwfix</w:t>
      </w:r>
      <w:r w:rsidR="00766FEB" w:rsidRPr="007544E8">
        <w:rPr>
          <w:rFonts w:ascii="Arial" w:hAnsi="Arial" w:cs="Arial"/>
          <w:i/>
          <w:sz w:val="24"/>
          <w:szCs w:val="24"/>
        </w:rPr>
        <w:t>:</w:t>
      </w:r>
    </w:p>
    <w:p w14:paraId="2392C266" w14:textId="27226CE3" w:rsidR="00766FEB" w:rsidRDefault="00766FEB" w:rsidP="00926779">
      <w:pPr>
        <w:jc w:val="left"/>
        <w:rPr>
          <w:rFonts w:ascii="Arial" w:hAnsi="Arial" w:cs="Arial"/>
          <w:sz w:val="24"/>
          <w:szCs w:val="24"/>
        </w:rPr>
      </w:pPr>
      <w:r w:rsidRPr="001052D4">
        <w:rPr>
          <w:rFonts w:ascii="Arial" w:hAnsi="Arial" w:cs="Arial"/>
          <w:sz w:val="24"/>
          <w:szCs w:val="24"/>
        </w:rPr>
        <w:t>Screwfix</w:t>
      </w:r>
      <w:r>
        <w:rPr>
          <w:rFonts w:ascii="Arial" w:hAnsi="Arial" w:cs="Arial"/>
          <w:sz w:val="24"/>
          <w:szCs w:val="24"/>
        </w:rPr>
        <w:t xml:space="preserve"> UK’s</w:t>
      </w:r>
      <w:r w:rsidRPr="001052D4">
        <w:rPr>
          <w:rFonts w:ascii="Arial" w:hAnsi="Arial" w:cs="Arial"/>
          <w:sz w:val="24"/>
          <w:szCs w:val="24"/>
        </w:rPr>
        <w:t xml:space="preserve"> leading </w:t>
      </w:r>
      <w:proofErr w:type="spellStart"/>
      <w:r w:rsidRPr="001052D4">
        <w:rPr>
          <w:rFonts w:ascii="Arial" w:hAnsi="Arial" w:cs="Arial"/>
          <w:sz w:val="24"/>
          <w:szCs w:val="24"/>
        </w:rPr>
        <w:t>omnichannel</w:t>
      </w:r>
      <w:proofErr w:type="spellEnd"/>
      <w:r w:rsidRPr="001052D4">
        <w:rPr>
          <w:rFonts w:ascii="Arial" w:hAnsi="Arial" w:cs="Arial"/>
          <w:sz w:val="24"/>
          <w:szCs w:val="24"/>
        </w:rPr>
        <w:t xml:space="preserve"> offer continues to deliver strong growth. We continue to review the scale of the UK market opportunity and now believe that there is potential for </w:t>
      </w:r>
      <w:r w:rsidR="004F4BB9">
        <w:rPr>
          <w:rFonts w:ascii="Arial" w:hAnsi="Arial" w:cs="Arial"/>
          <w:sz w:val="24"/>
          <w:szCs w:val="24"/>
        </w:rPr>
        <w:t xml:space="preserve">around </w:t>
      </w:r>
      <w:r w:rsidRPr="001052D4">
        <w:rPr>
          <w:rFonts w:ascii="Arial" w:hAnsi="Arial" w:cs="Arial"/>
          <w:sz w:val="24"/>
          <w:szCs w:val="24"/>
        </w:rPr>
        <w:t xml:space="preserve">600 </w:t>
      </w:r>
      <w:r w:rsidR="00984A0A">
        <w:rPr>
          <w:rFonts w:ascii="Arial" w:hAnsi="Arial" w:cs="Arial"/>
          <w:sz w:val="24"/>
          <w:szCs w:val="24"/>
        </w:rPr>
        <w:t>outlets</w:t>
      </w:r>
      <w:r w:rsidRPr="001052D4">
        <w:rPr>
          <w:rFonts w:ascii="Arial" w:hAnsi="Arial" w:cs="Arial"/>
          <w:sz w:val="24"/>
          <w:szCs w:val="24"/>
        </w:rPr>
        <w:t xml:space="preserve"> versus the 412</w:t>
      </w:r>
      <w:r>
        <w:rPr>
          <w:rFonts w:ascii="Arial" w:hAnsi="Arial" w:cs="Arial"/>
          <w:sz w:val="24"/>
          <w:szCs w:val="24"/>
        </w:rPr>
        <w:t xml:space="preserve"> today</w:t>
      </w:r>
      <w:r w:rsidR="002821BE">
        <w:rPr>
          <w:rFonts w:ascii="Arial" w:hAnsi="Arial" w:cs="Arial"/>
          <w:sz w:val="24"/>
          <w:szCs w:val="24"/>
        </w:rPr>
        <w:t xml:space="preserve">, providing even greater convenience for customers. </w:t>
      </w:r>
    </w:p>
    <w:p w14:paraId="503897A6" w14:textId="77777777" w:rsidR="00766FEB" w:rsidRDefault="00766FEB" w:rsidP="00766FEB">
      <w:pPr>
        <w:spacing w:after="200" w:line="276" w:lineRule="auto"/>
        <w:contextualSpacing/>
        <w:jc w:val="left"/>
        <w:rPr>
          <w:rFonts w:ascii="Arial" w:hAnsi="Arial" w:cs="Arial"/>
          <w:sz w:val="24"/>
          <w:szCs w:val="24"/>
        </w:rPr>
      </w:pPr>
    </w:p>
    <w:p w14:paraId="0CCD86BC" w14:textId="4BC0DCC4" w:rsidR="00FE66B3" w:rsidRPr="00926779" w:rsidRDefault="00766FEB" w:rsidP="00926779">
      <w:pPr>
        <w:jc w:val="left"/>
        <w:rPr>
          <w:rFonts w:ascii="Arial" w:hAnsi="Arial" w:cs="Arial"/>
          <w:sz w:val="24"/>
          <w:szCs w:val="24"/>
        </w:rPr>
      </w:pPr>
      <w:r w:rsidRPr="00E65A20">
        <w:rPr>
          <w:rFonts w:ascii="Arial" w:hAnsi="Arial" w:cs="Arial"/>
          <w:sz w:val="24"/>
          <w:szCs w:val="24"/>
        </w:rPr>
        <w:t xml:space="preserve">Our Screwfix Germany trial </w:t>
      </w:r>
      <w:r>
        <w:rPr>
          <w:rFonts w:ascii="Arial" w:hAnsi="Arial" w:cs="Arial"/>
          <w:sz w:val="24"/>
          <w:szCs w:val="24"/>
        </w:rPr>
        <w:t>remains on track</w:t>
      </w:r>
      <w:r w:rsidRPr="00E65A20">
        <w:rPr>
          <w:rFonts w:ascii="Arial" w:hAnsi="Arial" w:cs="Arial"/>
          <w:sz w:val="24"/>
          <w:szCs w:val="24"/>
        </w:rPr>
        <w:t xml:space="preserve">. Although it is still early </w:t>
      </w:r>
      <w:r>
        <w:rPr>
          <w:rFonts w:ascii="Arial" w:hAnsi="Arial" w:cs="Arial"/>
          <w:sz w:val="24"/>
          <w:szCs w:val="24"/>
        </w:rPr>
        <w:t>days,</w:t>
      </w:r>
      <w:r w:rsidRPr="00E65A20">
        <w:rPr>
          <w:rFonts w:ascii="Arial" w:hAnsi="Arial" w:cs="Arial"/>
          <w:sz w:val="24"/>
          <w:szCs w:val="24"/>
        </w:rPr>
        <w:t xml:space="preserve"> the concept has been well received and we are seeing good </w:t>
      </w:r>
      <w:r>
        <w:rPr>
          <w:rFonts w:ascii="Arial" w:hAnsi="Arial" w:cs="Arial"/>
          <w:sz w:val="24"/>
          <w:szCs w:val="24"/>
        </w:rPr>
        <w:t>signs</w:t>
      </w:r>
      <w:r w:rsidRPr="00E65A20">
        <w:rPr>
          <w:rFonts w:ascii="Arial" w:hAnsi="Arial" w:cs="Arial"/>
          <w:sz w:val="24"/>
          <w:szCs w:val="24"/>
        </w:rPr>
        <w:t xml:space="preserve"> of repeat business from a growing number of customers</w:t>
      </w:r>
      <w:r w:rsidR="002821BE">
        <w:rPr>
          <w:rFonts w:ascii="Arial" w:hAnsi="Arial" w:cs="Arial"/>
          <w:sz w:val="24"/>
          <w:szCs w:val="24"/>
        </w:rPr>
        <w:t xml:space="preserve"> both in store and online</w:t>
      </w:r>
      <w:r w:rsidRPr="00E65A20">
        <w:rPr>
          <w:rFonts w:ascii="Arial" w:hAnsi="Arial" w:cs="Arial"/>
          <w:sz w:val="24"/>
          <w:szCs w:val="24"/>
        </w:rPr>
        <w:t xml:space="preserve">. We remain on track to open another </w:t>
      </w:r>
      <w:r w:rsidR="003E41A4">
        <w:rPr>
          <w:rFonts w:ascii="Arial" w:hAnsi="Arial" w:cs="Arial"/>
          <w:sz w:val="24"/>
          <w:szCs w:val="24"/>
        </w:rPr>
        <w:t>five</w:t>
      </w:r>
      <w:r w:rsidRPr="00E65A20">
        <w:rPr>
          <w:rFonts w:ascii="Arial" w:hAnsi="Arial" w:cs="Arial"/>
          <w:sz w:val="24"/>
          <w:szCs w:val="24"/>
        </w:rPr>
        <w:t xml:space="preserve"> </w:t>
      </w:r>
      <w:r w:rsidR="00984A0A">
        <w:rPr>
          <w:rFonts w:ascii="Arial" w:hAnsi="Arial" w:cs="Arial"/>
          <w:sz w:val="24"/>
          <w:szCs w:val="24"/>
        </w:rPr>
        <w:t>outlets</w:t>
      </w:r>
      <w:r w:rsidRPr="00E65A20">
        <w:rPr>
          <w:rFonts w:ascii="Arial" w:hAnsi="Arial" w:cs="Arial"/>
          <w:sz w:val="24"/>
          <w:szCs w:val="24"/>
        </w:rPr>
        <w:t xml:space="preserve"> this year taking the total to </w:t>
      </w:r>
      <w:r w:rsidR="003E41A4">
        <w:rPr>
          <w:rFonts w:ascii="Arial" w:hAnsi="Arial" w:cs="Arial"/>
          <w:sz w:val="24"/>
          <w:szCs w:val="24"/>
        </w:rPr>
        <w:t>nine</w:t>
      </w:r>
      <w:r w:rsidRPr="00E65A20">
        <w:rPr>
          <w:rFonts w:ascii="Arial" w:hAnsi="Arial" w:cs="Arial"/>
          <w:sz w:val="24"/>
          <w:szCs w:val="24"/>
        </w:rPr>
        <w:t xml:space="preserve">. </w:t>
      </w:r>
    </w:p>
    <w:p w14:paraId="4AE8CC98" w14:textId="77777777" w:rsidR="00766FEB" w:rsidRPr="007354B1" w:rsidRDefault="00766FEB" w:rsidP="00B672B2">
      <w:pPr>
        <w:spacing w:after="200" w:line="276" w:lineRule="auto"/>
        <w:ind w:firstLine="360"/>
        <w:contextualSpacing/>
        <w:jc w:val="left"/>
        <w:rPr>
          <w:rFonts w:ascii="Arial" w:hAnsi="Arial" w:cs="Arial"/>
          <w:sz w:val="24"/>
          <w:szCs w:val="24"/>
          <w:highlight w:val="yellow"/>
          <w:u w:val="single"/>
        </w:rPr>
      </w:pPr>
    </w:p>
    <w:p w14:paraId="458AA8DB" w14:textId="0D7EBF1F" w:rsidR="00651FBA" w:rsidRPr="00926779" w:rsidRDefault="00956FAD" w:rsidP="004B173A">
      <w:pPr>
        <w:numPr>
          <w:ilvl w:val="0"/>
          <w:numId w:val="7"/>
        </w:numPr>
        <w:spacing w:after="200" w:line="276" w:lineRule="auto"/>
        <w:jc w:val="left"/>
        <w:rPr>
          <w:rFonts w:ascii="Arial" w:hAnsi="Arial" w:cs="Arial"/>
          <w:b/>
          <w:sz w:val="24"/>
          <w:szCs w:val="24"/>
        </w:rPr>
      </w:pPr>
      <w:r>
        <w:rPr>
          <w:rFonts w:ascii="Arial" w:hAnsi="Arial" w:cs="Arial"/>
          <w:b/>
          <w:sz w:val="24"/>
          <w:szCs w:val="24"/>
          <w:u w:val="single"/>
        </w:rPr>
        <w:t>INFRASTRUCTURE &amp; PROCESSES</w:t>
      </w:r>
    </w:p>
    <w:p w14:paraId="6DF84DB4" w14:textId="3D73CFDA" w:rsidR="00C3428D" w:rsidRDefault="005F081C" w:rsidP="00E70614">
      <w:pPr>
        <w:jc w:val="left"/>
        <w:rPr>
          <w:rFonts w:ascii="Arial" w:hAnsi="Arial" w:cs="Arial"/>
          <w:i/>
          <w:sz w:val="24"/>
          <w:szCs w:val="24"/>
        </w:rPr>
      </w:pPr>
      <w:r w:rsidRPr="005B7509">
        <w:rPr>
          <w:rFonts w:ascii="Arial" w:hAnsi="Arial" w:cs="Arial"/>
          <w:sz w:val="24"/>
          <w:szCs w:val="24"/>
        </w:rPr>
        <w:t>Unifying our processes and infrastructure will not only drive operating efficiencies but will also make us a</w:t>
      </w:r>
      <w:r w:rsidR="00607721" w:rsidRPr="005B7509">
        <w:rPr>
          <w:rFonts w:ascii="Arial" w:hAnsi="Arial" w:cs="Arial"/>
          <w:sz w:val="24"/>
          <w:szCs w:val="24"/>
        </w:rPr>
        <w:t xml:space="preserve"> simpler and</w:t>
      </w:r>
      <w:r w:rsidRPr="005B7509">
        <w:rPr>
          <w:rFonts w:ascii="Arial" w:hAnsi="Arial" w:cs="Arial"/>
          <w:sz w:val="24"/>
          <w:szCs w:val="24"/>
        </w:rPr>
        <w:t xml:space="preserve"> more agile organisation. </w:t>
      </w:r>
    </w:p>
    <w:p w14:paraId="69C9E69A" w14:textId="77777777" w:rsidR="00C3428D" w:rsidRDefault="00C3428D" w:rsidP="00926779">
      <w:pPr>
        <w:spacing w:after="200" w:line="240" w:lineRule="exact"/>
        <w:ind w:left="360"/>
        <w:contextualSpacing/>
        <w:jc w:val="left"/>
        <w:rPr>
          <w:rFonts w:ascii="Arial" w:hAnsi="Arial" w:cs="Arial"/>
          <w:i/>
          <w:sz w:val="24"/>
          <w:szCs w:val="24"/>
        </w:rPr>
      </w:pPr>
    </w:p>
    <w:p w14:paraId="057F4550" w14:textId="69DC1AF4" w:rsidR="001052D4" w:rsidRPr="005B7509" w:rsidRDefault="005F081C" w:rsidP="00926779">
      <w:pPr>
        <w:spacing w:after="200" w:line="240" w:lineRule="exact"/>
        <w:ind w:left="360"/>
        <w:contextualSpacing/>
        <w:jc w:val="left"/>
        <w:rPr>
          <w:rFonts w:ascii="Arial" w:hAnsi="Arial" w:cs="Arial"/>
          <w:i/>
          <w:sz w:val="24"/>
          <w:szCs w:val="24"/>
        </w:rPr>
      </w:pPr>
      <w:r w:rsidRPr="005B7509">
        <w:rPr>
          <w:rFonts w:ascii="Arial" w:hAnsi="Arial" w:cs="Arial"/>
          <w:i/>
          <w:sz w:val="24"/>
          <w:szCs w:val="24"/>
        </w:rPr>
        <w:t>First sharp decisions:</w:t>
      </w:r>
    </w:p>
    <w:p w14:paraId="613EDC10" w14:textId="77777777" w:rsidR="001052D4" w:rsidRPr="00926779" w:rsidRDefault="001052D4" w:rsidP="00926779">
      <w:pPr>
        <w:pStyle w:val="ListParagraph"/>
        <w:numPr>
          <w:ilvl w:val="0"/>
          <w:numId w:val="24"/>
        </w:numPr>
        <w:spacing w:line="240" w:lineRule="exact"/>
        <w:rPr>
          <w:rFonts w:ascii="Arial" w:hAnsi="Arial" w:cs="Arial"/>
          <w:sz w:val="24"/>
          <w:szCs w:val="24"/>
        </w:rPr>
      </w:pPr>
      <w:r w:rsidRPr="00926779">
        <w:rPr>
          <w:rFonts w:ascii="Arial" w:hAnsi="Arial" w:cs="Arial"/>
          <w:sz w:val="24"/>
          <w:szCs w:val="24"/>
        </w:rPr>
        <w:t>Pilot unified IT platform, then accelerate</w:t>
      </w:r>
    </w:p>
    <w:p w14:paraId="09583116" w14:textId="77777777" w:rsidR="002742F1" w:rsidRPr="00926779" w:rsidRDefault="001052D4" w:rsidP="00926779">
      <w:pPr>
        <w:pStyle w:val="ListParagraph"/>
        <w:numPr>
          <w:ilvl w:val="0"/>
          <w:numId w:val="24"/>
        </w:numPr>
        <w:spacing w:line="240" w:lineRule="exact"/>
        <w:rPr>
          <w:rFonts w:ascii="Arial" w:hAnsi="Arial" w:cs="Arial"/>
          <w:sz w:val="24"/>
          <w:szCs w:val="24"/>
        </w:rPr>
      </w:pPr>
      <w:r w:rsidRPr="00926779">
        <w:rPr>
          <w:rFonts w:ascii="Arial" w:hAnsi="Arial" w:cs="Arial"/>
          <w:sz w:val="24"/>
          <w:szCs w:val="24"/>
        </w:rPr>
        <w:t>Unify £1.2bn goods not for resale (GNFR) process</w:t>
      </w:r>
    </w:p>
    <w:p w14:paraId="781B55E7" w14:textId="77777777" w:rsidR="00931A00" w:rsidRDefault="00931A00" w:rsidP="00C13A6C">
      <w:pPr>
        <w:rPr>
          <w:rFonts w:ascii="Arial" w:hAnsi="Arial" w:cs="Arial"/>
          <w:sz w:val="24"/>
          <w:szCs w:val="24"/>
        </w:rPr>
      </w:pPr>
    </w:p>
    <w:p w14:paraId="5584EA03" w14:textId="77777777" w:rsidR="000A14C5" w:rsidRDefault="000A14C5" w:rsidP="00C13A6C">
      <w:pPr>
        <w:rPr>
          <w:rFonts w:ascii="Arial" w:hAnsi="Arial" w:cs="Arial"/>
          <w:sz w:val="24"/>
          <w:szCs w:val="24"/>
        </w:rPr>
      </w:pPr>
    </w:p>
    <w:p w14:paraId="41FCF0A1" w14:textId="06E441E7" w:rsidR="00387E98" w:rsidRDefault="00277DC8" w:rsidP="00C13A6C">
      <w:pPr>
        <w:rPr>
          <w:rFonts w:ascii="Arial" w:hAnsi="Arial" w:cs="Arial"/>
          <w:sz w:val="24"/>
          <w:szCs w:val="24"/>
        </w:rPr>
      </w:pPr>
      <w:r>
        <w:rPr>
          <w:rFonts w:ascii="Arial" w:hAnsi="Arial" w:cs="Arial"/>
          <w:sz w:val="24"/>
          <w:szCs w:val="24"/>
        </w:rPr>
        <w:lastRenderedPageBreak/>
        <w:t>Update:</w:t>
      </w:r>
    </w:p>
    <w:p w14:paraId="67126568" w14:textId="77777777" w:rsidR="000A14C5" w:rsidRDefault="000A14C5" w:rsidP="00C13A6C">
      <w:pPr>
        <w:rPr>
          <w:rFonts w:ascii="Arial" w:hAnsi="Arial" w:cs="Arial"/>
          <w:i/>
          <w:sz w:val="24"/>
          <w:szCs w:val="24"/>
        </w:rPr>
      </w:pPr>
    </w:p>
    <w:p w14:paraId="0F2AE42F" w14:textId="420E6D78" w:rsidR="00387E98" w:rsidRPr="00926779" w:rsidRDefault="006E19B8" w:rsidP="00C13A6C">
      <w:pPr>
        <w:rPr>
          <w:rFonts w:ascii="Arial" w:hAnsi="Arial" w:cs="Arial"/>
          <w:i/>
          <w:sz w:val="24"/>
          <w:szCs w:val="24"/>
        </w:rPr>
      </w:pPr>
      <w:r w:rsidRPr="00926779">
        <w:rPr>
          <w:rFonts w:ascii="Arial" w:hAnsi="Arial" w:cs="Arial"/>
          <w:i/>
          <w:sz w:val="24"/>
          <w:szCs w:val="24"/>
        </w:rPr>
        <w:t>IT platform:</w:t>
      </w:r>
    </w:p>
    <w:p w14:paraId="65D79CB7" w14:textId="6FDB0959" w:rsidR="00C13A6C" w:rsidRDefault="00C13A6C" w:rsidP="00926779">
      <w:pPr>
        <w:jc w:val="left"/>
        <w:rPr>
          <w:rFonts w:ascii="Arial" w:hAnsi="Arial" w:cs="Arial"/>
          <w:sz w:val="24"/>
          <w:szCs w:val="24"/>
        </w:rPr>
      </w:pPr>
      <w:r w:rsidRPr="00E65A20">
        <w:rPr>
          <w:rFonts w:ascii="Arial" w:hAnsi="Arial" w:cs="Arial"/>
          <w:sz w:val="24"/>
          <w:szCs w:val="24"/>
        </w:rPr>
        <w:t xml:space="preserve">The </w:t>
      </w:r>
      <w:r w:rsidR="005634EE">
        <w:rPr>
          <w:rFonts w:ascii="Arial" w:hAnsi="Arial" w:cs="Arial"/>
          <w:sz w:val="24"/>
          <w:szCs w:val="24"/>
        </w:rPr>
        <w:t xml:space="preserve">unified </w:t>
      </w:r>
      <w:r w:rsidRPr="00E65A20">
        <w:rPr>
          <w:rFonts w:ascii="Arial" w:hAnsi="Arial" w:cs="Arial"/>
          <w:sz w:val="24"/>
          <w:szCs w:val="24"/>
        </w:rPr>
        <w:t>IT system is a key enabler of our ‘ONE’ Kingfisher plan</w:t>
      </w:r>
      <w:r w:rsidR="006E19B8">
        <w:rPr>
          <w:rFonts w:ascii="Arial" w:hAnsi="Arial" w:cs="Arial"/>
          <w:sz w:val="24"/>
          <w:szCs w:val="24"/>
        </w:rPr>
        <w:t xml:space="preserve">, </w:t>
      </w:r>
      <w:r w:rsidR="00F92D63" w:rsidRPr="00E65A20">
        <w:rPr>
          <w:rFonts w:ascii="Arial" w:hAnsi="Arial" w:cs="Arial"/>
          <w:sz w:val="24"/>
          <w:szCs w:val="24"/>
        </w:rPr>
        <w:t>provid</w:t>
      </w:r>
      <w:r w:rsidR="006E19B8">
        <w:rPr>
          <w:rFonts w:ascii="Arial" w:hAnsi="Arial" w:cs="Arial"/>
          <w:sz w:val="24"/>
          <w:szCs w:val="24"/>
        </w:rPr>
        <w:t>ing</w:t>
      </w:r>
      <w:r w:rsidR="00F92D63" w:rsidRPr="00E65A20">
        <w:rPr>
          <w:rFonts w:ascii="Arial" w:hAnsi="Arial" w:cs="Arial"/>
          <w:sz w:val="24"/>
          <w:szCs w:val="24"/>
        </w:rPr>
        <w:t xml:space="preserve"> </w:t>
      </w:r>
      <w:r w:rsidR="006E19B8">
        <w:rPr>
          <w:rFonts w:ascii="Arial" w:hAnsi="Arial" w:cs="Arial"/>
          <w:sz w:val="24"/>
          <w:szCs w:val="24"/>
        </w:rPr>
        <w:t xml:space="preserve">a step change for customers and colleagues. </w:t>
      </w:r>
      <w:r w:rsidR="005634EE" w:rsidRPr="00E65A20">
        <w:rPr>
          <w:rFonts w:ascii="Arial" w:hAnsi="Arial" w:cs="Arial"/>
          <w:sz w:val="24"/>
          <w:szCs w:val="24"/>
        </w:rPr>
        <w:t>In July the pilot</w:t>
      </w:r>
      <w:r w:rsidR="003E41A4">
        <w:rPr>
          <w:rFonts w:ascii="Arial" w:hAnsi="Arial" w:cs="Arial"/>
          <w:sz w:val="24"/>
          <w:szCs w:val="24"/>
        </w:rPr>
        <w:t xml:space="preserve"> </w:t>
      </w:r>
      <w:r w:rsidR="005634EE" w:rsidRPr="00E65A20">
        <w:rPr>
          <w:rFonts w:ascii="Arial" w:hAnsi="Arial" w:cs="Arial"/>
          <w:sz w:val="24"/>
          <w:szCs w:val="24"/>
        </w:rPr>
        <w:t>started on time in Ireland</w:t>
      </w:r>
      <w:r w:rsidR="005634EE">
        <w:rPr>
          <w:rFonts w:ascii="Arial" w:hAnsi="Arial" w:cs="Arial"/>
          <w:sz w:val="24"/>
          <w:szCs w:val="24"/>
        </w:rPr>
        <w:t xml:space="preserve"> and is now </w:t>
      </w:r>
      <w:r w:rsidR="00787ADA">
        <w:rPr>
          <w:rFonts w:ascii="Arial" w:hAnsi="Arial" w:cs="Arial"/>
          <w:sz w:val="24"/>
          <w:szCs w:val="24"/>
        </w:rPr>
        <w:t xml:space="preserve">live in </w:t>
      </w:r>
      <w:r w:rsidR="00421D36">
        <w:rPr>
          <w:rFonts w:ascii="Arial" w:hAnsi="Arial" w:cs="Arial"/>
          <w:sz w:val="24"/>
          <w:szCs w:val="24"/>
        </w:rPr>
        <w:t>seven</w:t>
      </w:r>
      <w:r w:rsidR="006E19B8">
        <w:rPr>
          <w:rFonts w:ascii="Arial" w:hAnsi="Arial" w:cs="Arial"/>
          <w:sz w:val="24"/>
          <w:szCs w:val="24"/>
        </w:rPr>
        <w:t xml:space="preserve"> </w:t>
      </w:r>
      <w:r w:rsidR="00787ADA">
        <w:rPr>
          <w:rFonts w:ascii="Arial" w:hAnsi="Arial" w:cs="Arial"/>
          <w:sz w:val="24"/>
          <w:szCs w:val="24"/>
        </w:rPr>
        <w:t>stores</w:t>
      </w:r>
      <w:r w:rsidR="006E19B8">
        <w:rPr>
          <w:rFonts w:ascii="Arial" w:hAnsi="Arial" w:cs="Arial"/>
          <w:sz w:val="24"/>
          <w:szCs w:val="24"/>
        </w:rPr>
        <w:t>, is working</w:t>
      </w:r>
      <w:r w:rsidR="00787ADA">
        <w:rPr>
          <w:rFonts w:ascii="Arial" w:hAnsi="Arial" w:cs="Arial"/>
          <w:sz w:val="24"/>
          <w:szCs w:val="24"/>
        </w:rPr>
        <w:t xml:space="preserve"> well and colleague feedback</w:t>
      </w:r>
      <w:r w:rsidR="00931A00">
        <w:rPr>
          <w:rFonts w:ascii="Arial" w:hAnsi="Arial" w:cs="Arial"/>
          <w:sz w:val="24"/>
          <w:szCs w:val="24"/>
        </w:rPr>
        <w:t xml:space="preserve"> in stores</w:t>
      </w:r>
      <w:r w:rsidR="00787ADA">
        <w:rPr>
          <w:rFonts w:ascii="Arial" w:hAnsi="Arial" w:cs="Arial"/>
          <w:sz w:val="24"/>
          <w:szCs w:val="24"/>
        </w:rPr>
        <w:t xml:space="preserve"> has been positive. </w:t>
      </w:r>
    </w:p>
    <w:p w14:paraId="3E95F0FC" w14:textId="77777777" w:rsidR="007F444D" w:rsidRDefault="007F444D" w:rsidP="00926779">
      <w:pPr>
        <w:jc w:val="left"/>
        <w:rPr>
          <w:rFonts w:ascii="Arial" w:hAnsi="Arial" w:cs="Arial"/>
          <w:sz w:val="24"/>
          <w:szCs w:val="24"/>
        </w:rPr>
      </w:pPr>
    </w:p>
    <w:p w14:paraId="5CCCA0EA" w14:textId="2D44AC62" w:rsidR="00566267" w:rsidRDefault="005634EE" w:rsidP="00926779">
      <w:pPr>
        <w:jc w:val="left"/>
        <w:rPr>
          <w:rFonts w:ascii="Arial" w:hAnsi="Arial" w:cs="Arial"/>
          <w:sz w:val="24"/>
          <w:szCs w:val="24"/>
        </w:rPr>
      </w:pPr>
      <w:r w:rsidRPr="00F23A95">
        <w:rPr>
          <w:rFonts w:ascii="Arial" w:hAnsi="Arial" w:cs="Arial"/>
          <w:sz w:val="24"/>
          <w:szCs w:val="24"/>
        </w:rPr>
        <w:t>Given</w:t>
      </w:r>
      <w:r w:rsidR="003E41A4">
        <w:rPr>
          <w:rFonts w:ascii="Arial" w:hAnsi="Arial" w:cs="Arial"/>
          <w:sz w:val="24"/>
          <w:szCs w:val="24"/>
        </w:rPr>
        <w:t xml:space="preserve"> the</w:t>
      </w:r>
      <w:r w:rsidRPr="00F23A95">
        <w:rPr>
          <w:rFonts w:ascii="Arial" w:hAnsi="Arial" w:cs="Arial"/>
          <w:sz w:val="24"/>
          <w:szCs w:val="24"/>
        </w:rPr>
        <w:t xml:space="preserve"> </w:t>
      </w:r>
      <w:r w:rsidR="006E19B8">
        <w:rPr>
          <w:rFonts w:ascii="Arial" w:hAnsi="Arial" w:cs="Arial"/>
          <w:sz w:val="24"/>
          <w:szCs w:val="24"/>
        </w:rPr>
        <w:t>success so far</w:t>
      </w:r>
      <w:r w:rsidRPr="00F23A95">
        <w:rPr>
          <w:rFonts w:ascii="Arial" w:hAnsi="Arial" w:cs="Arial"/>
          <w:sz w:val="24"/>
          <w:szCs w:val="24"/>
        </w:rPr>
        <w:t xml:space="preserve"> we have taken the decision to accelerate the rol</w:t>
      </w:r>
      <w:r w:rsidR="00566267">
        <w:rPr>
          <w:rFonts w:ascii="Arial" w:hAnsi="Arial" w:cs="Arial"/>
          <w:sz w:val="24"/>
          <w:szCs w:val="24"/>
        </w:rPr>
        <w:t xml:space="preserve">l out to complete </w:t>
      </w:r>
      <w:r w:rsidR="00787ADA">
        <w:rPr>
          <w:rFonts w:ascii="Arial" w:hAnsi="Arial" w:cs="Arial"/>
          <w:sz w:val="24"/>
          <w:szCs w:val="24"/>
        </w:rPr>
        <w:t xml:space="preserve">by the end of </w:t>
      </w:r>
      <w:r w:rsidR="003E41A4">
        <w:rPr>
          <w:rFonts w:ascii="Arial" w:hAnsi="Arial" w:cs="Arial"/>
          <w:sz w:val="24"/>
          <w:szCs w:val="24"/>
        </w:rPr>
        <w:t>FY</w:t>
      </w:r>
      <w:r w:rsidR="007F444D">
        <w:rPr>
          <w:rFonts w:ascii="Arial" w:hAnsi="Arial" w:cs="Arial"/>
          <w:sz w:val="24"/>
          <w:szCs w:val="24"/>
        </w:rPr>
        <w:t xml:space="preserve"> </w:t>
      </w:r>
      <w:r w:rsidR="00787ADA">
        <w:rPr>
          <w:rFonts w:ascii="Arial" w:hAnsi="Arial" w:cs="Arial"/>
          <w:sz w:val="24"/>
          <w:szCs w:val="24"/>
        </w:rPr>
        <w:t>2018</w:t>
      </w:r>
      <w:r w:rsidR="00A93DD2">
        <w:rPr>
          <w:rFonts w:ascii="Arial" w:hAnsi="Arial" w:cs="Arial"/>
          <w:sz w:val="24"/>
          <w:szCs w:val="24"/>
        </w:rPr>
        <w:t>/19</w:t>
      </w:r>
      <w:r w:rsidR="00787ADA">
        <w:rPr>
          <w:rFonts w:ascii="Arial" w:hAnsi="Arial" w:cs="Arial"/>
          <w:sz w:val="24"/>
          <w:szCs w:val="24"/>
        </w:rPr>
        <w:t xml:space="preserve"> </w:t>
      </w:r>
      <w:r w:rsidRPr="00F23A95">
        <w:rPr>
          <w:rFonts w:ascii="Arial" w:hAnsi="Arial" w:cs="Arial"/>
          <w:sz w:val="24"/>
          <w:szCs w:val="24"/>
        </w:rPr>
        <w:t xml:space="preserve">versus our original </w:t>
      </w:r>
      <w:r w:rsidR="007513D7" w:rsidRPr="00F23A95">
        <w:rPr>
          <w:rFonts w:ascii="Arial" w:hAnsi="Arial" w:cs="Arial"/>
          <w:sz w:val="24"/>
          <w:szCs w:val="24"/>
        </w:rPr>
        <w:t>plan</w:t>
      </w:r>
      <w:r w:rsidRPr="00F23A95">
        <w:rPr>
          <w:rFonts w:ascii="Arial" w:hAnsi="Arial" w:cs="Arial"/>
          <w:sz w:val="24"/>
          <w:szCs w:val="24"/>
        </w:rPr>
        <w:t xml:space="preserve"> of</w:t>
      </w:r>
      <w:r w:rsidR="003E41A4">
        <w:rPr>
          <w:rFonts w:ascii="Arial" w:hAnsi="Arial" w:cs="Arial"/>
          <w:sz w:val="24"/>
          <w:szCs w:val="24"/>
        </w:rPr>
        <w:t xml:space="preserve"> FY</w:t>
      </w:r>
      <w:r w:rsidR="007F444D">
        <w:rPr>
          <w:rFonts w:ascii="Arial" w:hAnsi="Arial" w:cs="Arial"/>
          <w:sz w:val="24"/>
          <w:szCs w:val="24"/>
        </w:rPr>
        <w:t xml:space="preserve"> </w:t>
      </w:r>
      <w:r w:rsidR="003E41A4">
        <w:rPr>
          <w:rFonts w:ascii="Arial" w:hAnsi="Arial" w:cs="Arial"/>
          <w:sz w:val="24"/>
          <w:szCs w:val="24"/>
        </w:rPr>
        <w:t>2020</w:t>
      </w:r>
      <w:r w:rsidR="00A93DD2">
        <w:rPr>
          <w:rFonts w:ascii="Arial" w:hAnsi="Arial" w:cs="Arial"/>
          <w:sz w:val="24"/>
          <w:szCs w:val="24"/>
        </w:rPr>
        <w:t>/21</w:t>
      </w:r>
      <w:r w:rsidR="00566267">
        <w:rPr>
          <w:rFonts w:ascii="Arial" w:hAnsi="Arial" w:cs="Arial"/>
          <w:sz w:val="24"/>
          <w:szCs w:val="24"/>
        </w:rPr>
        <w:t xml:space="preserve">, starting with B&amp;Q and </w:t>
      </w:r>
      <w:proofErr w:type="spellStart"/>
      <w:r w:rsidR="00566267">
        <w:rPr>
          <w:rFonts w:ascii="Arial" w:hAnsi="Arial" w:cs="Arial"/>
          <w:sz w:val="24"/>
          <w:szCs w:val="24"/>
        </w:rPr>
        <w:t>Castorama</w:t>
      </w:r>
      <w:proofErr w:type="spellEnd"/>
      <w:r w:rsidR="00566267">
        <w:rPr>
          <w:rFonts w:ascii="Arial" w:hAnsi="Arial" w:cs="Arial"/>
          <w:sz w:val="24"/>
          <w:szCs w:val="24"/>
        </w:rPr>
        <w:t xml:space="preserve"> France in 2016. </w:t>
      </w:r>
    </w:p>
    <w:p w14:paraId="52B03D40" w14:textId="77777777" w:rsidR="00F92D63" w:rsidRDefault="00F92D63" w:rsidP="00C13A6C">
      <w:pPr>
        <w:rPr>
          <w:rFonts w:ascii="Arial" w:hAnsi="Arial" w:cs="Arial"/>
          <w:sz w:val="24"/>
          <w:szCs w:val="24"/>
        </w:rPr>
      </w:pPr>
    </w:p>
    <w:p w14:paraId="665EFBE6" w14:textId="64F29BAA" w:rsidR="00566267" w:rsidRPr="00926779" w:rsidRDefault="00566267" w:rsidP="008A3FD6">
      <w:pPr>
        <w:rPr>
          <w:rFonts w:ascii="Arial" w:hAnsi="Arial" w:cs="Arial"/>
          <w:i/>
          <w:sz w:val="24"/>
          <w:szCs w:val="24"/>
        </w:rPr>
      </w:pPr>
      <w:r w:rsidRPr="00926779">
        <w:rPr>
          <w:rFonts w:ascii="Arial" w:hAnsi="Arial" w:cs="Arial"/>
          <w:i/>
          <w:sz w:val="24"/>
          <w:szCs w:val="24"/>
        </w:rPr>
        <w:t>GNFR:</w:t>
      </w:r>
    </w:p>
    <w:p w14:paraId="52F95F89" w14:textId="4102897A" w:rsidR="00F93FC9" w:rsidRDefault="00EF6605" w:rsidP="00926779">
      <w:pPr>
        <w:jc w:val="left"/>
        <w:rPr>
          <w:rFonts w:ascii="Arial" w:hAnsi="Arial" w:cs="Arial"/>
          <w:sz w:val="24"/>
          <w:szCs w:val="24"/>
        </w:rPr>
      </w:pPr>
      <w:r>
        <w:rPr>
          <w:rFonts w:ascii="Arial" w:hAnsi="Arial" w:cs="Arial"/>
          <w:sz w:val="24"/>
          <w:szCs w:val="24"/>
        </w:rPr>
        <w:t>Following</w:t>
      </w:r>
      <w:r w:rsidR="00F93FC9">
        <w:rPr>
          <w:rFonts w:ascii="Arial" w:hAnsi="Arial" w:cs="Arial"/>
          <w:sz w:val="24"/>
          <w:szCs w:val="24"/>
        </w:rPr>
        <w:t xml:space="preserve"> the completion of a</w:t>
      </w:r>
      <w:r w:rsidR="00CB29EF">
        <w:rPr>
          <w:rFonts w:ascii="Arial" w:hAnsi="Arial" w:cs="Arial"/>
          <w:sz w:val="24"/>
          <w:szCs w:val="24"/>
        </w:rPr>
        <w:t xml:space="preserve"> </w:t>
      </w:r>
      <w:r w:rsidR="00BA2EC9">
        <w:rPr>
          <w:rFonts w:ascii="Arial" w:hAnsi="Arial" w:cs="Arial"/>
          <w:sz w:val="24"/>
          <w:szCs w:val="24"/>
        </w:rPr>
        <w:t xml:space="preserve">detailed </w:t>
      </w:r>
      <w:r w:rsidR="00CB29EF">
        <w:rPr>
          <w:rFonts w:ascii="Arial" w:hAnsi="Arial" w:cs="Arial"/>
          <w:sz w:val="24"/>
          <w:szCs w:val="24"/>
        </w:rPr>
        <w:t>scoping exercise</w:t>
      </w:r>
      <w:r w:rsidR="00F93FC9">
        <w:rPr>
          <w:rFonts w:ascii="Arial" w:hAnsi="Arial" w:cs="Arial"/>
          <w:sz w:val="24"/>
          <w:szCs w:val="24"/>
        </w:rPr>
        <w:t xml:space="preserve"> concluding that there are significant </w:t>
      </w:r>
      <w:r w:rsidR="00C8380E">
        <w:rPr>
          <w:rFonts w:ascii="Arial" w:hAnsi="Arial" w:cs="Arial"/>
          <w:sz w:val="24"/>
          <w:szCs w:val="24"/>
        </w:rPr>
        <w:t xml:space="preserve">financial and efficiency </w:t>
      </w:r>
      <w:r w:rsidR="00F93FC9">
        <w:rPr>
          <w:rFonts w:ascii="Arial" w:hAnsi="Arial" w:cs="Arial"/>
          <w:sz w:val="24"/>
          <w:szCs w:val="24"/>
        </w:rPr>
        <w:t>benefits to be gained from unifying £1.2</w:t>
      </w:r>
      <w:r w:rsidR="00833B9B">
        <w:rPr>
          <w:rFonts w:ascii="Arial" w:hAnsi="Arial" w:cs="Arial"/>
          <w:sz w:val="24"/>
          <w:szCs w:val="24"/>
        </w:rPr>
        <w:t xml:space="preserve"> </w:t>
      </w:r>
      <w:r w:rsidR="00F93FC9">
        <w:rPr>
          <w:rFonts w:ascii="Arial" w:hAnsi="Arial" w:cs="Arial"/>
          <w:sz w:val="24"/>
          <w:szCs w:val="24"/>
        </w:rPr>
        <w:t>b</w:t>
      </w:r>
      <w:r w:rsidR="00833B9B">
        <w:rPr>
          <w:rFonts w:ascii="Arial" w:hAnsi="Arial" w:cs="Arial"/>
          <w:sz w:val="24"/>
          <w:szCs w:val="24"/>
        </w:rPr>
        <w:t>illio</w:t>
      </w:r>
      <w:r w:rsidR="00F93FC9">
        <w:rPr>
          <w:rFonts w:ascii="Arial" w:hAnsi="Arial" w:cs="Arial"/>
          <w:sz w:val="24"/>
          <w:szCs w:val="24"/>
        </w:rPr>
        <w:t xml:space="preserve">n of GNFR spend, the programme is now underway. We believe that around 90% can be unified and will be implemented across </w:t>
      </w:r>
      <w:r w:rsidR="003E41A4">
        <w:rPr>
          <w:rFonts w:ascii="Arial" w:hAnsi="Arial" w:cs="Arial"/>
          <w:sz w:val="24"/>
          <w:szCs w:val="24"/>
        </w:rPr>
        <w:t>three</w:t>
      </w:r>
      <w:r w:rsidR="00F93FC9">
        <w:rPr>
          <w:rFonts w:ascii="Arial" w:hAnsi="Arial" w:cs="Arial"/>
          <w:sz w:val="24"/>
          <w:szCs w:val="24"/>
        </w:rPr>
        <w:t xml:space="preserve"> waves over the next </w:t>
      </w:r>
      <w:r w:rsidR="00FF5B46">
        <w:rPr>
          <w:rFonts w:ascii="Arial" w:hAnsi="Arial" w:cs="Arial"/>
          <w:sz w:val="24"/>
          <w:szCs w:val="24"/>
        </w:rPr>
        <w:t xml:space="preserve">three </w:t>
      </w:r>
      <w:r w:rsidR="00F93FC9">
        <w:rPr>
          <w:rFonts w:ascii="Arial" w:hAnsi="Arial" w:cs="Arial"/>
          <w:sz w:val="24"/>
          <w:szCs w:val="24"/>
        </w:rPr>
        <w:t xml:space="preserve">years. </w:t>
      </w:r>
    </w:p>
    <w:p w14:paraId="00F0D0D0" w14:textId="77777777" w:rsidR="00F93FC9" w:rsidRDefault="00F93FC9" w:rsidP="00926779">
      <w:pPr>
        <w:jc w:val="left"/>
        <w:rPr>
          <w:rFonts w:ascii="Arial" w:hAnsi="Arial" w:cs="Arial"/>
          <w:sz w:val="24"/>
          <w:szCs w:val="24"/>
        </w:rPr>
      </w:pPr>
    </w:p>
    <w:p w14:paraId="13AE1F14" w14:textId="516B5318" w:rsidR="00F93FC9" w:rsidRDefault="00F93FC9" w:rsidP="00926779">
      <w:pPr>
        <w:jc w:val="left"/>
        <w:rPr>
          <w:rFonts w:ascii="Arial" w:hAnsi="Arial" w:cs="Arial"/>
          <w:sz w:val="24"/>
          <w:szCs w:val="24"/>
        </w:rPr>
      </w:pPr>
      <w:r>
        <w:rPr>
          <w:rFonts w:ascii="Arial" w:hAnsi="Arial" w:cs="Arial"/>
          <w:sz w:val="24"/>
          <w:szCs w:val="24"/>
        </w:rPr>
        <w:t xml:space="preserve">Wave 1 is progressing well, covers </w:t>
      </w:r>
      <w:r w:rsidR="003E41A4">
        <w:rPr>
          <w:rFonts w:ascii="Arial" w:hAnsi="Arial" w:cs="Arial"/>
          <w:sz w:val="24"/>
          <w:szCs w:val="24"/>
        </w:rPr>
        <w:t xml:space="preserve">nine </w:t>
      </w:r>
      <w:r>
        <w:rPr>
          <w:rFonts w:ascii="Arial" w:hAnsi="Arial" w:cs="Arial"/>
          <w:sz w:val="24"/>
          <w:szCs w:val="24"/>
        </w:rPr>
        <w:t xml:space="preserve">categories (including </w:t>
      </w:r>
      <w:r w:rsidR="003B6486">
        <w:rPr>
          <w:rFonts w:ascii="Arial" w:hAnsi="Arial" w:cs="Arial"/>
          <w:sz w:val="24"/>
          <w:szCs w:val="24"/>
        </w:rPr>
        <w:t xml:space="preserve">media buying, </w:t>
      </w:r>
      <w:r w:rsidR="00B0743B">
        <w:rPr>
          <w:rFonts w:ascii="Arial" w:hAnsi="Arial" w:cs="Arial"/>
          <w:sz w:val="24"/>
          <w:szCs w:val="24"/>
        </w:rPr>
        <w:t>mechanical handling equipment</w:t>
      </w:r>
      <w:r w:rsidR="003B6486">
        <w:rPr>
          <w:rFonts w:ascii="Arial" w:hAnsi="Arial" w:cs="Arial"/>
          <w:sz w:val="24"/>
          <w:szCs w:val="24"/>
        </w:rPr>
        <w:t xml:space="preserve">, </w:t>
      </w:r>
      <w:r w:rsidR="00B719AE">
        <w:rPr>
          <w:rFonts w:ascii="Arial" w:hAnsi="Arial" w:cs="Arial"/>
          <w:sz w:val="24"/>
          <w:szCs w:val="24"/>
        </w:rPr>
        <w:t>printing</w:t>
      </w:r>
      <w:r w:rsidR="001B1D8A">
        <w:rPr>
          <w:rFonts w:ascii="Arial" w:hAnsi="Arial" w:cs="Arial"/>
          <w:sz w:val="24"/>
          <w:szCs w:val="24"/>
        </w:rPr>
        <w:t xml:space="preserve"> and paper</w:t>
      </w:r>
      <w:r>
        <w:rPr>
          <w:rFonts w:ascii="Arial" w:hAnsi="Arial" w:cs="Arial"/>
          <w:sz w:val="24"/>
          <w:szCs w:val="24"/>
        </w:rPr>
        <w:t xml:space="preserve">) </w:t>
      </w:r>
      <w:r w:rsidR="001B551E">
        <w:rPr>
          <w:rFonts w:ascii="Arial" w:hAnsi="Arial" w:cs="Arial"/>
          <w:sz w:val="24"/>
          <w:szCs w:val="24"/>
        </w:rPr>
        <w:t xml:space="preserve">and £350m of spend, </w:t>
      </w:r>
      <w:r>
        <w:rPr>
          <w:rFonts w:ascii="Arial" w:hAnsi="Arial" w:cs="Arial"/>
          <w:sz w:val="24"/>
          <w:szCs w:val="24"/>
        </w:rPr>
        <w:t xml:space="preserve">with contract tendering on track to take place in H2 this year. </w:t>
      </w:r>
    </w:p>
    <w:p w14:paraId="6ABCE562" w14:textId="77777777" w:rsidR="002742F1" w:rsidRPr="005B7509" w:rsidRDefault="002742F1" w:rsidP="00C13A6C">
      <w:pPr>
        <w:spacing w:after="200"/>
        <w:contextualSpacing/>
        <w:jc w:val="left"/>
        <w:rPr>
          <w:rFonts w:ascii="Arial" w:hAnsi="Arial" w:cs="Arial"/>
          <w:sz w:val="24"/>
          <w:szCs w:val="24"/>
        </w:rPr>
      </w:pPr>
    </w:p>
    <w:p w14:paraId="0D42857E" w14:textId="4C07F7A2" w:rsidR="00200984" w:rsidRPr="00EF42EF" w:rsidRDefault="00200984" w:rsidP="004B173A">
      <w:pPr>
        <w:numPr>
          <w:ilvl w:val="0"/>
          <w:numId w:val="7"/>
        </w:numPr>
        <w:spacing w:after="200" w:line="276" w:lineRule="auto"/>
        <w:jc w:val="left"/>
        <w:rPr>
          <w:rFonts w:ascii="Arial" w:hAnsi="Arial" w:cs="Arial"/>
          <w:b/>
          <w:caps/>
          <w:sz w:val="24"/>
          <w:szCs w:val="24"/>
          <w:u w:val="single"/>
        </w:rPr>
      </w:pPr>
      <w:r w:rsidRPr="00EF42EF">
        <w:rPr>
          <w:rFonts w:ascii="Arial" w:hAnsi="Arial" w:cs="Arial"/>
          <w:b/>
          <w:caps/>
          <w:sz w:val="24"/>
          <w:szCs w:val="24"/>
          <w:u w:val="single"/>
        </w:rPr>
        <w:t>People</w:t>
      </w:r>
    </w:p>
    <w:p w14:paraId="02EB141C" w14:textId="30E02650" w:rsidR="00EB5300" w:rsidRDefault="005F081C" w:rsidP="00926779">
      <w:pPr>
        <w:jc w:val="left"/>
        <w:rPr>
          <w:rFonts w:ascii="Arial" w:hAnsi="Arial" w:cs="Arial"/>
          <w:sz w:val="24"/>
          <w:szCs w:val="24"/>
        </w:rPr>
      </w:pPr>
      <w:r w:rsidRPr="005B7509">
        <w:rPr>
          <w:rFonts w:ascii="Arial" w:hAnsi="Arial" w:cs="Arial"/>
          <w:sz w:val="24"/>
          <w:szCs w:val="24"/>
        </w:rPr>
        <w:t xml:space="preserve">To drive through these changes we </w:t>
      </w:r>
      <w:r w:rsidR="00C8380E">
        <w:rPr>
          <w:rFonts w:ascii="Arial" w:hAnsi="Arial" w:cs="Arial"/>
          <w:sz w:val="24"/>
          <w:szCs w:val="24"/>
        </w:rPr>
        <w:t>have</w:t>
      </w:r>
      <w:r w:rsidR="005B7509">
        <w:rPr>
          <w:rFonts w:ascii="Arial" w:hAnsi="Arial" w:cs="Arial"/>
          <w:sz w:val="24"/>
          <w:szCs w:val="24"/>
        </w:rPr>
        <w:t xml:space="preserve"> establish</w:t>
      </w:r>
      <w:r w:rsidR="00B6500E">
        <w:rPr>
          <w:rFonts w:ascii="Arial" w:hAnsi="Arial" w:cs="Arial"/>
          <w:sz w:val="24"/>
          <w:szCs w:val="24"/>
        </w:rPr>
        <w:t>ed</w:t>
      </w:r>
      <w:r w:rsidR="005B7509">
        <w:rPr>
          <w:rFonts w:ascii="Arial" w:hAnsi="Arial" w:cs="Arial"/>
          <w:sz w:val="24"/>
          <w:szCs w:val="24"/>
        </w:rPr>
        <w:t xml:space="preserve"> a </w:t>
      </w:r>
      <w:r w:rsidRPr="005B7509">
        <w:rPr>
          <w:rFonts w:ascii="Arial" w:hAnsi="Arial" w:cs="Arial"/>
          <w:sz w:val="24"/>
          <w:szCs w:val="24"/>
        </w:rPr>
        <w:t xml:space="preserve">new </w:t>
      </w:r>
      <w:r w:rsidR="00303C17" w:rsidRPr="005B7509">
        <w:rPr>
          <w:rFonts w:ascii="Arial" w:hAnsi="Arial" w:cs="Arial"/>
          <w:sz w:val="24"/>
          <w:szCs w:val="24"/>
        </w:rPr>
        <w:t>leadership team</w:t>
      </w:r>
      <w:r w:rsidR="00B6500E">
        <w:rPr>
          <w:rFonts w:ascii="Arial" w:hAnsi="Arial" w:cs="Arial"/>
          <w:sz w:val="24"/>
          <w:szCs w:val="24"/>
        </w:rPr>
        <w:t>.</w:t>
      </w:r>
      <w:r w:rsidR="00C8380E">
        <w:rPr>
          <w:rFonts w:ascii="Arial" w:hAnsi="Arial" w:cs="Arial"/>
          <w:sz w:val="24"/>
          <w:szCs w:val="24"/>
        </w:rPr>
        <w:t xml:space="preserve"> </w:t>
      </w:r>
      <w:r w:rsidR="00B6500E">
        <w:rPr>
          <w:rFonts w:ascii="Arial" w:hAnsi="Arial" w:cs="Arial"/>
          <w:sz w:val="24"/>
          <w:szCs w:val="24"/>
        </w:rPr>
        <w:t>We</w:t>
      </w:r>
      <w:r w:rsidR="00C8380E">
        <w:rPr>
          <w:rFonts w:ascii="Arial" w:hAnsi="Arial" w:cs="Arial"/>
          <w:sz w:val="24"/>
          <w:szCs w:val="24"/>
        </w:rPr>
        <w:t xml:space="preserve"> need to move to a wider reorganisation in order to unlock the real potential of ‘ONE’ Kingfisher. </w:t>
      </w:r>
      <w:r w:rsidR="00EB5300">
        <w:rPr>
          <w:rFonts w:ascii="Arial" w:hAnsi="Arial" w:cs="Arial"/>
          <w:sz w:val="24"/>
          <w:szCs w:val="24"/>
        </w:rPr>
        <w:t xml:space="preserve">Across the </w:t>
      </w:r>
      <w:r w:rsidR="00C8380E">
        <w:rPr>
          <w:rFonts w:ascii="Arial" w:hAnsi="Arial" w:cs="Arial"/>
          <w:sz w:val="24"/>
          <w:szCs w:val="24"/>
        </w:rPr>
        <w:t>wider company</w:t>
      </w:r>
      <w:r w:rsidR="00EB5300">
        <w:rPr>
          <w:rFonts w:ascii="Arial" w:hAnsi="Arial" w:cs="Arial"/>
          <w:sz w:val="24"/>
          <w:szCs w:val="24"/>
        </w:rPr>
        <w:t xml:space="preserve"> w</w:t>
      </w:r>
      <w:r w:rsidR="00EB5300" w:rsidRPr="00EB5300">
        <w:rPr>
          <w:rFonts w:ascii="Arial" w:hAnsi="Arial" w:cs="Arial"/>
          <w:sz w:val="24"/>
          <w:szCs w:val="24"/>
        </w:rPr>
        <w:t xml:space="preserve">e </w:t>
      </w:r>
      <w:r w:rsidR="00C8380E">
        <w:rPr>
          <w:rFonts w:ascii="Arial" w:hAnsi="Arial" w:cs="Arial"/>
          <w:sz w:val="24"/>
          <w:szCs w:val="24"/>
        </w:rPr>
        <w:t>will have more</w:t>
      </w:r>
      <w:r w:rsidR="00EB5300" w:rsidRPr="00EB5300">
        <w:rPr>
          <w:rFonts w:ascii="Arial" w:hAnsi="Arial" w:cs="Arial"/>
          <w:sz w:val="24"/>
          <w:szCs w:val="24"/>
        </w:rPr>
        <w:t xml:space="preserve"> international and diverse teams with </w:t>
      </w:r>
      <w:r w:rsidR="00C8380E">
        <w:rPr>
          <w:rFonts w:ascii="Arial" w:hAnsi="Arial" w:cs="Arial"/>
          <w:sz w:val="24"/>
          <w:szCs w:val="24"/>
        </w:rPr>
        <w:t xml:space="preserve">deeper </w:t>
      </w:r>
      <w:r w:rsidR="00EB5300" w:rsidRPr="00EB5300">
        <w:rPr>
          <w:rFonts w:ascii="Arial" w:hAnsi="Arial" w:cs="Arial"/>
          <w:sz w:val="24"/>
          <w:szCs w:val="24"/>
        </w:rPr>
        <w:t>competence, experience, leadership, and passion for home improvement</w:t>
      </w:r>
      <w:r w:rsidR="003E41A4">
        <w:rPr>
          <w:rFonts w:ascii="Arial" w:hAnsi="Arial" w:cs="Arial"/>
          <w:sz w:val="24"/>
          <w:szCs w:val="24"/>
        </w:rPr>
        <w:t>,</w:t>
      </w:r>
      <w:r w:rsidR="00FE66B3">
        <w:rPr>
          <w:rFonts w:ascii="Arial" w:hAnsi="Arial" w:cs="Arial"/>
          <w:sz w:val="24"/>
          <w:szCs w:val="24"/>
        </w:rPr>
        <w:t xml:space="preserve"> </w:t>
      </w:r>
      <w:r w:rsidR="00C8380E">
        <w:rPr>
          <w:rFonts w:ascii="Arial" w:hAnsi="Arial" w:cs="Arial"/>
          <w:sz w:val="24"/>
          <w:szCs w:val="24"/>
        </w:rPr>
        <w:t>operating with</w:t>
      </w:r>
      <w:r w:rsidR="00FE66B3">
        <w:rPr>
          <w:rFonts w:ascii="Arial" w:hAnsi="Arial" w:cs="Arial"/>
          <w:sz w:val="24"/>
          <w:szCs w:val="24"/>
        </w:rPr>
        <w:t xml:space="preserve"> E</w:t>
      </w:r>
      <w:r w:rsidR="00EB5300" w:rsidRPr="00EB5300">
        <w:rPr>
          <w:rFonts w:ascii="Arial" w:hAnsi="Arial" w:cs="Arial"/>
          <w:sz w:val="24"/>
          <w:szCs w:val="24"/>
        </w:rPr>
        <w:t xml:space="preserve">nglish </w:t>
      </w:r>
      <w:r w:rsidR="00FE66B3">
        <w:rPr>
          <w:rFonts w:ascii="Arial" w:hAnsi="Arial" w:cs="Arial"/>
          <w:sz w:val="24"/>
          <w:szCs w:val="24"/>
        </w:rPr>
        <w:t>as</w:t>
      </w:r>
      <w:r w:rsidR="00EB5300" w:rsidRPr="00EB5300">
        <w:rPr>
          <w:rFonts w:ascii="Arial" w:hAnsi="Arial" w:cs="Arial"/>
          <w:sz w:val="24"/>
          <w:szCs w:val="24"/>
        </w:rPr>
        <w:t xml:space="preserve"> the </w:t>
      </w:r>
      <w:r w:rsidR="00EB5300">
        <w:rPr>
          <w:rFonts w:ascii="Arial" w:hAnsi="Arial" w:cs="Arial"/>
          <w:sz w:val="24"/>
          <w:szCs w:val="24"/>
        </w:rPr>
        <w:t xml:space="preserve">common </w:t>
      </w:r>
      <w:r w:rsidR="00C8380E">
        <w:rPr>
          <w:rFonts w:ascii="Arial" w:hAnsi="Arial" w:cs="Arial"/>
          <w:sz w:val="24"/>
          <w:szCs w:val="24"/>
        </w:rPr>
        <w:t xml:space="preserve">working </w:t>
      </w:r>
      <w:r w:rsidR="00EB5300" w:rsidRPr="00EB5300">
        <w:rPr>
          <w:rFonts w:ascii="Arial" w:hAnsi="Arial" w:cs="Arial"/>
          <w:sz w:val="24"/>
          <w:szCs w:val="24"/>
        </w:rPr>
        <w:t>language</w:t>
      </w:r>
      <w:r w:rsidR="00EB5300">
        <w:rPr>
          <w:rFonts w:ascii="Arial" w:hAnsi="Arial" w:cs="Arial"/>
          <w:sz w:val="24"/>
          <w:szCs w:val="24"/>
        </w:rPr>
        <w:t xml:space="preserve">. </w:t>
      </w:r>
    </w:p>
    <w:p w14:paraId="1BC5C183" w14:textId="77777777" w:rsidR="00EE7214" w:rsidRPr="00926779" w:rsidRDefault="00EE7214" w:rsidP="00926779">
      <w:pPr>
        <w:spacing w:after="200" w:line="240" w:lineRule="exact"/>
        <w:ind w:left="360"/>
        <w:contextualSpacing/>
        <w:jc w:val="left"/>
        <w:rPr>
          <w:rFonts w:ascii="Arial" w:hAnsi="Arial" w:cs="Arial"/>
          <w:i/>
          <w:sz w:val="24"/>
          <w:szCs w:val="24"/>
        </w:rPr>
      </w:pPr>
    </w:p>
    <w:p w14:paraId="6BB8C9A6" w14:textId="120EE23F" w:rsidR="002742F1" w:rsidRPr="00926779" w:rsidRDefault="005F081C" w:rsidP="00926779">
      <w:pPr>
        <w:spacing w:after="200" w:line="240" w:lineRule="exact"/>
        <w:ind w:left="360"/>
        <w:contextualSpacing/>
        <w:jc w:val="left"/>
        <w:rPr>
          <w:rFonts w:ascii="Arial" w:hAnsi="Arial" w:cs="Arial"/>
          <w:i/>
          <w:sz w:val="24"/>
          <w:szCs w:val="24"/>
        </w:rPr>
      </w:pPr>
      <w:r w:rsidRPr="002742F1">
        <w:rPr>
          <w:rFonts w:ascii="Arial" w:hAnsi="Arial" w:cs="Arial"/>
          <w:i/>
          <w:sz w:val="24"/>
          <w:szCs w:val="24"/>
        </w:rPr>
        <w:t>First sharp decision:</w:t>
      </w:r>
    </w:p>
    <w:p w14:paraId="3C18850C" w14:textId="126B68A5" w:rsidR="008B2EB2" w:rsidRPr="00926779" w:rsidRDefault="004B0950" w:rsidP="00926779">
      <w:pPr>
        <w:pStyle w:val="ListParagraph"/>
        <w:numPr>
          <w:ilvl w:val="0"/>
          <w:numId w:val="24"/>
        </w:numPr>
        <w:spacing w:line="240" w:lineRule="exact"/>
        <w:rPr>
          <w:rFonts w:ascii="Arial" w:hAnsi="Arial" w:cs="Arial"/>
          <w:sz w:val="24"/>
          <w:szCs w:val="24"/>
        </w:rPr>
      </w:pPr>
      <w:r w:rsidRPr="00926779">
        <w:rPr>
          <w:rFonts w:ascii="Arial" w:hAnsi="Arial" w:cs="Arial"/>
          <w:sz w:val="24"/>
          <w:szCs w:val="24"/>
        </w:rPr>
        <w:t xml:space="preserve">Finalise </w:t>
      </w:r>
      <w:r w:rsidR="005F081C" w:rsidRPr="00926779">
        <w:rPr>
          <w:rFonts w:ascii="Arial" w:hAnsi="Arial" w:cs="Arial"/>
          <w:sz w:val="24"/>
          <w:szCs w:val="24"/>
        </w:rPr>
        <w:t>new</w:t>
      </w:r>
      <w:r w:rsidR="00C06DE4" w:rsidRPr="00926779">
        <w:rPr>
          <w:rFonts w:ascii="Arial" w:hAnsi="Arial" w:cs="Arial"/>
          <w:sz w:val="24"/>
          <w:szCs w:val="24"/>
        </w:rPr>
        <w:t xml:space="preserve"> </w:t>
      </w:r>
      <w:r w:rsidR="00303C17" w:rsidRPr="00926779">
        <w:rPr>
          <w:rFonts w:ascii="Arial" w:hAnsi="Arial" w:cs="Arial"/>
          <w:sz w:val="24"/>
          <w:szCs w:val="24"/>
        </w:rPr>
        <w:t>leadership team</w:t>
      </w:r>
      <w:r w:rsidR="005F081C" w:rsidRPr="00926779">
        <w:rPr>
          <w:rFonts w:ascii="Arial" w:hAnsi="Arial" w:cs="Arial"/>
          <w:sz w:val="24"/>
          <w:szCs w:val="24"/>
        </w:rPr>
        <w:t xml:space="preserve"> and wider reorganisation structure</w:t>
      </w:r>
    </w:p>
    <w:p w14:paraId="72D0EA7A" w14:textId="77777777" w:rsidR="00C8380E" w:rsidRDefault="00C8380E" w:rsidP="00E65A20">
      <w:pPr>
        <w:rPr>
          <w:rFonts w:ascii="Arial" w:hAnsi="Arial" w:cs="Arial"/>
          <w:sz w:val="24"/>
          <w:szCs w:val="24"/>
        </w:rPr>
      </w:pPr>
    </w:p>
    <w:p w14:paraId="6356E87E" w14:textId="600A4614" w:rsidR="00E65A20" w:rsidRDefault="00E65A20" w:rsidP="00926779">
      <w:pPr>
        <w:rPr>
          <w:rFonts w:ascii="Arial" w:hAnsi="Arial" w:cs="Arial"/>
          <w:sz w:val="24"/>
          <w:szCs w:val="24"/>
        </w:rPr>
      </w:pPr>
      <w:r w:rsidRPr="00E65A20">
        <w:rPr>
          <w:rFonts w:ascii="Arial" w:hAnsi="Arial" w:cs="Arial"/>
          <w:sz w:val="24"/>
          <w:szCs w:val="24"/>
        </w:rPr>
        <w:t>Update:</w:t>
      </w:r>
    </w:p>
    <w:p w14:paraId="7DC0F582" w14:textId="25E5EB03" w:rsidR="00277DC8" w:rsidRDefault="00C8380E" w:rsidP="00926779">
      <w:pPr>
        <w:jc w:val="left"/>
        <w:rPr>
          <w:rFonts w:ascii="Arial" w:hAnsi="Arial" w:cs="Arial"/>
          <w:sz w:val="24"/>
          <w:szCs w:val="24"/>
        </w:rPr>
      </w:pPr>
      <w:r>
        <w:rPr>
          <w:rFonts w:ascii="Arial" w:hAnsi="Arial" w:cs="Arial"/>
          <w:sz w:val="24"/>
          <w:szCs w:val="24"/>
        </w:rPr>
        <w:t>The new internat</w:t>
      </w:r>
      <w:r w:rsidR="00EB5300" w:rsidRPr="00F23A95">
        <w:rPr>
          <w:rFonts w:ascii="Arial" w:hAnsi="Arial" w:cs="Arial"/>
          <w:sz w:val="24"/>
          <w:szCs w:val="24"/>
        </w:rPr>
        <w:t xml:space="preserve">ional leadership team </w:t>
      </w:r>
      <w:r>
        <w:rPr>
          <w:rFonts w:ascii="Arial" w:hAnsi="Arial" w:cs="Arial"/>
          <w:sz w:val="24"/>
          <w:szCs w:val="24"/>
        </w:rPr>
        <w:t xml:space="preserve">is </w:t>
      </w:r>
      <w:r w:rsidR="002742F1">
        <w:rPr>
          <w:rFonts w:ascii="Arial" w:hAnsi="Arial" w:cs="Arial"/>
          <w:sz w:val="24"/>
          <w:szCs w:val="24"/>
        </w:rPr>
        <w:t>now complete</w:t>
      </w:r>
      <w:r>
        <w:rPr>
          <w:rFonts w:ascii="Arial" w:hAnsi="Arial" w:cs="Arial"/>
          <w:sz w:val="24"/>
          <w:szCs w:val="24"/>
        </w:rPr>
        <w:t xml:space="preserve"> following the appointments of </w:t>
      </w:r>
      <w:r w:rsidR="00E65A20" w:rsidRPr="00F23A95">
        <w:rPr>
          <w:rFonts w:ascii="Arial" w:hAnsi="Arial" w:cs="Arial"/>
          <w:sz w:val="24"/>
          <w:szCs w:val="24"/>
        </w:rPr>
        <w:t xml:space="preserve">Arja Taaveniku, Chief Offer &amp; Supply Chain Officer, </w:t>
      </w:r>
      <w:r>
        <w:rPr>
          <w:rFonts w:ascii="Arial" w:hAnsi="Arial" w:cs="Arial"/>
          <w:sz w:val="24"/>
          <w:szCs w:val="24"/>
        </w:rPr>
        <w:t>who joined in May from the</w:t>
      </w:r>
      <w:r w:rsidR="00E65A20" w:rsidRPr="00F23A95">
        <w:rPr>
          <w:rFonts w:ascii="Arial" w:hAnsi="Arial" w:cs="Arial"/>
          <w:sz w:val="24"/>
          <w:szCs w:val="24"/>
        </w:rPr>
        <w:t xml:space="preserve"> IKEA Group</w:t>
      </w:r>
      <w:r>
        <w:rPr>
          <w:rFonts w:ascii="Arial" w:hAnsi="Arial" w:cs="Arial"/>
          <w:sz w:val="24"/>
          <w:szCs w:val="24"/>
        </w:rPr>
        <w:t xml:space="preserve">, and </w:t>
      </w:r>
      <w:r w:rsidR="00F75065">
        <w:rPr>
          <w:rFonts w:ascii="Arial" w:hAnsi="Arial" w:cs="Arial"/>
          <w:sz w:val="24"/>
          <w:szCs w:val="24"/>
        </w:rPr>
        <w:t>Emily Lawson</w:t>
      </w:r>
      <w:r w:rsidR="0032264B">
        <w:rPr>
          <w:rFonts w:ascii="Arial" w:hAnsi="Arial" w:cs="Arial"/>
          <w:sz w:val="24"/>
          <w:szCs w:val="24"/>
        </w:rPr>
        <w:t xml:space="preserve">, </w:t>
      </w:r>
      <w:r w:rsidR="00657162">
        <w:rPr>
          <w:rFonts w:ascii="Arial" w:hAnsi="Arial" w:cs="Arial"/>
          <w:sz w:val="24"/>
          <w:szCs w:val="24"/>
        </w:rPr>
        <w:t>Chief People Officer</w:t>
      </w:r>
      <w:r w:rsidR="0032264B">
        <w:rPr>
          <w:rFonts w:ascii="Arial" w:hAnsi="Arial" w:cs="Arial"/>
          <w:sz w:val="24"/>
          <w:szCs w:val="24"/>
        </w:rPr>
        <w:t>, who will join Kingfisher in October</w:t>
      </w:r>
      <w:r w:rsidR="00657162">
        <w:rPr>
          <w:rFonts w:ascii="Arial" w:hAnsi="Arial" w:cs="Arial"/>
          <w:sz w:val="24"/>
          <w:szCs w:val="24"/>
        </w:rPr>
        <w:t>.</w:t>
      </w:r>
      <w:r w:rsidR="0032264B">
        <w:rPr>
          <w:rFonts w:ascii="Arial" w:hAnsi="Arial" w:cs="Arial"/>
          <w:sz w:val="24"/>
          <w:szCs w:val="24"/>
        </w:rPr>
        <w:t xml:space="preserve"> Emily was p</w:t>
      </w:r>
      <w:r w:rsidR="00F23A95">
        <w:rPr>
          <w:rFonts w:ascii="Arial" w:hAnsi="Arial" w:cs="Arial"/>
          <w:sz w:val="24"/>
          <w:szCs w:val="24"/>
        </w:rPr>
        <w:t xml:space="preserve">reviously </w:t>
      </w:r>
      <w:r w:rsidR="00F75065">
        <w:rPr>
          <w:rFonts w:ascii="Arial" w:hAnsi="Arial" w:cs="Arial"/>
          <w:sz w:val="24"/>
          <w:szCs w:val="24"/>
        </w:rPr>
        <w:t xml:space="preserve">Group HR Director </w:t>
      </w:r>
      <w:r w:rsidR="00F23A95">
        <w:rPr>
          <w:rFonts w:ascii="Arial" w:hAnsi="Arial" w:cs="Arial"/>
          <w:sz w:val="24"/>
          <w:szCs w:val="24"/>
        </w:rPr>
        <w:t xml:space="preserve">at </w:t>
      </w:r>
      <w:proofErr w:type="spellStart"/>
      <w:r w:rsidR="00F75065">
        <w:rPr>
          <w:rFonts w:ascii="Arial" w:hAnsi="Arial" w:cs="Arial"/>
          <w:sz w:val="24"/>
          <w:szCs w:val="24"/>
        </w:rPr>
        <w:t>Morrison</w:t>
      </w:r>
      <w:r w:rsidR="004071D7">
        <w:rPr>
          <w:rFonts w:ascii="Arial" w:hAnsi="Arial" w:cs="Arial"/>
          <w:sz w:val="24"/>
          <w:szCs w:val="24"/>
        </w:rPr>
        <w:t>s</w:t>
      </w:r>
      <w:proofErr w:type="spellEnd"/>
      <w:r w:rsidR="004071D7">
        <w:rPr>
          <w:rFonts w:ascii="Arial" w:hAnsi="Arial" w:cs="Arial"/>
          <w:sz w:val="24"/>
          <w:szCs w:val="24"/>
        </w:rPr>
        <w:t xml:space="preserve"> Supermarkets</w:t>
      </w:r>
      <w:r w:rsidR="00F75065">
        <w:rPr>
          <w:rFonts w:ascii="Arial" w:hAnsi="Arial" w:cs="Arial"/>
          <w:sz w:val="24"/>
          <w:szCs w:val="24"/>
        </w:rPr>
        <w:t xml:space="preserve"> PLC</w:t>
      </w:r>
      <w:r w:rsidR="00F23A95">
        <w:rPr>
          <w:rFonts w:ascii="Arial" w:hAnsi="Arial" w:cs="Arial"/>
          <w:sz w:val="24"/>
          <w:szCs w:val="24"/>
        </w:rPr>
        <w:t xml:space="preserve"> and </w:t>
      </w:r>
      <w:r w:rsidR="004071D7">
        <w:rPr>
          <w:rFonts w:ascii="Arial" w:hAnsi="Arial" w:cs="Arial"/>
          <w:sz w:val="24"/>
          <w:szCs w:val="24"/>
        </w:rPr>
        <w:t xml:space="preserve">a Partner at McKinsey &amp; Co where she led the </w:t>
      </w:r>
      <w:r w:rsidR="002E554A">
        <w:rPr>
          <w:rFonts w:ascii="Arial" w:hAnsi="Arial" w:cs="Arial"/>
          <w:sz w:val="24"/>
          <w:szCs w:val="24"/>
        </w:rPr>
        <w:t>h</w:t>
      </w:r>
      <w:r w:rsidR="004071D7">
        <w:rPr>
          <w:rFonts w:ascii="Arial" w:hAnsi="Arial" w:cs="Arial"/>
          <w:sz w:val="24"/>
          <w:szCs w:val="24"/>
        </w:rPr>
        <w:t xml:space="preserve">uman </w:t>
      </w:r>
      <w:r w:rsidR="002E554A">
        <w:rPr>
          <w:rFonts w:ascii="Arial" w:hAnsi="Arial" w:cs="Arial"/>
          <w:sz w:val="24"/>
          <w:szCs w:val="24"/>
        </w:rPr>
        <w:t>c</w:t>
      </w:r>
      <w:r w:rsidR="004071D7">
        <w:rPr>
          <w:rFonts w:ascii="Arial" w:hAnsi="Arial" w:cs="Arial"/>
          <w:sz w:val="24"/>
          <w:szCs w:val="24"/>
        </w:rPr>
        <w:t xml:space="preserve">apital </w:t>
      </w:r>
      <w:r w:rsidR="002E554A">
        <w:rPr>
          <w:rFonts w:ascii="Arial" w:hAnsi="Arial" w:cs="Arial"/>
          <w:sz w:val="24"/>
          <w:szCs w:val="24"/>
        </w:rPr>
        <w:t>p</w:t>
      </w:r>
      <w:r w:rsidR="004071D7">
        <w:rPr>
          <w:rFonts w:ascii="Arial" w:hAnsi="Arial" w:cs="Arial"/>
          <w:sz w:val="24"/>
          <w:szCs w:val="24"/>
        </w:rPr>
        <w:t>ractice</w:t>
      </w:r>
      <w:r w:rsidR="002E554A">
        <w:rPr>
          <w:rFonts w:ascii="Arial" w:hAnsi="Arial" w:cs="Arial"/>
          <w:sz w:val="24"/>
          <w:szCs w:val="24"/>
        </w:rPr>
        <w:t>. She has</w:t>
      </w:r>
      <w:r w:rsidR="0032264B">
        <w:rPr>
          <w:rFonts w:ascii="Arial" w:hAnsi="Arial" w:cs="Arial"/>
          <w:sz w:val="24"/>
          <w:szCs w:val="24"/>
        </w:rPr>
        <w:t xml:space="preserve"> </w:t>
      </w:r>
      <w:r w:rsidR="00F23A95">
        <w:rPr>
          <w:rFonts w:ascii="Arial" w:hAnsi="Arial" w:cs="Arial"/>
          <w:sz w:val="24"/>
          <w:szCs w:val="24"/>
        </w:rPr>
        <w:t>significant experienc</w:t>
      </w:r>
      <w:r w:rsidR="00401E3B">
        <w:rPr>
          <w:rFonts w:ascii="Arial" w:hAnsi="Arial" w:cs="Arial"/>
          <w:sz w:val="24"/>
          <w:szCs w:val="24"/>
        </w:rPr>
        <w:t xml:space="preserve">e of </w:t>
      </w:r>
      <w:r w:rsidR="002E554A">
        <w:rPr>
          <w:rFonts w:ascii="Arial" w:hAnsi="Arial" w:cs="Arial"/>
          <w:sz w:val="24"/>
          <w:szCs w:val="24"/>
        </w:rPr>
        <w:t xml:space="preserve">leading </w:t>
      </w:r>
      <w:r w:rsidR="004071D7">
        <w:rPr>
          <w:rFonts w:ascii="Arial" w:hAnsi="Arial" w:cs="Arial"/>
          <w:sz w:val="24"/>
          <w:szCs w:val="24"/>
        </w:rPr>
        <w:t>business transformations</w:t>
      </w:r>
      <w:r w:rsidR="00401E3B">
        <w:rPr>
          <w:rFonts w:ascii="Arial" w:hAnsi="Arial" w:cs="Arial"/>
          <w:sz w:val="24"/>
          <w:szCs w:val="24"/>
        </w:rPr>
        <w:t xml:space="preserve"> and </w:t>
      </w:r>
      <w:r w:rsidR="002E554A">
        <w:rPr>
          <w:rFonts w:ascii="Arial" w:hAnsi="Arial" w:cs="Arial"/>
          <w:sz w:val="24"/>
          <w:szCs w:val="24"/>
        </w:rPr>
        <w:t xml:space="preserve">in </w:t>
      </w:r>
      <w:r w:rsidR="0032264B">
        <w:rPr>
          <w:rFonts w:ascii="Arial" w:hAnsi="Arial" w:cs="Arial"/>
          <w:sz w:val="24"/>
          <w:szCs w:val="24"/>
        </w:rPr>
        <w:t xml:space="preserve">cultural change. </w:t>
      </w:r>
    </w:p>
    <w:p w14:paraId="038D4E16" w14:textId="77777777" w:rsidR="00401E3B" w:rsidRDefault="00401E3B" w:rsidP="00926779">
      <w:pPr>
        <w:jc w:val="left"/>
        <w:rPr>
          <w:rFonts w:ascii="Arial" w:hAnsi="Arial" w:cs="Arial"/>
          <w:sz w:val="24"/>
          <w:szCs w:val="24"/>
        </w:rPr>
      </w:pPr>
    </w:p>
    <w:p w14:paraId="2BF02290" w14:textId="00759634" w:rsidR="00EB5300" w:rsidRPr="00926779" w:rsidRDefault="00EB5300" w:rsidP="00926779">
      <w:pPr>
        <w:jc w:val="left"/>
        <w:rPr>
          <w:rFonts w:ascii="Calibri" w:hAnsi="Calibri" w:cs="Calibri"/>
          <w:sz w:val="24"/>
          <w:szCs w:val="24"/>
        </w:rPr>
      </w:pPr>
      <w:r>
        <w:rPr>
          <w:rFonts w:ascii="Arial" w:hAnsi="Arial" w:cs="Arial"/>
          <w:sz w:val="24"/>
          <w:szCs w:val="24"/>
        </w:rPr>
        <w:t xml:space="preserve">We have also </w:t>
      </w:r>
      <w:r w:rsidR="00931A00">
        <w:rPr>
          <w:rFonts w:ascii="Arial" w:hAnsi="Arial" w:cs="Arial"/>
          <w:sz w:val="24"/>
          <w:szCs w:val="24"/>
        </w:rPr>
        <w:t xml:space="preserve">reviewed all CEOs across the operating companies and other key roles. As a result, </w:t>
      </w:r>
      <w:r w:rsidR="00401E3B">
        <w:rPr>
          <w:rFonts w:ascii="Arial" w:hAnsi="Arial" w:cs="Arial"/>
          <w:sz w:val="24"/>
          <w:szCs w:val="24"/>
        </w:rPr>
        <w:t xml:space="preserve">a </w:t>
      </w:r>
      <w:r w:rsidR="00F23A95">
        <w:rPr>
          <w:rFonts w:ascii="Arial" w:hAnsi="Arial" w:cs="Arial"/>
          <w:sz w:val="24"/>
          <w:szCs w:val="24"/>
        </w:rPr>
        <w:t xml:space="preserve">number </w:t>
      </w:r>
      <w:r w:rsidR="00931A00">
        <w:rPr>
          <w:rFonts w:ascii="Arial" w:hAnsi="Arial" w:cs="Arial"/>
          <w:sz w:val="24"/>
          <w:szCs w:val="24"/>
        </w:rPr>
        <w:t xml:space="preserve">of </w:t>
      </w:r>
      <w:r w:rsidR="00401E3B">
        <w:rPr>
          <w:rFonts w:ascii="Arial" w:hAnsi="Arial" w:cs="Arial"/>
          <w:sz w:val="24"/>
          <w:szCs w:val="24"/>
        </w:rPr>
        <w:t>changes in senior</w:t>
      </w:r>
      <w:r w:rsidR="00F23A95">
        <w:rPr>
          <w:rFonts w:ascii="Arial" w:hAnsi="Arial" w:cs="Arial"/>
          <w:sz w:val="24"/>
          <w:szCs w:val="24"/>
        </w:rPr>
        <w:t xml:space="preserve"> roles </w:t>
      </w:r>
      <w:r w:rsidR="00931A00">
        <w:rPr>
          <w:rFonts w:ascii="Arial" w:hAnsi="Arial" w:cs="Arial"/>
          <w:sz w:val="24"/>
          <w:szCs w:val="24"/>
        </w:rPr>
        <w:t>have been made</w:t>
      </w:r>
      <w:r w:rsidR="004F4BB9">
        <w:rPr>
          <w:rFonts w:ascii="Arial" w:hAnsi="Arial" w:cs="Arial"/>
          <w:sz w:val="24"/>
          <w:szCs w:val="24"/>
        </w:rPr>
        <w:t>,</w:t>
      </w:r>
      <w:r w:rsidR="00F23A95">
        <w:rPr>
          <w:rFonts w:ascii="Arial" w:hAnsi="Arial" w:cs="Arial"/>
          <w:sz w:val="24"/>
          <w:szCs w:val="24"/>
        </w:rPr>
        <w:t xml:space="preserve"> redeploying Kingfisher talent a</w:t>
      </w:r>
      <w:r w:rsidR="0032264B">
        <w:rPr>
          <w:rFonts w:ascii="Arial" w:hAnsi="Arial" w:cs="Arial"/>
          <w:sz w:val="24"/>
          <w:szCs w:val="24"/>
        </w:rPr>
        <w:t xml:space="preserve">longside </w:t>
      </w:r>
      <w:r w:rsidR="00F23A95">
        <w:rPr>
          <w:rFonts w:ascii="Arial" w:hAnsi="Arial" w:cs="Arial"/>
          <w:sz w:val="24"/>
          <w:szCs w:val="24"/>
        </w:rPr>
        <w:t xml:space="preserve">new </w:t>
      </w:r>
      <w:r w:rsidR="0032264B">
        <w:rPr>
          <w:rFonts w:ascii="Arial" w:hAnsi="Arial" w:cs="Arial"/>
          <w:sz w:val="24"/>
          <w:szCs w:val="24"/>
        </w:rPr>
        <w:t xml:space="preserve">external </w:t>
      </w:r>
      <w:r w:rsidR="00F23A95">
        <w:rPr>
          <w:rFonts w:ascii="Arial" w:hAnsi="Arial" w:cs="Arial"/>
          <w:sz w:val="24"/>
          <w:szCs w:val="24"/>
        </w:rPr>
        <w:t>appointments</w:t>
      </w:r>
      <w:r w:rsidR="0032264B">
        <w:rPr>
          <w:rFonts w:ascii="Arial" w:hAnsi="Arial" w:cs="Arial"/>
          <w:sz w:val="24"/>
          <w:szCs w:val="24"/>
        </w:rPr>
        <w:t xml:space="preserve"> e.g. </w:t>
      </w:r>
      <w:r w:rsidRPr="00EB5300">
        <w:rPr>
          <w:rFonts w:ascii="Arial" w:hAnsi="Arial" w:cs="Arial"/>
          <w:sz w:val="24"/>
          <w:szCs w:val="24"/>
        </w:rPr>
        <w:t xml:space="preserve">Michael </w:t>
      </w:r>
      <w:proofErr w:type="spellStart"/>
      <w:r w:rsidRPr="00EB5300">
        <w:rPr>
          <w:rFonts w:ascii="Arial" w:hAnsi="Arial" w:cs="Arial"/>
          <w:sz w:val="24"/>
          <w:szCs w:val="24"/>
        </w:rPr>
        <w:t>Loeve</w:t>
      </w:r>
      <w:proofErr w:type="spellEnd"/>
      <w:r w:rsidRPr="00EB5300">
        <w:rPr>
          <w:rFonts w:ascii="Arial" w:hAnsi="Arial" w:cs="Arial"/>
          <w:sz w:val="24"/>
          <w:szCs w:val="24"/>
        </w:rPr>
        <w:t xml:space="preserve"> join</w:t>
      </w:r>
      <w:r>
        <w:rPr>
          <w:rFonts w:ascii="Arial" w:hAnsi="Arial" w:cs="Arial"/>
          <w:sz w:val="24"/>
          <w:szCs w:val="24"/>
        </w:rPr>
        <w:t>ed</w:t>
      </w:r>
      <w:r w:rsidRPr="00EB5300">
        <w:rPr>
          <w:rFonts w:ascii="Arial" w:hAnsi="Arial" w:cs="Arial"/>
          <w:sz w:val="24"/>
          <w:szCs w:val="24"/>
        </w:rPr>
        <w:t xml:space="preserve"> </w:t>
      </w:r>
      <w:r w:rsidR="0032264B">
        <w:rPr>
          <w:rFonts w:ascii="Arial" w:hAnsi="Arial" w:cs="Arial"/>
          <w:sz w:val="24"/>
          <w:szCs w:val="24"/>
        </w:rPr>
        <w:t xml:space="preserve">B&amp;Q </w:t>
      </w:r>
      <w:r w:rsidRPr="00EB5300">
        <w:rPr>
          <w:rFonts w:ascii="Arial" w:hAnsi="Arial" w:cs="Arial"/>
          <w:sz w:val="24"/>
          <w:szCs w:val="24"/>
        </w:rPr>
        <w:t>as CEO on 1</w:t>
      </w:r>
      <w:r w:rsidR="0032264B">
        <w:rPr>
          <w:rFonts w:ascii="Arial" w:hAnsi="Arial" w:cs="Arial"/>
          <w:sz w:val="24"/>
          <w:szCs w:val="24"/>
        </w:rPr>
        <w:t xml:space="preserve"> </w:t>
      </w:r>
      <w:r w:rsidRPr="00EB5300">
        <w:rPr>
          <w:rFonts w:ascii="Arial" w:hAnsi="Arial" w:cs="Arial"/>
          <w:sz w:val="24"/>
          <w:szCs w:val="24"/>
        </w:rPr>
        <w:t>September</w:t>
      </w:r>
      <w:r w:rsidR="00C733D5">
        <w:rPr>
          <w:rFonts w:ascii="Arial" w:hAnsi="Arial" w:cs="Arial"/>
          <w:sz w:val="24"/>
          <w:szCs w:val="24"/>
        </w:rPr>
        <w:t xml:space="preserve">, </w:t>
      </w:r>
      <w:r w:rsidRPr="00EB5300">
        <w:rPr>
          <w:rFonts w:ascii="Arial" w:hAnsi="Arial" w:cs="Arial"/>
          <w:sz w:val="24"/>
          <w:szCs w:val="24"/>
        </w:rPr>
        <w:t>a</w:t>
      </w:r>
      <w:r w:rsidR="001A2641">
        <w:rPr>
          <w:rFonts w:ascii="Arial" w:hAnsi="Arial" w:cs="Arial"/>
          <w:sz w:val="24"/>
          <w:szCs w:val="24"/>
        </w:rPr>
        <w:t>n</w:t>
      </w:r>
      <w:r w:rsidRPr="00EB5300">
        <w:rPr>
          <w:rFonts w:ascii="Arial" w:hAnsi="Arial" w:cs="Arial"/>
          <w:sz w:val="24"/>
          <w:szCs w:val="24"/>
        </w:rPr>
        <w:t xml:space="preserve"> experienced </w:t>
      </w:r>
      <w:r w:rsidR="00C733D5">
        <w:rPr>
          <w:rFonts w:ascii="Arial" w:hAnsi="Arial" w:cs="Arial"/>
          <w:sz w:val="24"/>
          <w:szCs w:val="24"/>
        </w:rPr>
        <w:t xml:space="preserve">Danish </w:t>
      </w:r>
      <w:r w:rsidRPr="00EB5300">
        <w:rPr>
          <w:rFonts w:ascii="Arial" w:hAnsi="Arial" w:cs="Arial"/>
          <w:sz w:val="24"/>
          <w:szCs w:val="24"/>
        </w:rPr>
        <w:t>retailer</w:t>
      </w:r>
      <w:r w:rsidR="001A2641">
        <w:rPr>
          <w:rFonts w:ascii="Arial" w:hAnsi="Arial" w:cs="Arial"/>
          <w:sz w:val="24"/>
          <w:szCs w:val="24"/>
        </w:rPr>
        <w:t xml:space="preserve">, </w:t>
      </w:r>
      <w:r w:rsidR="001A2641" w:rsidRPr="00881B60">
        <w:rPr>
          <w:rFonts w:ascii="Arial" w:hAnsi="Arial" w:cs="Arial"/>
          <w:sz w:val="24"/>
          <w:szCs w:val="24"/>
        </w:rPr>
        <w:t>with 12 years’ experience in senior roles across retail operations</w:t>
      </w:r>
      <w:r w:rsidR="001A2641">
        <w:rPr>
          <w:rFonts w:ascii="Arial" w:hAnsi="Arial" w:cs="Arial"/>
          <w:sz w:val="24"/>
          <w:szCs w:val="24"/>
        </w:rPr>
        <w:t xml:space="preserve">, supply chain, IT and strategy, </w:t>
      </w:r>
      <w:r w:rsidR="00C733D5">
        <w:rPr>
          <w:rFonts w:ascii="Arial" w:hAnsi="Arial" w:cs="Arial"/>
          <w:sz w:val="24"/>
          <w:szCs w:val="24"/>
        </w:rPr>
        <w:t>most recently for Co-op Denmark.</w:t>
      </w:r>
    </w:p>
    <w:p w14:paraId="0869B5D2" w14:textId="77777777" w:rsidR="00FE66B3" w:rsidRDefault="00FE66B3" w:rsidP="00EB5300">
      <w:pPr>
        <w:spacing w:after="200"/>
        <w:contextualSpacing/>
        <w:jc w:val="left"/>
        <w:rPr>
          <w:rFonts w:ascii="Arial" w:hAnsi="Arial" w:cs="Arial"/>
          <w:sz w:val="24"/>
          <w:szCs w:val="24"/>
        </w:rPr>
      </w:pPr>
    </w:p>
    <w:p w14:paraId="1944044C" w14:textId="6782B7E9" w:rsidR="005B7509" w:rsidRDefault="00F23A95" w:rsidP="00D339D1">
      <w:pPr>
        <w:jc w:val="left"/>
        <w:rPr>
          <w:rFonts w:ascii="Arial" w:hAnsi="Arial" w:cs="Arial"/>
          <w:sz w:val="24"/>
          <w:szCs w:val="24"/>
        </w:rPr>
      </w:pPr>
      <w:r w:rsidRPr="00D339D1">
        <w:rPr>
          <w:rFonts w:ascii="Arial" w:hAnsi="Arial" w:cs="Arial"/>
          <w:sz w:val="24"/>
          <w:szCs w:val="24"/>
        </w:rPr>
        <w:t xml:space="preserve">Given the scale of change </w:t>
      </w:r>
      <w:r w:rsidR="00401E3B" w:rsidRPr="00D339D1">
        <w:rPr>
          <w:rFonts w:ascii="Arial" w:hAnsi="Arial" w:cs="Arial"/>
          <w:sz w:val="24"/>
          <w:szCs w:val="24"/>
        </w:rPr>
        <w:t xml:space="preserve">across the </w:t>
      </w:r>
      <w:r w:rsidR="00DF707F">
        <w:rPr>
          <w:rFonts w:ascii="Arial" w:hAnsi="Arial" w:cs="Arial"/>
          <w:sz w:val="24"/>
          <w:szCs w:val="24"/>
        </w:rPr>
        <w:t>company</w:t>
      </w:r>
      <w:r w:rsidR="00401E3B" w:rsidRPr="00D339D1">
        <w:rPr>
          <w:rFonts w:ascii="Arial" w:hAnsi="Arial" w:cs="Arial"/>
          <w:sz w:val="24"/>
          <w:szCs w:val="24"/>
        </w:rPr>
        <w:t xml:space="preserve"> we have</w:t>
      </w:r>
      <w:r w:rsidR="00D339D1" w:rsidRPr="00D339D1">
        <w:rPr>
          <w:rFonts w:ascii="Arial" w:hAnsi="Arial" w:cs="Arial"/>
          <w:sz w:val="24"/>
          <w:szCs w:val="24"/>
        </w:rPr>
        <w:t xml:space="preserve"> also</w:t>
      </w:r>
      <w:r w:rsidR="00401E3B" w:rsidRPr="00D339D1">
        <w:rPr>
          <w:rFonts w:ascii="Arial" w:hAnsi="Arial" w:cs="Arial"/>
          <w:sz w:val="24"/>
          <w:szCs w:val="24"/>
        </w:rPr>
        <w:t xml:space="preserve"> </w:t>
      </w:r>
      <w:r w:rsidR="00BB74AF">
        <w:rPr>
          <w:rFonts w:ascii="Arial" w:hAnsi="Arial" w:cs="Arial"/>
          <w:sz w:val="24"/>
          <w:szCs w:val="24"/>
        </w:rPr>
        <w:t xml:space="preserve">set up </w:t>
      </w:r>
      <w:r w:rsidR="00401E3B" w:rsidRPr="00D339D1">
        <w:rPr>
          <w:rFonts w:ascii="Arial" w:hAnsi="Arial" w:cs="Arial"/>
          <w:sz w:val="24"/>
          <w:szCs w:val="24"/>
        </w:rPr>
        <w:t>a</w:t>
      </w:r>
      <w:r w:rsidR="00A815D0" w:rsidRPr="00D339D1">
        <w:rPr>
          <w:rFonts w:ascii="Arial" w:hAnsi="Arial" w:cs="Arial"/>
          <w:sz w:val="24"/>
          <w:szCs w:val="24"/>
        </w:rPr>
        <w:t xml:space="preserve"> </w:t>
      </w:r>
      <w:r w:rsidR="00DF707F">
        <w:rPr>
          <w:rFonts w:ascii="Arial" w:hAnsi="Arial" w:cs="Arial"/>
          <w:sz w:val="24"/>
          <w:szCs w:val="24"/>
        </w:rPr>
        <w:t>‘</w:t>
      </w:r>
      <w:r w:rsidR="00A815D0" w:rsidRPr="00D339D1">
        <w:rPr>
          <w:rFonts w:ascii="Arial" w:hAnsi="Arial" w:cs="Arial"/>
          <w:sz w:val="24"/>
          <w:szCs w:val="24"/>
        </w:rPr>
        <w:t>Change Management</w:t>
      </w:r>
      <w:r w:rsidR="00DF707F">
        <w:rPr>
          <w:rFonts w:ascii="Arial" w:hAnsi="Arial" w:cs="Arial"/>
          <w:sz w:val="24"/>
          <w:szCs w:val="24"/>
        </w:rPr>
        <w:t>’</w:t>
      </w:r>
      <w:r w:rsidR="00A815D0" w:rsidRPr="00D339D1">
        <w:rPr>
          <w:rFonts w:ascii="Arial" w:hAnsi="Arial" w:cs="Arial"/>
          <w:sz w:val="24"/>
          <w:szCs w:val="24"/>
        </w:rPr>
        <w:t xml:space="preserve"> </w:t>
      </w:r>
      <w:r w:rsidR="00BB74AF">
        <w:rPr>
          <w:rFonts w:ascii="Arial" w:hAnsi="Arial" w:cs="Arial"/>
          <w:sz w:val="24"/>
          <w:szCs w:val="24"/>
        </w:rPr>
        <w:t xml:space="preserve">function </w:t>
      </w:r>
      <w:r w:rsidR="00D339D1" w:rsidRPr="00D339D1">
        <w:rPr>
          <w:rFonts w:ascii="Arial" w:hAnsi="Arial" w:cs="Arial"/>
          <w:sz w:val="24"/>
          <w:szCs w:val="24"/>
        </w:rPr>
        <w:t>to</w:t>
      </w:r>
      <w:r w:rsidR="002742F1">
        <w:rPr>
          <w:rFonts w:ascii="Arial" w:hAnsi="Arial" w:cs="Arial"/>
          <w:sz w:val="24"/>
          <w:szCs w:val="24"/>
        </w:rPr>
        <w:t xml:space="preserve"> </w:t>
      </w:r>
      <w:r w:rsidR="002742F1" w:rsidRPr="002742F1">
        <w:rPr>
          <w:rFonts w:ascii="Arial" w:hAnsi="Arial" w:cs="Arial"/>
          <w:sz w:val="24"/>
          <w:szCs w:val="24"/>
        </w:rPr>
        <w:t>provide a framework for continuous testing and measuring of the strategic tasks</w:t>
      </w:r>
      <w:r w:rsidR="002742F1">
        <w:rPr>
          <w:rFonts w:ascii="Arial" w:hAnsi="Arial" w:cs="Arial"/>
          <w:sz w:val="24"/>
          <w:szCs w:val="24"/>
        </w:rPr>
        <w:t xml:space="preserve">. Understanding the </w:t>
      </w:r>
      <w:r w:rsidR="00D339D1" w:rsidRPr="00D339D1">
        <w:rPr>
          <w:rFonts w:ascii="Arial" w:hAnsi="Arial" w:cs="Arial"/>
          <w:sz w:val="24"/>
          <w:szCs w:val="24"/>
        </w:rPr>
        <w:t xml:space="preserve">interdependencies of the different elements of the ‘ONE’ Kingfisher plan </w:t>
      </w:r>
      <w:r w:rsidR="002742F1">
        <w:rPr>
          <w:rFonts w:ascii="Arial" w:hAnsi="Arial" w:cs="Arial"/>
          <w:sz w:val="24"/>
          <w:szCs w:val="24"/>
        </w:rPr>
        <w:t>is key to</w:t>
      </w:r>
      <w:r w:rsidR="00D339D1" w:rsidRPr="00D339D1">
        <w:rPr>
          <w:rFonts w:ascii="Arial" w:hAnsi="Arial" w:cs="Arial"/>
          <w:sz w:val="24"/>
          <w:szCs w:val="24"/>
        </w:rPr>
        <w:t xml:space="preserve"> </w:t>
      </w:r>
      <w:r w:rsidR="00DF707F">
        <w:rPr>
          <w:rFonts w:ascii="Arial" w:hAnsi="Arial" w:cs="Arial"/>
          <w:sz w:val="24"/>
          <w:szCs w:val="24"/>
        </w:rPr>
        <w:t xml:space="preserve">managing change efficiently and </w:t>
      </w:r>
      <w:r w:rsidR="00D339D1" w:rsidRPr="00D339D1">
        <w:rPr>
          <w:rFonts w:ascii="Arial" w:hAnsi="Arial" w:cs="Arial"/>
          <w:sz w:val="24"/>
          <w:szCs w:val="24"/>
        </w:rPr>
        <w:t>minimis</w:t>
      </w:r>
      <w:r w:rsidR="002742F1">
        <w:rPr>
          <w:rFonts w:ascii="Arial" w:hAnsi="Arial" w:cs="Arial"/>
          <w:sz w:val="24"/>
          <w:szCs w:val="24"/>
        </w:rPr>
        <w:t>ing</w:t>
      </w:r>
      <w:r w:rsidR="00D339D1" w:rsidRPr="00D339D1">
        <w:rPr>
          <w:rFonts w:ascii="Arial" w:hAnsi="Arial" w:cs="Arial"/>
          <w:sz w:val="24"/>
          <w:szCs w:val="24"/>
        </w:rPr>
        <w:t xml:space="preserve"> execution risk.</w:t>
      </w:r>
      <w:r w:rsidR="00A815D0" w:rsidRPr="00D339D1">
        <w:rPr>
          <w:rFonts w:ascii="Arial" w:hAnsi="Arial" w:cs="Arial"/>
          <w:sz w:val="24"/>
          <w:szCs w:val="24"/>
        </w:rPr>
        <w:t xml:space="preserve"> </w:t>
      </w:r>
      <w:r w:rsidR="00401E3B" w:rsidRPr="00D339D1">
        <w:rPr>
          <w:rFonts w:ascii="Arial" w:hAnsi="Arial" w:cs="Arial"/>
          <w:sz w:val="24"/>
          <w:szCs w:val="24"/>
        </w:rPr>
        <w:t xml:space="preserve"> </w:t>
      </w:r>
      <w:r w:rsidRPr="00D339D1">
        <w:rPr>
          <w:rFonts w:ascii="Arial" w:hAnsi="Arial" w:cs="Arial"/>
          <w:sz w:val="24"/>
          <w:szCs w:val="24"/>
        </w:rPr>
        <w:t xml:space="preserve"> </w:t>
      </w:r>
    </w:p>
    <w:p w14:paraId="5156009C" w14:textId="77777777" w:rsidR="00322474" w:rsidRDefault="00322474" w:rsidP="00FE66B3">
      <w:pPr>
        <w:spacing w:after="200"/>
        <w:contextualSpacing/>
        <w:jc w:val="left"/>
        <w:rPr>
          <w:rFonts w:ascii="Arial" w:hAnsi="Arial" w:cs="Arial"/>
          <w:b/>
          <w:sz w:val="24"/>
          <w:szCs w:val="24"/>
          <w:u w:val="single"/>
        </w:rPr>
      </w:pPr>
    </w:p>
    <w:p w14:paraId="47C92B56" w14:textId="77777777" w:rsidR="000A14C5" w:rsidRDefault="000A14C5" w:rsidP="00FE66B3">
      <w:pPr>
        <w:spacing w:after="200"/>
        <w:contextualSpacing/>
        <w:jc w:val="left"/>
        <w:rPr>
          <w:rFonts w:ascii="Arial" w:hAnsi="Arial" w:cs="Arial"/>
          <w:b/>
          <w:sz w:val="24"/>
          <w:szCs w:val="24"/>
          <w:u w:val="single"/>
        </w:rPr>
      </w:pPr>
    </w:p>
    <w:p w14:paraId="48F794AD" w14:textId="2161F26C" w:rsidR="00FE66B3" w:rsidRPr="00926779" w:rsidRDefault="00C23E1B" w:rsidP="00FE66B3">
      <w:pPr>
        <w:spacing w:after="200"/>
        <w:contextualSpacing/>
        <w:jc w:val="left"/>
        <w:rPr>
          <w:rFonts w:ascii="Arial" w:hAnsi="Arial" w:cs="Arial"/>
          <w:b/>
          <w:sz w:val="24"/>
          <w:szCs w:val="24"/>
          <w:u w:val="single"/>
        </w:rPr>
      </w:pPr>
      <w:r w:rsidRPr="00926779">
        <w:rPr>
          <w:rFonts w:ascii="Arial" w:hAnsi="Arial" w:cs="Arial"/>
          <w:b/>
          <w:sz w:val="24"/>
          <w:szCs w:val="24"/>
          <w:u w:val="single"/>
        </w:rPr>
        <w:t>Summary</w:t>
      </w:r>
    </w:p>
    <w:p w14:paraId="3670E8D2" w14:textId="77777777" w:rsidR="00FE66B3" w:rsidRDefault="00FE66B3" w:rsidP="00FE66B3">
      <w:pPr>
        <w:spacing w:after="200"/>
        <w:contextualSpacing/>
        <w:jc w:val="left"/>
        <w:rPr>
          <w:rFonts w:ascii="Arial" w:hAnsi="Arial" w:cs="Arial"/>
          <w:sz w:val="24"/>
          <w:szCs w:val="24"/>
        </w:rPr>
      </w:pPr>
    </w:p>
    <w:p w14:paraId="2713DE4B" w14:textId="77E878F8" w:rsidR="0002395F" w:rsidRPr="0054624C" w:rsidRDefault="0002395F" w:rsidP="0002395F">
      <w:pPr>
        <w:jc w:val="left"/>
        <w:rPr>
          <w:rFonts w:ascii="Arial" w:hAnsi="Arial" w:cs="Arial"/>
          <w:sz w:val="24"/>
          <w:szCs w:val="24"/>
        </w:rPr>
      </w:pPr>
      <w:r>
        <w:rPr>
          <w:rFonts w:ascii="Arial" w:hAnsi="Arial" w:cs="Arial"/>
          <w:bCs/>
          <w:sz w:val="24"/>
          <w:szCs w:val="24"/>
        </w:rPr>
        <w:t xml:space="preserve">We are pleased with the </w:t>
      </w:r>
      <w:r w:rsidR="00912E89">
        <w:rPr>
          <w:rFonts w:ascii="Arial" w:hAnsi="Arial" w:cs="Arial"/>
          <w:bCs/>
          <w:sz w:val="24"/>
          <w:szCs w:val="24"/>
        </w:rPr>
        <w:t>solid</w:t>
      </w:r>
      <w:r w:rsidR="00DF707F">
        <w:rPr>
          <w:rFonts w:ascii="Arial" w:hAnsi="Arial" w:cs="Arial"/>
          <w:bCs/>
          <w:sz w:val="24"/>
          <w:szCs w:val="24"/>
        </w:rPr>
        <w:t xml:space="preserve"> early </w:t>
      </w:r>
      <w:r>
        <w:rPr>
          <w:rFonts w:ascii="Arial" w:hAnsi="Arial" w:cs="Arial"/>
          <w:bCs/>
          <w:sz w:val="24"/>
          <w:szCs w:val="24"/>
        </w:rPr>
        <w:t xml:space="preserve">progress that we have made on the journey to </w:t>
      </w:r>
      <w:r w:rsidR="00DF707F">
        <w:rPr>
          <w:rFonts w:ascii="Arial" w:hAnsi="Arial" w:cs="Arial"/>
          <w:bCs/>
          <w:sz w:val="24"/>
          <w:szCs w:val="24"/>
        </w:rPr>
        <w:t>‘</w:t>
      </w:r>
      <w:r>
        <w:rPr>
          <w:rFonts w:ascii="Arial" w:hAnsi="Arial" w:cs="Arial"/>
          <w:bCs/>
          <w:sz w:val="24"/>
          <w:szCs w:val="24"/>
        </w:rPr>
        <w:t>ONE</w:t>
      </w:r>
      <w:r w:rsidR="00DF707F">
        <w:rPr>
          <w:rFonts w:ascii="Arial" w:hAnsi="Arial" w:cs="Arial"/>
          <w:bCs/>
          <w:sz w:val="24"/>
          <w:szCs w:val="24"/>
        </w:rPr>
        <w:t>’</w:t>
      </w:r>
      <w:r>
        <w:rPr>
          <w:rFonts w:ascii="Arial" w:hAnsi="Arial" w:cs="Arial"/>
          <w:bCs/>
          <w:sz w:val="24"/>
          <w:szCs w:val="24"/>
        </w:rPr>
        <w:t xml:space="preserve"> Kingfisher</w:t>
      </w:r>
      <w:r w:rsidR="00DF707F">
        <w:rPr>
          <w:rFonts w:ascii="Arial" w:hAnsi="Arial" w:cs="Arial"/>
          <w:bCs/>
          <w:sz w:val="24"/>
          <w:szCs w:val="24"/>
        </w:rPr>
        <w:t xml:space="preserve"> on the </w:t>
      </w:r>
      <w:r>
        <w:rPr>
          <w:rFonts w:ascii="Arial" w:hAnsi="Arial" w:cs="Arial"/>
          <w:bCs/>
          <w:sz w:val="24"/>
          <w:szCs w:val="24"/>
        </w:rPr>
        <w:t xml:space="preserve">first </w:t>
      </w:r>
      <w:r w:rsidR="00DF707F">
        <w:rPr>
          <w:rFonts w:ascii="Arial" w:hAnsi="Arial" w:cs="Arial"/>
          <w:bCs/>
          <w:sz w:val="24"/>
          <w:szCs w:val="24"/>
        </w:rPr>
        <w:t>‘</w:t>
      </w:r>
      <w:r>
        <w:rPr>
          <w:rFonts w:ascii="Arial" w:hAnsi="Arial" w:cs="Arial"/>
          <w:bCs/>
          <w:sz w:val="24"/>
          <w:szCs w:val="24"/>
        </w:rPr>
        <w:t>sharp</w:t>
      </w:r>
      <w:r w:rsidR="00DF707F">
        <w:rPr>
          <w:rFonts w:ascii="Arial" w:hAnsi="Arial" w:cs="Arial"/>
          <w:bCs/>
          <w:sz w:val="24"/>
          <w:szCs w:val="24"/>
        </w:rPr>
        <w:t>’</w:t>
      </w:r>
      <w:r>
        <w:rPr>
          <w:rFonts w:ascii="Arial" w:hAnsi="Arial" w:cs="Arial"/>
          <w:bCs/>
          <w:sz w:val="24"/>
          <w:szCs w:val="24"/>
        </w:rPr>
        <w:t xml:space="preserve"> decisions that we </w:t>
      </w:r>
      <w:r w:rsidR="00DF707F">
        <w:rPr>
          <w:rFonts w:ascii="Arial" w:hAnsi="Arial" w:cs="Arial"/>
          <w:bCs/>
          <w:sz w:val="24"/>
          <w:szCs w:val="24"/>
        </w:rPr>
        <w:t>announced</w:t>
      </w:r>
      <w:r>
        <w:rPr>
          <w:rFonts w:ascii="Arial" w:hAnsi="Arial" w:cs="Arial"/>
          <w:bCs/>
          <w:sz w:val="24"/>
          <w:szCs w:val="24"/>
        </w:rPr>
        <w:t xml:space="preserve"> in March 2015. </w:t>
      </w:r>
      <w:r w:rsidR="002742F1">
        <w:rPr>
          <w:rFonts w:ascii="Arial" w:hAnsi="Arial" w:cs="Arial"/>
          <w:bCs/>
          <w:sz w:val="24"/>
          <w:szCs w:val="24"/>
        </w:rPr>
        <w:t xml:space="preserve">We are continuing to work on the detail of our long term strategy and our KPIs </w:t>
      </w:r>
      <w:r w:rsidR="00617A23">
        <w:rPr>
          <w:rFonts w:ascii="Arial" w:hAnsi="Arial" w:cs="Arial"/>
          <w:bCs/>
          <w:sz w:val="24"/>
          <w:szCs w:val="24"/>
        </w:rPr>
        <w:t>and will</w:t>
      </w:r>
      <w:r w:rsidR="00617A23" w:rsidRPr="00FE10CA">
        <w:rPr>
          <w:rFonts w:ascii="Arial" w:hAnsi="Arial" w:cs="Arial"/>
          <w:bCs/>
          <w:sz w:val="24"/>
          <w:szCs w:val="24"/>
        </w:rPr>
        <w:t xml:space="preserve"> updat</w:t>
      </w:r>
      <w:r w:rsidR="00617A23">
        <w:rPr>
          <w:rFonts w:ascii="Arial" w:hAnsi="Arial" w:cs="Arial"/>
          <w:bCs/>
          <w:sz w:val="24"/>
          <w:szCs w:val="24"/>
        </w:rPr>
        <w:t>e</w:t>
      </w:r>
      <w:r w:rsidR="00617A23" w:rsidRPr="00FE10CA">
        <w:rPr>
          <w:rFonts w:ascii="Arial" w:hAnsi="Arial" w:cs="Arial"/>
          <w:bCs/>
          <w:sz w:val="24"/>
          <w:szCs w:val="24"/>
        </w:rPr>
        <w:t xml:space="preserve"> on further progress</w:t>
      </w:r>
      <w:r w:rsidR="00DF707F">
        <w:rPr>
          <w:rFonts w:ascii="Arial" w:hAnsi="Arial" w:cs="Arial"/>
          <w:bCs/>
          <w:sz w:val="24"/>
          <w:szCs w:val="24"/>
        </w:rPr>
        <w:t xml:space="preserve"> along the way. </w:t>
      </w:r>
    </w:p>
    <w:p w14:paraId="548B68FB" w14:textId="572B7A1A" w:rsidR="00D37435" w:rsidRPr="00FE66B3" w:rsidRDefault="00D37435" w:rsidP="00FE66B3">
      <w:pPr>
        <w:spacing w:after="200"/>
        <w:contextualSpacing/>
        <w:jc w:val="left"/>
        <w:rPr>
          <w:rFonts w:ascii="Arial" w:hAnsi="Arial" w:cs="Arial"/>
          <w:sz w:val="24"/>
          <w:szCs w:val="24"/>
        </w:rPr>
      </w:pPr>
      <w:r>
        <w:rPr>
          <w:rFonts w:ascii="Arial" w:hAnsi="Arial" w:cs="Arial"/>
          <w:b/>
          <w:bCs/>
          <w:sz w:val="24"/>
          <w:szCs w:val="24"/>
        </w:rPr>
        <w:br w:type="page"/>
      </w:r>
    </w:p>
    <w:p w14:paraId="5F02F429" w14:textId="4134B7BE" w:rsidR="00043801" w:rsidRDefault="00074BF9" w:rsidP="001B3B55">
      <w:pPr>
        <w:jc w:val="left"/>
        <w:rPr>
          <w:rFonts w:ascii="Helvetica" w:hAnsi="Helvetica" w:cs="Helvetica"/>
          <w:b/>
          <w:bCs/>
          <w:sz w:val="24"/>
          <w:szCs w:val="24"/>
        </w:rPr>
      </w:pPr>
      <w:r w:rsidRPr="000971B9">
        <w:rPr>
          <w:rFonts w:ascii="Arial" w:hAnsi="Arial" w:cs="Arial"/>
          <w:b/>
          <w:bCs/>
          <w:sz w:val="24"/>
          <w:szCs w:val="24"/>
        </w:rPr>
        <w:lastRenderedPageBreak/>
        <w:t>S</w:t>
      </w:r>
      <w:r w:rsidR="00CD36B5" w:rsidRPr="000971B9">
        <w:rPr>
          <w:rFonts w:ascii="Arial" w:hAnsi="Arial" w:cs="Arial"/>
          <w:b/>
          <w:bCs/>
          <w:sz w:val="24"/>
          <w:szCs w:val="24"/>
        </w:rPr>
        <w:t xml:space="preserve">ection </w:t>
      </w:r>
      <w:r w:rsidR="003E3617" w:rsidRPr="000971B9">
        <w:rPr>
          <w:rFonts w:ascii="Arial" w:hAnsi="Arial" w:cs="Arial"/>
          <w:b/>
          <w:bCs/>
          <w:sz w:val="24"/>
          <w:szCs w:val="24"/>
        </w:rPr>
        <w:t>2</w:t>
      </w:r>
      <w:r w:rsidR="00376255" w:rsidRPr="000971B9">
        <w:rPr>
          <w:rFonts w:ascii="Arial" w:hAnsi="Arial" w:cs="Arial"/>
          <w:b/>
          <w:bCs/>
          <w:sz w:val="24"/>
          <w:szCs w:val="24"/>
        </w:rPr>
        <w:t xml:space="preserve">: </w:t>
      </w:r>
      <w:r w:rsidR="00AB5F99">
        <w:rPr>
          <w:rFonts w:ascii="Arial" w:hAnsi="Arial" w:cs="Arial"/>
          <w:b/>
          <w:bCs/>
          <w:sz w:val="24"/>
          <w:szCs w:val="24"/>
        </w:rPr>
        <w:t>2015</w:t>
      </w:r>
      <w:r w:rsidR="00D37435">
        <w:rPr>
          <w:rFonts w:ascii="Arial" w:hAnsi="Arial" w:cs="Arial"/>
          <w:b/>
          <w:bCs/>
          <w:sz w:val="24"/>
          <w:szCs w:val="24"/>
        </w:rPr>
        <w:t>/16</w:t>
      </w:r>
      <w:r w:rsidR="00AB5F99">
        <w:rPr>
          <w:rFonts w:ascii="Arial" w:hAnsi="Arial" w:cs="Arial"/>
          <w:b/>
          <w:bCs/>
          <w:sz w:val="24"/>
          <w:szCs w:val="24"/>
        </w:rPr>
        <w:t xml:space="preserve"> </w:t>
      </w:r>
      <w:r w:rsidR="00277DC8">
        <w:rPr>
          <w:rFonts w:ascii="Arial" w:hAnsi="Arial" w:cs="Arial"/>
          <w:b/>
          <w:bCs/>
          <w:sz w:val="24"/>
          <w:szCs w:val="24"/>
        </w:rPr>
        <w:t xml:space="preserve">Trading review by major geography </w:t>
      </w:r>
    </w:p>
    <w:p w14:paraId="1880FA4E" w14:textId="77777777" w:rsidR="00043801" w:rsidRDefault="00043801" w:rsidP="001B3B55">
      <w:pPr>
        <w:jc w:val="left"/>
        <w:rPr>
          <w:rFonts w:ascii="Helvetica" w:hAnsi="Helvetica" w:cs="Helvetica"/>
          <w:bCs/>
          <w:i/>
          <w:sz w:val="24"/>
          <w:szCs w:val="24"/>
        </w:rPr>
      </w:pPr>
    </w:p>
    <w:p w14:paraId="5ED70481" w14:textId="20A273D8" w:rsidR="001B3B55" w:rsidRPr="00B672B2" w:rsidRDefault="00043801" w:rsidP="001B3B55">
      <w:pPr>
        <w:jc w:val="left"/>
        <w:rPr>
          <w:rFonts w:ascii="Helvetica" w:hAnsi="Helvetica" w:cs="Helvetica"/>
          <w:bCs/>
          <w:i/>
          <w:sz w:val="24"/>
          <w:szCs w:val="24"/>
        </w:rPr>
      </w:pPr>
      <w:r w:rsidRPr="00B672B2">
        <w:rPr>
          <w:rFonts w:ascii="Helvetica" w:hAnsi="Helvetica" w:cs="Helvetica"/>
          <w:bCs/>
          <w:i/>
          <w:sz w:val="24"/>
          <w:szCs w:val="24"/>
        </w:rPr>
        <w:t>All trading commentary is in constant currencies</w:t>
      </w:r>
    </w:p>
    <w:p w14:paraId="79D4B2CF" w14:textId="77777777" w:rsidR="001B3B55" w:rsidRPr="000971B9" w:rsidRDefault="001B3B55" w:rsidP="001B3B55">
      <w:pPr>
        <w:jc w:val="left"/>
        <w:rPr>
          <w:rFonts w:ascii="Arial" w:hAnsi="Arial" w:cs="Arial"/>
          <w:b/>
          <w:bCs/>
          <w:sz w:val="24"/>
          <w:szCs w:val="24"/>
        </w:rPr>
      </w:pPr>
    </w:p>
    <w:p w14:paraId="6FDCA941" w14:textId="35A7E088" w:rsidR="00AB5F99" w:rsidRDefault="00275B89" w:rsidP="00275B89">
      <w:pPr>
        <w:tabs>
          <w:tab w:val="left" w:pos="357"/>
        </w:tabs>
        <w:ind w:right="-282"/>
        <w:jc w:val="left"/>
        <w:rPr>
          <w:rFonts w:ascii="Arial" w:hAnsi="Arial" w:cs="Arial"/>
          <w:iCs/>
          <w:sz w:val="24"/>
          <w:szCs w:val="24"/>
        </w:rPr>
      </w:pPr>
      <w:bookmarkStart w:id="0" w:name="OLE_LINK3"/>
      <w:bookmarkStart w:id="1" w:name="OLE_LINK4"/>
      <w:r w:rsidRPr="00FD4DC7">
        <w:rPr>
          <w:rFonts w:ascii="Arial" w:hAnsi="Arial" w:cs="Arial"/>
          <w:iCs/>
          <w:sz w:val="24"/>
          <w:szCs w:val="24"/>
        </w:rPr>
        <w:t>Note:</w:t>
      </w:r>
      <w:r>
        <w:rPr>
          <w:rFonts w:ascii="Arial" w:hAnsi="Arial" w:cs="Arial"/>
          <w:b/>
          <w:bCs/>
          <w:sz w:val="24"/>
          <w:szCs w:val="24"/>
        </w:rPr>
        <w:t xml:space="preserve"> </w:t>
      </w:r>
      <w:r w:rsidRPr="000971B9">
        <w:rPr>
          <w:rFonts w:ascii="Arial" w:hAnsi="Arial" w:cs="Arial"/>
          <w:iCs/>
          <w:sz w:val="24"/>
          <w:szCs w:val="24"/>
        </w:rPr>
        <w:t xml:space="preserve">Data tables for </w:t>
      </w:r>
      <w:r>
        <w:rPr>
          <w:rFonts w:ascii="Arial" w:hAnsi="Arial" w:cs="Arial"/>
          <w:iCs/>
          <w:sz w:val="24"/>
          <w:szCs w:val="24"/>
        </w:rPr>
        <w:t>Q1, Q2</w:t>
      </w:r>
      <w:r w:rsidR="00D37435">
        <w:rPr>
          <w:rFonts w:ascii="Arial" w:hAnsi="Arial" w:cs="Arial"/>
          <w:iCs/>
          <w:sz w:val="24"/>
          <w:szCs w:val="24"/>
        </w:rPr>
        <w:t xml:space="preserve"> and</w:t>
      </w:r>
      <w:r>
        <w:rPr>
          <w:rFonts w:ascii="Arial" w:hAnsi="Arial" w:cs="Arial"/>
          <w:iCs/>
          <w:sz w:val="24"/>
          <w:szCs w:val="24"/>
        </w:rPr>
        <w:t xml:space="preserve"> </w:t>
      </w:r>
      <w:r w:rsidR="0058650E">
        <w:rPr>
          <w:rFonts w:ascii="Arial" w:hAnsi="Arial" w:cs="Arial"/>
          <w:iCs/>
          <w:sz w:val="24"/>
          <w:szCs w:val="24"/>
        </w:rPr>
        <w:t>half year</w:t>
      </w:r>
      <w:r>
        <w:rPr>
          <w:rFonts w:ascii="Arial" w:hAnsi="Arial" w:cs="Arial"/>
          <w:iCs/>
          <w:sz w:val="24"/>
          <w:szCs w:val="24"/>
        </w:rPr>
        <w:t xml:space="preserve"> </w:t>
      </w:r>
      <w:r w:rsidRPr="000971B9">
        <w:rPr>
          <w:rFonts w:ascii="Arial" w:hAnsi="Arial" w:cs="Arial"/>
          <w:iCs/>
          <w:sz w:val="24"/>
          <w:szCs w:val="24"/>
        </w:rPr>
        <w:t xml:space="preserve">are available for download in excel format at </w:t>
      </w:r>
      <w:hyperlink r:id="rId9" w:history="1">
        <w:r w:rsidR="00781C5B" w:rsidRPr="00781C5B">
          <w:rPr>
            <w:rStyle w:val="Hyperlink"/>
            <w:rFonts w:ascii="Arial" w:hAnsi="Arial" w:cs="Arial"/>
            <w:iCs/>
            <w:sz w:val="24"/>
            <w:szCs w:val="24"/>
          </w:rPr>
          <w:t>www.kingfisher.com/index.asp?pageid=59</w:t>
        </w:r>
      </w:hyperlink>
      <w:r w:rsidRPr="000971B9">
        <w:rPr>
          <w:rFonts w:ascii="Arial" w:hAnsi="Arial" w:cs="Arial"/>
          <w:iCs/>
          <w:sz w:val="24"/>
          <w:szCs w:val="24"/>
        </w:rPr>
        <w:t xml:space="preserve">. </w:t>
      </w:r>
    </w:p>
    <w:p w14:paraId="7F561EC4" w14:textId="77777777" w:rsidR="00275B89" w:rsidRDefault="00275B89" w:rsidP="001B3B55">
      <w:pPr>
        <w:jc w:val="left"/>
        <w:rPr>
          <w:rFonts w:ascii="Arial" w:hAnsi="Arial" w:cs="Arial"/>
          <w:b/>
          <w:bCs/>
          <w:sz w:val="24"/>
          <w:szCs w:val="24"/>
        </w:rPr>
      </w:pPr>
    </w:p>
    <w:p w14:paraId="47150BE3" w14:textId="77777777" w:rsidR="00043801" w:rsidRDefault="00043801" w:rsidP="001B3B55">
      <w:pPr>
        <w:jc w:val="left"/>
        <w:rPr>
          <w:rFonts w:ascii="Arial" w:hAnsi="Arial" w:cs="Arial"/>
          <w:b/>
          <w:bCs/>
          <w:sz w:val="24"/>
          <w:szCs w:val="24"/>
        </w:rPr>
      </w:pPr>
    </w:p>
    <w:p w14:paraId="25E744A8" w14:textId="2BD700E7" w:rsidR="001B3B55" w:rsidRPr="000971B9" w:rsidRDefault="001B3B55" w:rsidP="001B3B55">
      <w:pPr>
        <w:jc w:val="left"/>
        <w:rPr>
          <w:rFonts w:ascii="Arial" w:hAnsi="Arial" w:cs="Arial"/>
          <w:sz w:val="24"/>
          <w:szCs w:val="24"/>
        </w:rPr>
      </w:pPr>
      <w:r w:rsidRPr="000971B9">
        <w:rPr>
          <w:rFonts w:ascii="Arial" w:hAnsi="Arial" w:cs="Arial"/>
          <w:b/>
          <w:bCs/>
          <w:sz w:val="24"/>
          <w:szCs w:val="24"/>
        </w:rPr>
        <w:t>FRANCE</w:t>
      </w:r>
      <w:r w:rsidR="00E10699">
        <w:rPr>
          <w:rFonts w:ascii="Arial" w:hAnsi="Arial" w:cs="Arial"/>
          <w:b/>
          <w:bCs/>
          <w:sz w:val="24"/>
          <w:szCs w:val="24"/>
        </w:rPr>
        <w:t>*</w:t>
      </w:r>
      <w:r w:rsidR="00043801">
        <w:rPr>
          <w:rFonts w:ascii="Arial" w:hAnsi="Arial" w:cs="Arial"/>
          <w:b/>
          <w:bCs/>
          <w:sz w:val="24"/>
          <w:szCs w:val="24"/>
        </w:rPr>
        <w:t xml:space="preserve"> </w:t>
      </w:r>
    </w:p>
    <w:p w14:paraId="3441B9D3" w14:textId="77777777" w:rsidR="001B3B55" w:rsidRPr="000971B9" w:rsidRDefault="001B3B55" w:rsidP="001B3B55">
      <w:pPr>
        <w:rPr>
          <w:rFonts w:ascii="Arial" w:hAnsi="Arial" w:cs="Arial"/>
          <w:b/>
          <w:bCs/>
          <w:sz w:val="24"/>
          <w:szCs w:val="24"/>
        </w:rPr>
      </w:pPr>
    </w:p>
    <w:tbl>
      <w:tblPr>
        <w:tblW w:w="491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7"/>
        <w:gridCol w:w="1500"/>
        <w:gridCol w:w="1233"/>
        <w:gridCol w:w="1695"/>
        <w:gridCol w:w="1670"/>
        <w:gridCol w:w="993"/>
      </w:tblGrid>
      <w:tr w:rsidR="004E7075" w:rsidRPr="000971B9" w14:paraId="4644296C" w14:textId="77777777" w:rsidTr="004E7075">
        <w:tc>
          <w:tcPr>
            <w:tcW w:w="1251" w:type="pct"/>
            <w:tcBorders>
              <w:bottom w:val="single" w:sz="4" w:space="0" w:color="auto"/>
            </w:tcBorders>
          </w:tcPr>
          <w:p w14:paraId="269EA22A" w14:textId="1C73E7A5" w:rsidR="004E7075" w:rsidRPr="000971B9" w:rsidRDefault="004E7075" w:rsidP="00317387">
            <w:pPr>
              <w:rPr>
                <w:rFonts w:ascii="Arial" w:hAnsi="Arial" w:cs="Arial"/>
                <w:sz w:val="24"/>
                <w:szCs w:val="24"/>
              </w:rPr>
            </w:pPr>
            <w:r>
              <w:rPr>
                <w:rFonts w:ascii="Arial" w:hAnsi="Arial" w:cs="Arial"/>
                <w:sz w:val="24"/>
                <w:szCs w:val="24"/>
              </w:rPr>
              <w:t>£m</w:t>
            </w:r>
          </w:p>
        </w:tc>
        <w:tc>
          <w:tcPr>
            <w:tcW w:w="793" w:type="pct"/>
            <w:tcBorders>
              <w:bottom w:val="single" w:sz="4" w:space="0" w:color="auto"/>
            </w:tcBorders>
          </w:tcPr>
          <w:p w14:paraId="2EBFFD73" w14:textId="77777777" w:rsidR="004E7075" w:rsidRPr="000971B9" w:rsidRDefault="004E7075" w:rsidP="00317387">
            <w:pPr>
              <w:jc w:val="right"/>
              <w:rPr>
                <w:rFonts w:ascii="Arial" w:hAnsi="Arial" w:cs="Arial"/>
                <w:sz w:val="24"/>
                <w:szCs w:val="24"/>
              </w:rPr>
            </w:pPr>
            <w:r>
              <w:rPr>
                <w:rFonts w:ascii="Arial" w:hAnsi="Arial" w:cs="Arial"/>
                <w:b/>
                <w:bCs/>
                <w:sz w:val="24"/>
                <w:szCs w:val="24"/>
              </w:rPr>
              <w:t>2015/16</w:t>
            </w:r>
          </w:p>
        </w:tc>
        <w:tc>
          <w:tcPr>
            <w:tcW w:w="652" w:type="pct"/>
            <w:tcBorders>
              <w:bottom w:val="single" w:sz="4" w:space="0" w:color="auto"/>
            </w:tcBorders>
          </w:tcPr>
          <w:p w14:paraId="166AF69A" w14:textId="77777777" w:rsidR="004E7075" w:rsidRPr="000971B9" w:rsidRDefault="004E7075" w:rsidP="00317387">
            <w:pPr>
              <w:jc w:val="right"/>
              <w:rPr>
                <w:rFonts w:ascii="Arial" w:hAnsi="Arial" w:cs="Arial"/>
                <w:b/>
                <w:bCs/>
                <w:sz w:val="24"/>
                <w:szCs w:val="24"/>
              </w:rPr>
            </w:pPr>
            <w:r>
              <w:rPr>
                <w:rFonts w:ascii="Arial" w:hAnsi="Arial" w:cs="Arial"/>
                <w:b/>
                <w:bCs/>
                <w:sz w:val="24"/>
                <w:szCs w:val="24"/>
              </w:rPr>
              <w:t>2014/15</w:t>
            </w:r>
          </w:p>
        </w:tc>
        <w:tc>
          <w:tcPr>
            <w:tcW w:w="896" w:type="pct"/>
            <w:tcBorders>
              <w:bottom w:val="single" w:sz="4" w:space="0" w:color="auto"/>
            </w:tcBorders>
          </w:tcPr>
          <w:p w14:paraId="208332E9" w14:textId="77777777" w:rsidR="004E7075" w:rsidRPr="000971B9" w:rsidRDefault="004E7075" w:rsidP="00317387">
            <w:pPr>
              <w:jc w:val="right"/>
              <w:rPr>
                <w:rFonts w:ascii="Arial" w:hAnsi="Arial" w:cs="Arial"/>
                <w:b/>
                <w:bCs/>
                <w:sz w:val="24"/>
                <w:szCs w:val="24"/>
              </w:rPr>
            </w:pPr>
            <w:r w:rsidRPr="000971B9">
              <w:rPr>
                <w:rFonts w:ascii="Arial" w:hAnsi="Arial" w:cs="Arial"/>
                <w:b/>
                <w:bCs/>
                <w:sz w:val="24"/>
                <w:szCs w:val="24"/>
              </w:rPr>
              <w:t>% Reported</w:t>
            </w:r>
            <w:r w:rsidRPr="000971B9" w:rsidDel="00197636">
              <w:rPr>
                <w:rFonts w:ascii="Arial" w:hAnsi="Arial" w:cs="Arial"/>
                <w:b/>
                <w:bCs/>
                <w:sz w:val="24"/>
                <w:szCs w:val="24"/>
              </w:rPr>
              <w:t xml:space="preserve"> </w:t>
            </w:r>
            <w:r w:rsidRPr="000971B9">
              <w:rPr>
                <w:rFonts w:ascii="Arial" w:hAnsi="Arial" w:cs="Arial"/>
                <w:b/>
                <w:bCs/>
                <w:sz w:val="24"/>
                <w:szCs w:val="24"/>
              </w:rPr>
              <w:t>Change</w:t>
            </w:r>
          </w:p>
          <w:p w14:paraId="6444DAA0" w14:textId="77777777" w:rsidR="004E7075" w:rsidRPr="000971B9" w:rsidRDefault="004E7075" w:rsidP="00317387">
            <w:pPr>
              <w:jc w:val="right"/>
              <w:rPr>
                <w:rFonts w:ascii="Arial" w:hAnsi="Arial" w:cs="Arial"/>
                <w:b/>
                <w:bCs/>
                <w:sz w:val="24"/>
                <w:szCs w:val="24"/>
              </w:rPr>
            </w:pPr>
          </w:p>
        </w:tc>
        <w:tc>
          <w:tcPr>
            <w:tcW w:w="883" w:type="pct"/>
            <w:tcBorders>
              <w:bottom w:val="single" w:sz="4" w:space="0" w:color="auto"/>
            </w:tcBorders>
          </w:tcPr>
          <w:p w14:paraId="40841EFE" w14:textId="77777777" w:rsidR="004E7075" w:rsidRPr="000971B9" w:rsidRDefault="004E7075" w:rsidP="00317387">
            <w:pPr>
              <w:jc w:val="right"/>
              <w:rPr>
                <w:rFonts w:ascii="Arial" w:hAnsi="Arial" w:cs="Arial"/>
                <w:b/>
                <w:bCs/>
                <w:sz w:val="24"/>
                <w:szCs w:val="24"/>
              </w:rPr>
            </w:pPr>
            <w:r w:rsidRPr="000971B9">
              <w:rPr>
                <w:rFonts w:ascii="Arial" w:hAnsi="Arial" w:cs="Arial"/>
                <w:b/>
                <w:bCs/>
                <w:sz w:val="24"/>
                <w:szCs w:val="24"/>
              </w:rPr>
              <w:t>%</w:t>
            </w:r>
            <w:r>
              <w:rPr>
                <w:rFonts w:ascii="Arial" w:hAnsi="Arial" w:cs="Arial"/>
                <w:b/>
                <w:bCs/>
                <w:sz w:val="24"/>
                <w:szCs w:val="24"/>
              </w:rPr>
              <w:t xml:space="preserve"> </w:t>
            </w:r>
            <w:r w:rsidRPr="000971B9">
              <w:rPr>
                <w:rFonts w:ascii="Arial" w:hAnsi="Arial" w:cs="Arial"/>
                <w:b/>
                <w:bCs/>
                <w:sz w:val="24"/>
                <w:szCs w:val="24"/>
              </w:rPr>
              <w:t>Constant</w:t>
            </w:r>
          </w:p>
          <w:p w14:paraId="27A5BB36" w14:textId="77777777" w:rsidR="004E7075" w:rsidRDefault="004E7075" w:rsidP="00317387">
            <w:pPr>
              <w:jc w:val="right"/>
              <w:rPr>
                <w:rFonts w:ascii="Arial" w:hAnsi="Arial" w:cs="Arial"/>
                <w:b/>
                <w:bCs/>
                <w:sz w:val="24"/>
                <w:szCs w:val="24"/>
              </w:rPr>
            </w:pPr>
            <w:r>
              <w:rPr>
                <w:rFonts w:ascii="Arial" w:hAnsi="Arial" w:cs="Arial"/>
                <w:b/>
                <w:bCs/>
                <w:sz w:val="24"/>
                <w:szCs w:val="24"/>
              </w:rPr>
              <w:t>Currency</w:t>
            </w:r>
          </w:p>
          <w:p w14:paraId="1C0BBE4B" w14:textId="77777777" w:rsidR="004E7075" w:rsidRPr="000971B9" w:rsidRDefault="004E7075" w:rsidP="00317387">
            <w:pPr>
              <w:jc w:val="right"/>
              <w:rPr>
                <w:rFonts w:ascii="Arial" w:hAnsi="Arial" w:cs="Arial"/>
                <w:b/>
                <w:bCs/>
                <w:sz w:val="24"/>
                <w:szCs w:val="24"/>
              </w:rPr>
            </w:pPr>
            <w:r w:rsidRPr="000971B9">
              <w:rPr>
                <w:rFonts w:ascii="Arial" w:hAnsi="Arial" w:cs="Arial"/>
                <w:b/>
                <w:bCs/>
                <w:sz w:val="24"/>
                <w:szCs w:val="24"/>
              </w:rPr>
              <w:t xml:space="preserve">Change  </w:t>
            </w:r>
          </w:p>
        </w:tc>
        <w:tc>
          <w:tcPr>
            <w:tcW w:w="525" w:type="pct"/>
            <w:tcBorders>
              <w:bottom w:val="single" w:sz="4" w:space="0" w:color="auto"/>
            </w:tcBorders>
          </w:tcPr>
          <w:p w14:paraId="098FF527" w14:textId="77777777" w:rsidR="004E7075" w:rsidRPr="000971B9" w:rsidRDefault="004E7075" w:rsidP="00317387">
            <w:pPr>
              <w:ind w:hanging="108"/>
              <w:jc w:val="right"/>
              <w:rPr>
                <w:rFonts w:ascii="Arial" w:hAnsi="Arial" w:cs="Arial"/>
                <w:b/>
                <w:bCs/>
                <w:sz w:val="24"/>
                <w:szCs w:val="24"/>
              </w:rPr>
            </w:pPr>
            <w:r w:rsidRPr="000971B9">
              <w:rPr>
                <w:rFonts w:ascii="Arial" w:hAnsi="Arial" w:cs="Arial"/>
                <w:b/>
                <w:bCs/>
                <w:sz w:val="24"/>
                <w:szCs w:val="24"/>
              </w:rPr>
              <w:t>% LFL</w:t>
            </w:r>
          </w:p>
          <w:p w14:paraId="72BC8B98" w14:textId="77777777" w:rsidR="004E7075" w:rsidRPr="000971B9" w:rsidRDefault="004E7075" w:rsidP="00317387">
            <w:pPr>
              <w:ind w:hanging="108"/>
              <w:jc w:val="right"/>
              <w:rPr>
                <w:rFonts w:ascii="Arial" w:hAnsi="Arial" w:cs="Arial"/>
                <w:b/>
                <w:bCs/>
                <w:sz w:val="24"/>
                <w:szCs w:val="24"/>
              </w:rPr>
            </w:pPr>
            <w:r w:rsidRPr="000971B9">
              <w:rPr>
                <w:rFonts w:ascii="Arial" w:hAnsi="Arial" w:cs="Arial"/>
                <w:b/>
                <w:bCs/>
                <w:sz w:val="24"/>
                <w:szCs w:val="24"/>
              </w:rPr>
              <w:t>Change</w:t>
            </w:r>
          </w:p>
        </w:tc>
      </w:tr>
      <w:tr w:rsidR="004E7075" w:rsidRPr="000971B9" w14:paraId="3892DF06" w14:textId="77777777" w:rsidTr="004E7075">
        <w:trPr>
          <w:trHeight w:val="147"/>
        </w:trPr>
        <w:tc>
          <w:tcPr>
            <w:tcW w:w="1251" w:type="pct"/>
            <w:tcBorders>
              <w:bottom w:val="single" w:sz="4" w:space="0" w:color="auto"/>
            </w:tcBorders>
          </w:tcPr>
          <w:p w14:paraId="3FF600F5" w14:textId="4A1AF3C3" w:rsidR="004E7075" w:rsidRPr="004E7075" w:rsidRDefault="004E7075" w:rsidP="00317387">
            <w:pPr>
              <w:rPr>
                <w:rFonts w:ascii="Arial" w:hAnsi="Arial" w:cs="Arial"/>
                <w:b/>
                <w:sz w:val="24"/>
                <w:szCs w:val="24"/>
              </w:rPr>
            </w:pPr>
            <w:r w:rsidRPr="004E7075">
              <w:rPr>
                <w:rFonts w:ascii="Arial" w:hAnsi="Arial" w:cs="Arial"/>
                <w:b/>
                <w:bCs/>
                <w:sz w:val="24"/>
                <w:szCs w:val="24"/>
              </w:rPr>
              <w:t>Sales</w:t>
            </w:r>
          </w:p>
        </w:tc>
        <w:tc>
          <w:tcPr>
            <w:tcW w:w="793" w:type="pct"/>
            <w:tcBorders>
              <w:bottom w:val="single" w:sz="4" w:space="0" w:color="auto"/>
            </w:tcBorders>
          </w:tcPr>
          <w:p w14:paraId="5B8F7FFC" w14:textId="7ED8CED7" w:rsidR="004E7075" w:rsidRPr="000971B9" w:rsidRDefault="00EB6D92" w:rsidP="00E71B3C">
            <w:pPr>
              <w:jc w:val="right"/>
              <w:rPr>
                <w:rFonts w:ascii="Arial" w:hAnsi="Arial" w:cs="Arial"/>
                <w:sz w:val="24"/>
                <w:szCs w:val="24"/>
              </w:rPr>
            </w:pPr>
            <w:r>
              <w:rPr>
                <w:rFonts w:ascii="Arial" w:hAnsi="Arial" w:cs="Arial"/>
                <w:sz w:val="24"/>
                <w:szCs w:val="24"/>
              </w:rPr>
              <w:t>1</w:t>
            </w:r>
            <w:r w:rsidR="0056628A">
              <w:rPr>
                <w:rFonts w:ascii="Arial" w:hAnsi="Arial" w:cs="Arial"/>
                <w:sz w:val="24"/>
                <w:szCs w:val="24"/>
              </w:rPr>
              <w:t>,</w:t>
            </w:r>
            <w:r w:rsidR="00E71B3C">
              <w:rPr>
                <w:rFonts w:ascii="Arial" w:hAnsi="Arial" w:cs="Arial"/>
                <w:sz w:val="24"/>
                <w:szCs w:val="24"/>
              </w:rPr>
              <w:t>976</w:t>
            </w:r>
          </w:p>
        </w:tc>
        <w:tc>
          <w:tcPr>
            <w:tcW w:w="652" w:type="pct"/>
            <w:tcBorders>
              <w:bottom w:val="single" w:sz="4" w:space="0" w:color="auto"/>
            </w:tcBorders>
          </w:tcPr>
          <w:p w14:paraId="2B2DBD3E" w14:textId="59D5E7C7" w:rsidR="004E7075" w:rsidRPr="000971B9" w:rsidRDefault="0056628A" w:rsidP="00317387">
            <w:pPr>
              <w:jc w:val="right"/>
              <w:rPr>
                <w:rFonts w:ascii="Arial" w:hAnsi="Arial" w:cs="Arial"/>
                <w:sz w:val="24"/>
                <w:szCs w:val="24"/>
              </w:rPr>
            </w:pPr>
            <w:r>
              <w:rPr>
                <w:rFonts w:ascii="Arial" w:hAnsi="Arial" w:cs="Arial"/>
                <w:sz w:val="24"/>
                <w:szCs w:val="24"/>
              </w:rPr>
              <w:t>2,205</w:t>
            </w:r>
          </w:p>
        </w:tc>
        <w:tc>
          <w:tcPr>
            <w:tcW w:w="896" w:type="pct"/>
            <w:tcBorders>
              <w:bottom w:val="single" w:sz="4" w:space="0" w:color="auto"/>
            </w:tcBorders>
          </w:tcPr>
          <w:p w14:paraId="14C1AD12" w14:textId="7982D486" w:rsidR="004E7075" w:rsidRPr="000971B9" w:rsidRDefault="00EB6D92" w:rsidP="0056628A">
            <w:pPr>
              <w:jc w:val="right"/>
              <w:rPr>
                <w:rFonts w:ascii="Arial" w:hAnsi="Arial" w:cs="Arial"/>
                <w:sz w:val="24"/>
                <w:szCs w:val="24"/>
              </w:rPr>
            </w:pPr>
            <w:r>
              <w:rPr>
                <w:rFonts w:ascii="Arial" w:hAnsi="Arial" w:cs="Arial"/>
                <w:sz w:val="24"/>
                <w:szCs w:val="24"/>
              </w:rPr>
              <w:t>(1</w:t>
            </w:r>
            <w:r w:rsidR="0056628A">
              <w:rPr>
                <w:rFonts w:ascii="Arial" w:hAnsi="Arial" w:cs="Arial"/>
                <w:sz w:val="24"/>
                <w:szCs w:val="24"/>
              </w:rPr>
              <w:t>0.4</w:t>
            </w:r>
            <w:r>
              <w:rPr>
                <w:rFonts w:ascii="Arial" w:hAnsi="Arial" w:cs="Arial"/>
                <w:sz w:val="24"/>
                <w:szCs w:val="24"/>
              </w:rPr>
              <w:t>%)</w:t>
            </w:r>
          </w:p>
        </w:tc>
        <w:tc>
          <w:tcPr>
            <w:tcW w:w="883" w:type="pct"/>
            <w:tcBorders>
              <w:bottom w:val="single" w:sz="4" w:space="0" w:color="auto"/>
            </w:tcBorders>
          </w:tcPr>
          <w:p w14:paraId="65195232" w14:textId="08F46D06" w:rsidR="004E7075" w:rsidRPr="000971B9" w:rsidRDefault="0056628A" w:rsidP="0056628A">
            <w:pPr>
              <w:jc w:val="right"/>
              <w:rPr>
                <w:rFonts w:ascii="Arial" w:hAnsi="Arial" w:cs="Arial"/>
                <w:sz w:val="24"/>
                <w:szCs w:val="24"/>
              </w:rPr>
            </w:pPr>
            <w:r>
              <w:rPr>
                <w:rFonts w:ascii="Arial" w:hAnsi="Arial" w:cs="Arial"/>
                <w:sz w:val="24"/>
                <w:szCs w:val="24"/>
              </w:rPr>
              <w:t>+1.1</w:t>
            </w:r>
            <w:r w:rsidR="00EB6D92">
              <w:rPr>
                <w:rFonts w:ascii="Arial" w:hAnsi="Arial" w:cs="Arial"/>
                <w:sz w:val="24"/>
                <w:szCs w:val="24"/>
              </w:rPr>
              <w:t>%</w:t>
            </w:r>
          </w:p>
        </w:tc>
        <w:tc>
          <w:tcPr>
            <w:tcW w:w="525" w:type="pct"/>
            <w:tcBorders>
              <w:bottom w:val="single" w:sz="4" w:space="0" w:color="auto"/>
            </w:tcBorders>
          </w:tcPr>
          <w:p w14:paraId="17732D05" w14:textId="08BF531F" w:rsidR="004E7075" w:rsidRPr="000971B9" w:rsidRDefault="0056628A" w:rsidP="0056628A">
            <w:pPr>
              <w:jc w:val="right"/>
              <w:rPr>
                <w:rFonts w:ascii="Arial" w:hAnsi="Arial" w:cs="Arial"/>
                <w:sz w:val="24"/>
                <w:szCs w:val="24"/>
              </w:rPr>
            </w:pPr>
            <w:r>
              <w:rPr>
                <w:rFonts w:ascii="Arial" w:hAnsi="Arial" w:cs="Arial"/>
                <w:sz w:val="24"/>
                <w:szCs w:val="24"/>
              </w:rPr>
              <w:t>(</w:t>
            </w:r>
            <w:r w:rsidR="00EB6D92">
              <w:rPr>
                <w:rFonts w:ascii="Arial" w:hAnsi="Arial" w:cs="Arial"/>
                <w:sz w:val="24"/>
                <w:szCs w:val="24"/>
              </w:rPr>
              <w:t>0.</w:t>
            </w:r>
            <w:r>
              <w:rPr>
                <w:rFonts w:ascii="Arial" w:hAnsi="Arial" w:cs="Arial"/>
                <w:sz w:val="24"/>
                <w:szCs w:val="24"/>
              </w:rPr>
              <w:t>3)</w:t>
            </w:r>
            <w:r w:rsidR="00EB6D92">
              <w:rPr>
                <w:rFonts w:ascii="Arial" w:hAnsi="Arial" w:cs="Arial"/>
                <w:sz w:val="24"/>
                <w:szCs w:val="24"/>
              </w:rPr>
              <w:t>%</w:t>
            </w:r>
          </w:p>
        </w:tc>
      </w:tr>
      <w:tr w:rsidR="004E7075" w:rsidRPr="000971B9" w14:paraId="45AD010C" w14:textId="77777777" w:rsidTr="004E7075">
        <w:trPr>
          <w:gridAfter w:val="1"/>
          <w:wAfter w:w="525" w:type="pct"/>
        </w:trPr>
        <w:tc>
          <w:tcPr>
            <w:tcW w:w="1251" w:type="pct"/>
            <w:tcBorders>
              <w:top w:val="nil"/>
              <w:left w:val="nil"/>
              <w:bottom w:val="single" w:sz="4" w:space="0" w:color="auto"/>
              <w:right w:val="nil"/>
            </w:tcBorders>
          </w:tcPr>
          <w:p w14:paraId="27EAC0A4" w14:textId="77777777" w:rsidR="004E7075" w:rsidRPr="004E7075" w:rsidRDefault="004E7075" w:rsidP="004E7075">
            <w:pPr>
              <w:rPr>
                <w:rFonts w:ascii="Arial" w:hAnsi="Arial" w:cs="Arial"/>
                <w:bCs/>
                <w:sz w:val="24"/>
                <w:szCs w:val="24"/>
              </w:rPr>
            </w:pPr>
          </w:p>
        </w:tc>
        <w:tc>
          <w:tcPr>
            <w:tcW w:w="793" w:type="pct"/>
            <w:tcBorders>
              <w:top w:val="nil"/>
              <w:left w:val="nil"/>
              <w:bottom w:val="single" w:sz="4" w:space="0" w:color="auto"/>
              <w:right w:val="nil"/>
            </w:tcBorders>
          </w:tcPr>
          <w:p w14:paraId="73ED0B8C" w14:textId="77777777" w:rsidR="004E7075" w:rsidRPr="000971B9" w:rsidRDefault="004E7075" w:rsidP="00317387">
            <w:pPr>
              <w:jc w:val="right"/>
              <w:rPr>
                <w:rFonts w:ascii="Arial" w:hAnsi="Arial" w:cs="Arial"/>
                <w:sz w:val="24"/>
                <w:szCs w:val="24"/>
              </w:rPr>
            </w:pPr>
          </w:p>
        </w:tc>
        <w:tc>
          <w:tcPr>
            <w:tcW w:w="652" w:type="pct"/>
            <w:tcBorders>
              <w:top w:val="nil"/>
              <w:left w:val="nil"/>
              <w:bottom w:val="single" w:sz="4" w:space="0" w:color="auto"/>
              <w:right w:val="nil"/>
            </w:tcBorders>
          </w:tcPr>
          <w:p w14:paraId="67E0EDFF" w14:textId="77777777" w:rsidR="004E7075" w:rsidRPr="000971B9" w:rsidRDefault="004E7075" w:rsidP="00317387">
            <w:pPr>
              <w:jc w:val="right"/>
              <w:rPr>
                <w:rFonts w:ascii="Arial" w:hAnsi="Arial" w:cs="Arial"/>
                <w:sz w:val="24"/>
                <w:szCs w:val="24"/>
              </w:rPr>
            </w:pPr>
          </w:p>
        </w:tc>
        <w:tc>
          <w:tcPr>
            <w:tcW w:w="896" w:type="pct"/>
            <w:tcBorders>
              <w:top w:val="nil"/>
              <w:left w:val="nil"/>
              <w:bottom w:val="single" w:sz="4" w:space="0" w:color="auto"/>
              <w:right w:val="nil"/>
            </w:tcBorders>
          </w:tcPr>
          <w:p w14:paraId="3B173E75" w14:textId="77777777" w:rsidR="004E7075" w:rsidRPr="000971B9" w:rsidRDefault="004E7075" w:rsidP="00317387">
            <w:pPr>
              <w:jc w:val="right"/>
              <w:rPr>
                <w:rFonts w:ascii="Arial" w:hAnsi="Arial" w:cs="Arial"/>
                <w:sz w:val="24"/>
                <w:szCs w:val="24"/>
              </w:rPr>
            </w:pPr>
          </w:p>
        </w:tc>
        <w:tc>
          <w:tcPr>
            <w:tcW w:w="883" w:type="pct"/>
            <w:tcBorders>
              <w:top w:val="nil"/>
              <w:left w:val="nil"/>
              <w:bottom w:val="single" w:sz="4" w:space="0" w:color="auto"/>
              <w:right w:val="nil"/>
            </w:tcBorders>
          </w:tcPr>
          <w:p w14:paraId="05C3DAC9" w14:textId="77777777" w:rsidR="004E7075" w:rsidRPr="000971B9" w:rsidRDefault="004E7075" w:rsidP="00317387">
            <w:pPr>
              <w:jc w:val="right"/>
              <w:rPr>
                <w:rFonts w:ascii="Arial" w:hAnsi="Arial" w:cs="Arial"/>
                <w:sz w:val="24"/>
                <w:szCs w:val="24"/>
              </w:rPr>
            </w:pPr>
          </w:p>
        </w:tc>
      </w:tr>
      <w:tr w:rsidR="004E7075" w:rsidRPr="000971B9" w14:paraId="151BC40B" w14:textId="77777777" w:rsidTr="004E7075">
        <w:trPr>
          <w:gridAfter w:val="1"/>
          <w:wAfter w:w="525" w:type="pct"/>
        </w:trPr>
        <w:tc>
          <w:tcPr>
            <w:tcW w:w="1251" w:type="pct"/>
            <w:tcBorders>
              <w:top w:val="single" w:sz="4" w:space="0" w:color="auto"/>
            </w:tcBorders>
          </w:tcPr>
          <w:p w14:paraId="1BFA0A4F" w14:textId="6441C4DF" w:rsidR="004E7075" w:rsidRPr="004E7075" w:rsidRDefault="004E7075" w:rsidP="004E7075">
            <w:pPr>
              <w:rPr>
                <w:rFonts w:ascii="Arial" w:hAnsi="Arial" w:cs="Arial"/>
                <w:b/>
                <w:sz w:val="24"/>
                <w:szCs w:val="24"/>
              </w:rPr>
            </w:pPr>
            <w:r w:rsidRPr="004E7075">
              <w:rPr>
                <w:rFonts w:ascii="Arial" w:hAnsi="Arial" w:cs="Arial"/>
                <w:b/>
                <w:bCs/>
                <w:sz w:val="24"/>
                <w:szCs w:val="24"/>
              </w:rPr>
              <w:t>Retail profit</w:t>
            </w:r>
          </w:p>
        </w:tc>
        <w:tc>
          <w:tcPr>
            <w:tcW w:w="793" w:type="pct"/>
            <w:tcBorders>
              <w:top w:val="single" w:sz="4" w:space="0" w:color="auto"/>
            </w:tcBorders>
          </w:tcPr>
          <w:p w14:paraId="626A3397" w14:textId="0A6F1012" w:rsidR="004E7075" w:rsidRPr="000971B9" w:rsidRDefault="0056628A" w:rsidP="00317387">
            <w:pPr>
              <w:jc w:val="right"/>
              <w:rPr>
                <w:rFonts w:ascii="Arial" w:hAnsi="Arial" w:cs="Arial"/>
                <w:sz w:val="24"/>
                <w:szCs w:val="24"/>
              </w:rPr>
            </w:pPr>
            <w:r>
              <w:rPr>
                <w:rFonts w:ascii="Arial" w:hAnsi="Arial" w:cs="Arial"/>
                <w:sz w:val="24"/>
                <w:szCs w:val="24"/>
              </w:rPr>
              <w:t>167</w:t>
            </w:r>
          </w:p>
        </w:tc>
        <w:tc>
          <w:tcPr>
            <w:tcW w:w="652" w:type="pct"/>
            <w:tcBorders>
              <w:top w:val="single" w:sz="4" w:space="0" w:color="auto"/>
            </w:tcBorders>
          </w:tcPr>
          <w:p w14:paraId="1F4A1F38" w14:textId="16A02855" w:rsidR="004E7075" w:rsidRPr="000971B9" w:rsidRDefault="0056628A" w:rsidP="00317387">
            <w:pPr>
              <w:jc w:val="right"/>
              <w:rPr>
                <w:rFonts w:ascii="Arial" w:hAnsi="Arial" w:cs="Arial"/>
                <w:sz w:val="24"/>
                <w:szCs w:val="24"/>
              </w:rPr>
            </w:pPr>
            <w:r>
              <w:rPr>
                <w:rFonts w:ascii="Arial" w:hAnsi="Arial" w:cs="Arial"/>
                <w:sz w:val="24"/>
                <w:szCs w:val="24"/>
              </w:rPr>
              <w:t>200</w:t>
            </w:r>
          </w:p>
        </w:tc>
        <w:tc>
          <w:tcPr>
            <w:tcW w:w="896" w:type="pct"/>
            <w:tcBorders>
              <w:top w:val="single" w:sz="4" w:space="0" w:color="auto"/>
            </w:tcBorders>
          </w:tcPr>
          <w:p w14:paraId="799C6861" w14:textId="5A17EE03" w:rsidR="004E7075" w:rsidRPr="000971B9" w:rsidRDefault="0056628A" w:rsidP="0056628A">
            <w:pPr>
              <w:jc w:val="right"/>
              <w:rPr>
                <w:rFonts w:ascii="Arial" w:hAnsi="Arial" w:cs="Arial"/>
                <w:sz w:val="24"/>
                <w:szCs w:val="24"/>
              </w:rPr>
            </w:pPr>
            <w:r>
              <w:rPr>
                <w:rFonts w:ascii="Arial" w:hAnsi="Arial" w:cs="Arial"/>
                <w:sz w:val="24"/>
                <w:szCs w:val="24"/>
              </w:rPr>
              <w:t>(16.4)%</w:t>
            </w:r>
          </w:p>
        </w:tc>
        <w:tc>
          <w:tcPr>
            <w:tcW w:w="883" w:type="pct"/>
            <w:tcBorders>
              <w:top w:val="single" w:sz="4" w:space="0" w:color="auto"/>
            </w:tcBorders>
          </w:tcPr>
          <w:p w14:paraId="005D448F" w14:textId="14BF0426" w:rsidR="004E7075" w:rsidRPr="000971B9" w:rsidRDefault="0056628A" w:rsidP="0056628A">
            <w:pPr>
              <w:jc w:val="right"/>
              <w:rPr>
                <w:rFonts w:ascii="Arial" w:hAnsi="Arial" w:cs="Arial"/>
                <w:sz w:val="24"/>
                <w:szCs w:val="24"/>
              </w:rPr>
            </w:pPr>
            <w:r>
              <w:rPr>
                <w:rFonts w:ascii="Arial" w:hAnsi="Arial" w:cs="Arial"/>
                <w:sz w:val="24"/>
                <w:szCs w:val="24"/>
              </w:rPr>
              <w:t>(5.7)%</w:t>
            </w:r>
          </w:p>
        </w:tc>
      </w:tr>
    </w:tbl>
    <w:p w14:paraId="5660C667" w14:textId="77777777" w:rsidR="004E7075" w:rsidRDefault="004E7075" w:rsidP="001B3B55">
      <w:pPr>
        <w:jc w:val="left"/>
        <w:rPr>
          <w:rFonts w:ascii="Arial" w:hAnsi="Arial" w:cs="Arial"/>
          <w:b/>
          <w:bCs/>
          <w:sz w:val="24"/>
          <w:szCs w:val="24"/>
        </w:rPr>
      </w:pPr>
    </w:p>
    <w:p w14:paraId="59A83FA6" w14:textId="77777777" w:rsidR="004E7075" w:rsidRPr="000971B9" w:rsidRDefault="004E7075" w:rsidP="001B3B55">
      <w:pPr>
        <w:jc w:val="left"/>
        <w:rPr>
          <w:rFonts w:ascii="Arial" w:hAnsi="Arial" w:cs="Arial"/>
          <w:b/>
          <w:bCs/>
          <w:sz w:val="24"/>
          <w:szCs w:val="24"/>
        </w:rPr>
      </w:pPr>
    </w:p>
    <w:p w14:paraId="22998233" w14:textId="0D32515F" w:rsidR="005721EA" w:rsidRDefault="00BC059C" w:rsidP="001B3B55">
      <w:pPr>
        <w:jc w:val="left"/>
        <w:rPr>
          <w:rFonts w:ascii="Arial" w:hAnsi="Arial" w:cs="Arial"/>
          <w:bCs/>
          <w:sz w:val="24"/>
          <w:szCs w:val="24"/>
        </w:rPr>
      </w:pPr>
      <w:r w:rsidRPr="000971B9">
        <w:rPr>
          <w:rFonts w:ascii="Arial" w:hAnsi="Arial" w:cs="Arial"/>
          <w:bCs/>
          <w:sz w:val="24"/>
          <w:szCs w:val="24"/>
        </w:rPr>
        <w:t>Kin</w:t>
      </w:r>
      <w:r w:rsidR="00B02528" w:rsidRPr="000971B9">
        <w:rPr>
          <w:rFonts w:ascii="Arial" w:hAnsi="Arial" w:cs="Arial"/>
          <w:bCs/>
          <w:sz w:val="24"/>
          <w:szCs w:val="24"/>
        </w:rPr>
        <w:t xml:space="preserve">gfisher France sales </w:t>
      </w:r>
      <w:r w:rsidR="00E71B3C">
        <w:rPr>
          <w:rFonts w:ascii="Arial" w:hAnsi="Arial" w:cs="Arial"/>
          <w:bCs/>
          <w:sz w:val="24"/>
          <w:szCs w:val="24"/>
        </w:rPr>
        <w:t>increased</w:t>
      </w:r>
      <w:r w:rsidR="005721EA">
        <w:rPr>
          <w:rFonts w:ascii="Arial" w:hAnsi="Arial" w:cs="Arial"/>
          <w:bCs/>
          <w:sz w:val="24"/>
          <w:szCs w:val="24"/>
        </w:rPr>
        <w:t xml:space="preserve"> </w:t>
      </w:r>
      <w:r w:rsidR="00E71B3C">
        <w:rPr>
          <w:rFonts w:ascii="Arial" w:hAnsi="Arial" w:cs="Arial"/>
          <w:bCs/>
          <w:sz w:val="24"/>
          <w:szCs w:val="24"/>
        </w:rPr>
        <w:t>by 1.1</w:t>
      </w:r>
      <w:r w:rsidR="00C92A47">
        <w:rPr>
          <w:rFonts w:ascii="Arial" w:hAnsi="Arial" w:cs="Arial"/>
          <w:bCs/>
          <w:sz w:val="24"/>
          <w:szCs w:val="24"/>
        </w:rPr>
        <w:t>% (</w:t>
      </w:r>
      <w:r w:rsidR="00E71B3C">
        <w:rPr>
          <w:rFonts w:ascii="Arial" w:hAnsi="Arial" w:cs="Arial"/>
          <w:bCs/>
          <w:sz w:val="24"/>
          <w:szCs w:val="24"/>
        </w:rPr>
        <w:t>-0.3</w:t>
      </w:r>
      <w:r w:rsidR="00C92A47">
        <w:rPr>
          <w:rFonts w:ascii="Arial" w:hAnsi="Arial" w:cs="Arial"/>
          <w:bCs/>
          <w:sz w:val="24"/>
          <w:szCs w:val="24"/>
        </w:rPr>
        <w:t>% LFL) to £</w:t>
      </w:r>
      <w:r w:rsidR="00E71B3C">
        <w:rPr>
          <w:rFonts w:ascii="Arial" w:hAnsi="Arial" w:cs="Arial"/>
          <w:bCs/>
          <w:sz w:val="24"/>
          <w:szCs w:val="24"/>
        </w:rPr>
        <w:t>1</w:t>
      </w:r>
      <w:r w:rsidR="004D3559">
        <w:rPr>
          <w:rFonts w:ascii="Arial" w:hAnsi="Arial" w:cs="Arial"/>
          <w:bCs/>
          <w:sz w:val="24"/>
          <w:szCs w:val="24"/>
        </w:rPr>
        <w:t>,</w:t>
      </w:r>
      <w:r w:rsidR="00E71B3C">
        <w:rPr>
          <w:rFonts w:ascii="Arial" w:hAnsi="Arial" w:cs="Arial"/>
          <w:bCs/>
          <w:sz w:val="24"/>
          <w:szCs w:val="24"/>
        </w:rPr>
        <w:t>976</w:t>
      </w:r>
      <w:r w:rsidR="00C92A47">
        <w:rPr>
          <w:rFonts w:ascii="Arial" w:hAnsi="Arial" w:cs="Arial"/>
          <w:bCs/>
          <w:sz w:val="24"/>
          <w:szCs w:val="24"/>
        </w:rPr>
        <w:t xml:space="preserve"> million </w:t>
      </w:r>
      <w:r w:rsidR="00C92A47" w:rsidRPr="00B906AB">
        <w:rPr>
          <w:rFonts w:ascii="Arial" w:hAnsi="Arial" w:cs="Arial"/>
          <w:bCs/>
          <w:sz w:val="24"/>
          <w:szCs w:val="24"/>
        </w:rPr>
        <w:t xml:space="preserve">in </w:t>
      </w:r>
      <w:r w:rsidR="00E71B3C" w:rsidRPr="00B906AB">
        <w:rPr>
          <w:rFonts w:ascii="Arial" w:hAnsi="Arial" w:cs="Arial"/>
          <w:bCs/>
          <w:sz w:val="24"/>
          <w:szCs w:val="24"/>
        </w:rPr>
        <w:t xml:space="preserve">a </w:t>
      </w:r>
      <w:r w:rsidR="00277DC8">
        <w:rPr>
          <w:rFonts w:ascii="Arial" w:hAnsi="Arial" w:cs="Arial"/>
          <w:bCs/>
          <w:sz w:val="24"/>
          <w:szCs w:val="24"/>
        </w:rPr>
        <w:t xml:space="preserve">broadly flat </w:t>
      </w:r>
      <w:r w:rsidR="00B906AB">
        <w:rPr>
          <w:rFonts w:ascii="Arial" w:hAnsi="Arial" w:cs="Arial"/>
          <w:bCs/>
          <w:sz w:val="24"/>
          <w:szCs w:val="24"/>
        </w:rPr>
        <w:t xml:space="preserve">market </w:t>
      </w:r>
      <w:r w:rsidR="00277DC8">
        <w:rPr>
          <w:rFonts w:ascii="Arial" w:hAnsi="Arial" w:cs="Arial"/>
          <w:bCs/>
          <w:sz w:val="24"/>
          <w:szCs w:val="24"/>
        </w:rPr>
        <w:t xml:space="preserve">impacted by ongoing weak consumer confidence and a declining housing and construction market. </w:t>
      </w:r>
      <w:r w:rsidR="003840E9">
        <w:rPr>
          <w:rFonts w:ascii="Arial" w:hAnsi="Arial" w:cs="Arial"/>
          <w:bCs/>
          <w:sz w:val="24"/>
          <w:szCs w:val="24"/>
        </w:rPr>
        <w:t xml:space="preserve"> </w:t>
      </w:r>
      <w:r w:rsidR="00C92A47">
        <w:rPr>
          <w:rFonts w:ascii="Arial" w:hAnsi="Arial" w:cs="Arial"/>
          <w:bCs/>
          <w:sz w:val="24"/>
          <w:szCs w:val="24"/>
        </w:rPr>
        <w:t xml:space="preserve"> </w:t>
      </w:r>
    </w:p>
    <w:p w14:paraId="76249D3D" w14:textId="77777777" w:rsidR="00C92A47" w:rsidRDefault="00C92A47" w:rsidP="001B3B55">
      <w:pPr>
        <w:jc w:val="left"/>
        <w:rPr>
          <w:rFonts w:ascii="Arial" w:hAnsi="Arial" w:cs="Arial"/>
          <w:bCs/>
          <w:sz w:val="24"/>
          <w:szCs w:val="24"/>
        </w:rPr>
      </w:pPr>
    </w:p>
    <w:p w14:paraId="75B12EA2" w14:textId="4250E53C" w:rsidR="00C92A47" w:rsidRPr="00181D50" w:rsidRDefault="00C92A47" w:rsidP="001B3B55">
      <w:pPr>
        <w:jc w:val="left"/>
        <w:rPr>
          <w:rFonts w:ascii="Arial" w:hAnsi="Arial" w:cs="Arial"/>
          <w:bCs/>
          <w:sz w:val="24"/>
          <w:szCs w:val="24"/>
        </w:rPr>
      </w:pPr>
      <w:r w:rsidRPr="007E7642">
        <w:rPr>
          <w:rFonts w:ascii="Arial" w:hAnsi="Arial" w:cs="Arial"/>
          <w:bCs/>
          <w:sz w:val="24"/>
          <w:szCs w:val="24"/>
        </w:rPr>
        <w:t xml:space="preserve">Across the two businesses, </w:t>
      </w:r>
      <w:r w:rsidR="00444EF4">
        <w:rPr>
          <w:rFonts w:ascii="Arial" w:hAnsi="Arial" w:cs="Arial"/>
          <w:bCs/>
          <w:sz w:val="24"/>
          <w:szCs w:val="24"/>
        </w:rPr>
        <w:t>one</w:t>
      </w:r>
      <w:r w:rsidR="00932F2E" w:rsidRPr="007E7642">
        <w:rPr>
          <w:rFonts w:ascii="Arial" w:hAnsi="Arial" w:cs="Arial"/>
          <w:bCs/>
          <w:sz w:val="24"/>
          <w:szCs w:val="24"/>
        </w:rPr>
        <w:t xml:space="preserve"> net new store w</w:t>
      </w:r>
      <w:r w:rsidR="00444EF4">
        <w:rPr>
          <w:rFonts w:ascii="Arial" w:hAnsi="Arial" w:cs="Arial"/>
          <w:bCs/>
          <w:sz w:val="24"/>
          <w:szCs w:val="24"/>
        </w:rPr>
        <w:t>as opened and one was</w:t>
      </w:r>
      <w:r w:rsidR="00932F2E" w:rsidRPr="007E7642">
        <w:rPr>
          <w:rFonts w:ascii="Arial" w:hAnsi="Arial" w:cs="Arial"/>
          <w:bCs/>
          <w:sz w:val="24"/>
          <w:szCs w:val="24"/>
        </w:rPr>
        <w:t xml:space="preserve"> revamped, adding around </w:t>
      </w:r>
      <w:r w:rsidR="00444EF4">
        <w:rPr>
          <w:rFonts w:ascii="Arial" w:hAnsi="Arial" w:cs="Arial"/>
          <w:bCs/>
          <w:sz w:val="24"/>
          <w:szCs w:val="24"/>
        </w:rPr>
        <w:t>1</w:t>
      </w:r>
      <w:r w:rsidR="00932F2E" w:rsidRPr="007E7642">
        <w:rPr>
          <w:rFonts w:ascii="Arial" w:hAnsi="Arial" w:cs="Arial"/>
          <w:bCs/>
          <w:sz w:val="24"/>
          <w:szCs w:val="24"/>
        </w:rPr>
        <w:t>%</w:t>
      </w:r>
      <w:r w:rsidR="00444EF4">
        <w:rPr>
          <w:rFonts w:ascii="Arial" w:hAnsi="Arial" w:cs="Arial"/>
          <w:bCs/>
          <w:sz w:val="24"/>
          <w:szCs w:val="24"/>
        </w:rPr>
        <w:t xml:space="preserve"> </w:t>
      </w:r>
      <w:r w:rsidR="00932F2E" w:rsidRPr="007E7642">
        <w:rPr>
          <w:rFonts w:ascii="Arial" w:hAnsi="Arial" w:cs="Arial"/>
          <w:bCs/>
          <w:sz w:val="24"/>
          <w:szCs w:val="24"/>
        </w:rPr>
        <w:t xml:space="preserve">new space. </w:t>
      </w:r>
      <w:r w:rsidR="00435570" w:rsidRPr="007E7642">
        <w:rPr>
          <w:rFonts w:ascii="Arial" w:hAnsi="Arial" w:cs="Arial"/>
          <w:bCs/>
          <w:sz w:val="24"/>
          <w:szCs w:val="24"/>
        </w:rPr>
        <w:t xml:space="preserve">‘Click, pay &amp; collect’ </w:t>
      </w:r>
      <w:proofErr w:type="spellStart"/>
      <w:r w:rsidR="00435570" w:rsidRPr="007E7642">
        <w:rPr>
          <w:rFonts w:ascii="Arial" w:hAnsi="Arial" w:cs="Arial"/>
          <w:bCs/>
          <w:sz w:val="24"/>
          <w:szCs w:val="24"/>
        </w:rPr>
        <w:t>omnichannel</w:t>
      </w:r>
      <w:proofErr w:type="spellEnd"/>
      <w:r w:rsidR="00435570" w:rsidRPr="007E7642">
        <w:rPr>
          <w:rFonts w:ascii="Arial" w:hAnsi="Arial" w:cs="Arial"/>
          <w:bCs/>
          <w:sz w:val="24"/>
          <w:szCs w:val="24"/>
        </w:rPr>
        <w:t xml:space="preserve"> capability </w:t>
      </w:r>
      <w:r w:rsidR="00DA44A8" w:rsidRPr="007E7642">
        <w:rPr>
          <w:rFonts w:ascii="Arial" w:hAnsi="Arial" w:cs="Arial"/>
          <w:bCs/>
          <w:sz w:val="24"/>
          <w:szCs w:val="24"/>
        </w:rPr>
        <w:t>ha</w:t>
      </w:r>
      <w:r w:rsidR="00181D50" w:rsidRPr="007E7642">
        <w:rPr>
          <w:rFonts w:ascii="Arial" w:hAnsi="Arial" w:cs="Arial"/>
          <w:bCs/>
          <w:sz w:val="24"/>
          <w:szCs w:val="24"/>
        </w:rPr>
        <w:t>s</w:t>
      </w:r>
      <w:r w:rsidR="00DA44A8" w:rsidRPr="007E7642">
        <w:rPr>
          <w:rFonts w:ascii="Arial" w:hAnsi="Arial" w:cs="Arial"/>
          <w:bCs/>
          <w:sz w:val="24"/>
          <w:szCs w:val="24"/>
        </w:rPr>
        <w:t xml:space="preserve"> </w:t>
      </w:r>
      <w:r w:rsidR="00EC604E">
        <w:rPr>
          <w:rFonts w:ascii="Arial" w:hAnsi="Arial" w:cs="Arial"/>
          <w:bCs/>
          <w:sz w:val="24"/>
          <w:szCs w:val="24"/>
        </w:rPr>
        <w:t xml:space="preserve">now </w:t>
      </w:r>
      <w:r w:rsidR="00DA44A8" w:rsidRPr="007E7642">
        <w:rPr>
          <w:rFonts w:ascii="Arial" w:hAnsi="Arial" w:cs="Arial"/>
          <w:bCs/>
          <w:sz w:val="24"/>
          <w:szCs w:val="24"/>
        </w:rPr>
        <w:t>been</w:t>
      </w:r>
      <w:r w:rsidR="00435570" w:rsidRPr="007E7642">
        <w:rPr>
          <w:rFonts w:ascii="Arial" w:hAnsi="Arial" w:cs="Arial"/>
          <w:bCs/>
          <w:sz w:val="24"/>
          <w:szCs w:val="24"/>
        </w:rPr>
        <w:t xml:space="preserve"> rolled out to</w:t>
      </w:r>
      <w:r w:rsidR="00B63B5B" w:rsidRPr="007E7642">
        <w:rPr>
          <w:rFonts w:ascii="Arial" w:hAnsi="Arial" w:cs="Arial"/>
          <w:bCs/>
          <w:sz w:val="24"/>
          <w:szCs w:val="24"/>
        </w:rPr>
        <w:t xml:space="preserve"> </w:t>
      </w:r>
      <w:r w:rsidR="00B70065">
        <w:rPr>
          <w:rFonts w:ascii="Arial" w:hAnsi="Arial" w:cs="Arial"/>
          <w:bCs/>
          <w:sz w:val="24"/>
          <w:szCs w:val="24"/>
        </w:rPr>
        <w:t>131</w:t>
      </w:r>
      <w:r w:rsidR="00435570" w:rsidRPr="007E7642">
        <w:rPr>
          <w:rFonts w:ascii="Arial" w:hAnsi="Arial" w:cs="Arial"/>
          <w:bCs/>
          <w:sz w:val="24"/>
          <w:szCs w:val="24"/>
        </w:rPr>
        <w:t xml:space="preserve"> stores</w:t>
      </w:r>
      <w:r w:rsidR="00277DC8">
        <w:rPr>
          <w:rFonts w:ascii="Arial" w:hAnsi="Arial" w:cs="Arial"/>
          <w:bCs/>
          <w:sz w:val="24"/>
          <w:szCs w:val="24"/>
        </w:rPr>
        <w:t>, up from 34 at year end</w:t>
      </w:r>
      <w:r w:rsidR="00FB41EA" w:rsidRPr="007E7642">
        <w:rPr>
          <w:rFonts w:ascii="Arial" w:hAnsi="Arial" w:cs="Arial"/>
          <w:bCs/>
          <w:sz w:val="24"/>
          <w:szCs w:val="24"/>
        </w:rPr>
        <w:t>.</w:t>
      </w:r>
    </w:p>
    <w:p w14:paraId="2956F843" w14:textId="77777777" w:rsidR="00FA1FDE" w:rsidRPr="00181D50" w:rsidRDefault="00FA1FDE" w:rsidP="001B3B55">
      <w:pPr>
        <w:jc w:val="left"/>
        <w:rPr>
          <w:rFonts w:ascii="Arial" w:hAnsi="Arial" w:cs="Arial"/>
          <w:bCs/>
          <w:sz w:val="24"/>
          <w:szCs w:val="24"/>
        </w:rPr>
      </w:pPr>
    </w:p>
    <w:p w14:paraId="087EDC1D" w14:textId="5DA0FFAB" w:rsidR="00B02528" w:rsidRPr="002D531F" w:rsidRDefault="00B02528" w:rsidP="001B3B55">
      <w:pPr>
        <w:jc w:val="left"/>
        <w:rPr>
          <w:rFonts w:ascii="Arial" w:hAnsi="Arial" w:cs="Arial"/>
          <w:bCs/>
          <w:sz w:val="24"/>
          <w:szCs w:val="24"/>
        </w:rPr>
      </w:pPr>
      <w:r w:rsidRPr="00444EF4">
        <w:rPr>
          <w:rFonts w:ascii="Arial" w:hAnsi="Arial" w:cs="Arial"/>
          <w:bCs/>
          <w:sz w:val="24"/>
          <w:szCs w:val="24"/>
        </w:rPr>
        <w:t xml:space="preserve">Gross margins were </w:t>
      </w:r>
      <w:r w:rsidR="00B906AB" w:rsidRPr="00444EF4">
        <w:rPr>
          <w:rFonts w:ascii="Arial" w:hAnsi="Arial" w:cs="Arial"/>
          <w:bCs/>
          <w:sz w:val="24"/>
          <w:szCs w:val="24"/>
        </w:rPr>
        <w:t>down 60</w:t>
      </w:r>
      <w:r w:rsidR="002D01E7" w:rsidRPr="00444EF4">
        <w:rPr>
          <w:rFonts w:ascii="Arial" w:hAnsi="Arial" w:cs="Arial"/>
          <w:bCs/>
          <w:sz w:val="24"/>
          <w:szCs w:val="24"/>
        </w:rPr>
        <w:t xml:space="preserve"> </w:t>
      </w:r>
      <w:r w:rsidRPr="00444EF4">
        <w:rPr>
          <w:rFonts w:ascii="Arial" w:hAnsi="Arial" w:cs="Arial"/>
          <w:bCs/>
          <w:sz w:val="24"/>
          <w:szCs w:val="24"/>
        </w:rPr>
        <w:t xml:space="preserve">basis points, </w:t>
      </w:r>
      <w:r w:rsidR="00444EF4" w:rsidRPr="00444EF4">
        <w:rPr>
          <w:rFonts w:ascii="Arial" w:hAnsi="Arial" w:cs="Arial"/>
          <w:bCs/>
          <w:sz w:val="24"/>
          <w:szCs w:val="24"/>
        </w:rPr>
        <w:t>largely</w:t>
      </w:r>
      <w:r w:rsidRPr="00444EF4">
        <w:rPr>
          <w:rFonts w:ascii="Arial" w:hAnsi="Arial" w:cs="Arial"/>
          <w:bCs/>
          <w:sz w:val="24"/>
          <w:szCs w:val="24"/>
        </w:rPr>
        <w:t xml:space="preserve"> </w:t>
      </w:r>
      <w:r w:rsidR="002D531F" w:rsidRPr="00444EF4">
        <w:rPr>
          <w:rFonts w:ascii="Arial" w:hAnsi="Arial" w:cs="Arial"/>
          <w:bCs/>
          <w:sz w:val="24"/>
          <w:szCs w:val="24"/>
        </w:rPr>
        <w:t xml:space="preserve">reflecting </w:t>
      </w:r>
      <w:r w:rsidR="00CE17E3">
        <w:rPr>
          <w:rFonts w:ascii="Arial" w:hAnsi="Arial" w:cs="Arial"/>
          <w:bCs/>
          <w:sz w:val="24"/>
          <w:szCs w:val="24"/>
        </w:rPr>
        <w:t>more</w:t>
      </w:r>
      <w:r w:rsidR="002D531F" w:rsidRPr="00444EF4">
        <w:rPr>
          <w:rFonts w:ascii="Arial" w:hAnsi="Arial" w:cs="Arial"/>
          <w:bCs/>
          <w:sz w:val="24"/>
          <w:szCs w:val="24"/>
        </w:rPr>
        <w:t xml:space="preserve"> price promotional </w:t>
      </w:r>
      <w:r w:rsidR="00670424">
        <w:rPr>
          <w:rFonts w:ascii="Arial" w:hAnsi="Arial" w:cs="Arial"/>
          <w:bCs/>
          <w:sz w:val="24"/>
          <w:szCs w:val="24"/>
        </w:rPr>
        <w:t>activity</w:t>
      </w:r>
      <w:r w:rsidR="00A13DB5" w:rsidRPr="00444EF4">
        <w:rPr>
          <w:rFonts w:ascii="Arial" w:hAnsi="Arial" w:cs="Arial"/>
          <w:bCs/>
          <w:sz w:val="24"/>
          <w:szCs w:val="24"/>
        </w:rPr>
        <w:t>.</w:t>
      </w:r>
      <w:r w:rsidR="00EA2F66" w:rsidRPr="00444EF4">
        <w:rPr>
          <w:rFonts w:ascii="Arial" w:hAnsi="Arial" w:cs="Arial"/>
          <w:bCs/>
          <w:sz w:val="24"/>
          <w:szCs w:val="24"/>
        </w:rPr>
        <w:t xml:space="preserve"> </w:t>
      </w:r>
      <w:r w:rsidR="00A13DB5" w:rsidRPr="00444EF4">
        <w:rPr>
          <w:rFonts w:ascii="Arial" w:hAnsi="Arial" w:cs="Arial"/>
          <w:bCs/>
          <w:sz w:val="24"/>
          <w:szCs w:val="24"/>
        </w:rPr>
        <w:t>Despite continued</w:t>
      </w:r>
      <w:r w:rsidRPr="00444EF4">
        <w:rPr>
          <w:rFonts w:ascii="Arial" w:hAnsi="Arial" w:cs="Arial"/>
          <w:bCs/>
          <w:sz w:val="24"/>
          <w:szCs w:val="24"/>
        </w:rPr>
        <w:t xml:space="preserve"> focu</w:t>
      </w:r>
      <w:r w:rsidR="00EA2F66" w:rsidRPr="00444EF4">
        <w:rPr>
          <w:rFonts w:ascii="Arial" w:hAnsi="Arial" w:cs="Arial"/>
          <w:bCs/>
          <w:sz w:val="24"/>
          <w:szCs w:val="24"/>
        </w:rPr>
        <w:t>s on cost control</w:t>
      </w:r>
      <w:r w:rsidR="00EA2F66" w:rsidRPr="002D531F">
        <w:rPr>
          <w:rFonts w:ascii="Arial" w:hAnsi="Arial" w:cs="Arial"/>
          <w:bCs/>
          <w:sz w:val="24"/>
          <w:szCs w:val="24"/>
        </w:rPr>
        <w:t xml:space="preserve"> </w:t>
      </w:r>
      <w:r w:rsidR="00A13DB5" w:rsidRPr="002D531F">
        <w:rPr>
          <w:rFonts w:ascii="Arial" w:hAnsi="Arial" w:cs="Arial"/>
          <w:bCs/>
          <w:sz w:val="24"/>
          <w:szCs w:val="24"/>
        </w:rPr>
        <w:t xml:space="preserve">retail profit declined by </w:t>
      </w:r>
      <w:r w:rsidR="00B906AB" w:rsidRPr="002D531F">
        <w:rPr>
          <w:rFonts w:ascii="Arial" w:hAnsi="Arial" w:cs="Arial"/>
          <w:bCs/>
          <w:sz w:val="24"/>
          <w:szCs w:val="24"/>
        </w:rPr>
        <w:t>5.7</w:t>
      </w:r>
      <w:r w:rsidR="00EA2F66" w:rsidRPr="002D531F">
        <w:rPr>
          <w:rFonts w:ascii="Arial" w:hAnsi="Arial" w:cs="Arial"/>
          <w:bCs/>
          <w:sz w:val="24"/>
          <w:szCs w:val="24"/>
        </w:rPr>
        <w:t>%</w:t>
      </w:r>
      <w:r w:rsidR="00A13DB5" w:rsidRPr="002D531F">
        <w:rPr>
          <w:rFonts w:ascii="Arial" w:hAnsi="Arial" w:cs="Arial"/>
          <w:bCs/>
          <w:sz w:val="24"/>
          <w:szCs w:val="24"/>
        </w:rPr>
        <w:t xml:space="preserve"> to £</w:t>
      </w:r>
      <w:r w:rsidR="00B906AB" w:rsidRPr="002D531F">
        <w:rPr>
          <w:rFonts w:ascii="Arial" w:hAnsi="Arial" w:cs="Arial"/>
          <w:bCs/>
          <w:sz w:val="24"/>
          <w:szCs w:val="24"/>
        </w:rPr>
        <w:t>167</w:t>
      </w:r>
      <w:r w:rsidR="00A13DB5" w:rsidRPr="002D531F">
        <w:rPr>
          <w:rFonts w:ascii="Arial" w:hAnsi="Arial" w:cs="Arial"/>
          <w:bCs/>
          <w:sz w:val="24"/>
          <w:szCs w:val="24"/>
        </w:rPr>
        <w:t xml:space="preserve"> million.</w:t>
      </w:r>
      <w:r w:rsidR="00EA2F66" w:rsidRPr="002D531F">
        <w:rPr>
          <w:rFonts w:ascii="Arial" w:hAnsi="Arial" w:cs="Arial"/>
          <w:bCs/>
          <w:sz w:val="24"/>
          <w:szCs w:val="24"/>
        </w:rPr>
        <w:t xml:space="preserve"> </w:t>
      </w:r>
      <w:r w:rsidRPr="002D531F">
        <w:rPr>
          <w:rFonts w:ascii="Arial" w:hAnsi="Arial" w:cs="Arial"/>
          <w:bCs/>
          <w:sz w:val="24"/>
          <w:szCs w:val="24"/>
        </w:rPr>
        <w:t xml:space="preserve"> </w:t>
      </w:r>
    </w:p>
    <w:p w14:paraId="05CEF9BD" w14:textId="77777777" w:rsidR="001B3B55" w:rsidRPr="004B173A" w:rsidRDefault="001B3B55" w:rsidP="001B3B55">
      <w:pPr>
        <w:jc w:val="left"/>
        <w:rPr>
          <w:rFonts w:ascii="Arial" w:hAnsi="Arial" w:cs="Arial"/>
          <w:color w:val="FF0000"/>
          <w:sz w:val="24"/>
          <w:szCs w:val="24"/>
          <w:highlight w:val="yellow"/>
        </w:rPr>
      </w:pPr>
    </w:p>
    <w:p w14:paraId="7F4EA052" w14:textId="0B6A8026" w:rsidR="00A13DB5" w:rsidRPr="00181D50" w:rsidRDefault="001B3B55" w:rsidP="00A13DB5">
      <w:pPr>
        <w:jc w:val="left"/>
        <w:rPr>
          <w:rFonts w:ascii="Arial" w:hAnsi="Arial" w:cs="Arial"/>
          <w:sz w:val="24"/>
          <w:szCs w:val="24"/>
        </w:rPr>
      </w:pPr>
      <w:proofErr w:type="spellStart"/>
      <w:r w:rsidRPr="00181D50">
        <w:rPr>
          <w:rFonts w:ascii="Arial" w:hAnsi="Arial" w:cs="Arial"/>
          <w:b/>
          <w:bCs/>
          <w:sz w:val="24"/>
          <w:szCs w:val="24"/>
        </w:rPr>
        <w:t>Castorama</w:t>
      </w:r>
      <w:proofErr w:type="spellEnd"/>
      <w:r w:rsidRPr="00181D50">
        <w:rPr>
          <w:rFonts w:ascii="Arial" w:hAnsi="Arial" w:cs="Arial"/>
          <w:sz w:val="24"/>
          <w:szCs w:val="24"/>
        </w:rPr>
        <w:t xml:space="preserve"> total sales </w:t>
      </w:r>
      <w:r w:rsidR="004D3559">
        <w:rPr>
          <w:rFonts w:ascii="Arial" w:hAnsi="Arial" w:cs="Arial"/>
          <w:sz w:val="24"/>
          <w:szCs w:val="24"/>
        </w:rPr>
        <w:t>increased slightly</w:t>
      </w:r>
      <w:r w:rsidR="004A6A71" w:rsidRPr="00181D50">
        <w:rPr>
          <w:rFonts w:ascii="Arial" w:hAnsi="Arial" w:cs="Arial"/>
          <w:sz w:val="24"/>
          <w:szCs w:val="24"/>
        </w:rPr>
        <w:t xml:space="preserve"> by </w:t>
      </w:r>
      <w:r w:rsidR="004D3559">
        <w:rPr>
          <w:rFonts w:ascii="Arial" w:hAnsi="Arial" w:cs="Arial"/>
          <w:sz w:val="24"/>
          <w:szCs w:val="24"/>
        </w:rPr>
        <w:t>0.1%</w:t>
      </w:r>
      <w:r w:rsidR="004A6A71" w:rsidRPr="00181D50">
        <w:rPr>
          <w:rFonts w:ascii="Arial" w:hAnsi="Arial" w:cs="Arial"/>
          <w:sz w:val="24"/>
          <w:szCs w:val="24"/>
        </w:rPr>
        <w:t xml:space="preserve"> (</w:t>
      </w:r>
      <w:r w:rsidR="004D3559">
        <w:rPr>
          <w:rFonts w:ascii="Arial" w:hAnsi="Arial" w:cs="Arial"/>
          <w:sz w:val="24"/>
          <w:szCs w:val="24"/>
        </w:rPr>
        <w:t>+0.2</w:t>
      </w:r>
      <w:r w:rsidR="004A6A71" w:rsidRPr="00181D50">
        <w:rPr>
          <w:rFonts w:ascii="Arial" w:hAnsi="Arial" w:cs="Arial"/>
          <w:sz w:val="24"/>
          <w:szCs w:val="24"/>
        </w:rPr>
        <w:t>% LFL) to £</w:t>
      </w:r>
      <w:r w:rsidR="004D3559">
        <w:rPr>
          <w:rFonts w:ascii="Arial" w:hAnsi="Arial" w:cs="Arial"/>
          <w:sz w:val="24"/>
          <w:szCs w:val="24"/>
        </w:rPr>
        <w:t>1,095</w:t>
      </w:r>
      <w:r w:rsidR="004A6A71" w:rsidRPr="00181D50">
        <w:rPr>
          <w:rFonts w:ascii="Arial" w:hAnsi="Arial" w:cs="Arial"/>
          <w:sz w:val="24"/>
          <w:szCs w:val="24"/>
        </w:rPr>
        <w:t xml:space="preserve"> million. According </w:t>
      </w:r>
      <w:r w:rsidR="00773548" w:rsidRPr="00181D50">
        <w:rPr>
          <w:rFonts w:ascii="Arial" w:hAnsi="Arial" w:cs="Arial"/>
          <w:sz w:val="24"/>
          <w:szCs w:val="24"/>
        </w:rPr>
        <w:t xml:space="preserve">to </w:t>
      </w:r>
      <w:proofErr w:type="spellStart"/>
      <w:r w:rsidR="00773548" w:rsidRPr="00181D50">
        <w:rPr>
          <w:rFonts w:ascii="Arial" w:hAnsi="Arial" w:cs="Arial"/>
          <w:sz w:val="24"/>
          <w:szCs w:val="24"/>
        </w:rPr>
        <w:t>Banque</w:t>
      </w:r>
      <w:proofErr w:type="spellEnd"/>
      <w:r w:rsidR="00773548" w:rsidRPr="00181D50">
        <w:rPr>
          <w:rFonts w:ascii="Arial" w:hAnsi="Arial" w:cs="Arial"/>
          <w:sz w:val="24"/>
          <w:szCs w:val="24"/>
        </w:rPr>
        <w:t xml:space="preserve"> d</w:t>
      </w:r>
      <w:r w:rsidR="00B835BF" w:rsidRPr="00181D50">
        <w:rPr>
          <w:rFonts w:ascii="Arial" w:hAnsi="Arial" w:cs="Arial"/>
          <w:sz w:val="24"/>
          <w:szCs w:val="24"/>
        </w:rPr>
        <w:t>e France data</w:t>
      </w:r>
      <w:r w:rsidR="00BE07B8" w:rsidRPr="00181D50">
        <w:rPr>
          <w:rFonts w:ascii="Arial" w:hAnsi="Arial" w:cs="Arial"/>
          <w:i/>
          <w:sz w:val="24"/>
          <w:szCs w:val="24"/>
          <w:vertAlign w:val="superscript"/>
        </w:rPr>
        <w:t>*</w:t>
      </w:r>
      <w:r w:rsidR="00B835BF" w:rsidRPr="00181D50">
        <w:rPr>
          <w:rFonts w:ascii="Arial" w:hAnsi="Arial" w:cs="Arial"/>
          <w:sz w:val="24"/>
          <w:szCs w:val="24"/>
        </w:rPr>
        <w:t>,</w:t>
      </w:r>
      <w:r w:rsidR="00773548" w:rsidRPr="00181D50">
        <w:rPr>
          <w:rFonts w:ascii="Arial" w:hAnsi="Arial" w:cs="Arial"/>
          <w:sz w:val="24"/>
          <w:szCs w:val="24"/>
        </w:rPr>
        <w:t xml:space="preserve"> sales for the home improvement market</w:t>
      </w:r>
      <w:r w:rsidR="00EA2F66" w:rsidRPr="00181D50">
        <w:rPr>
          <w:rFonts w:ascii="Arial" w:hAnsi="Arial" w:cs="Arial"/>
          <w:sz w:val="24"/>
          <w:szCs w:val="24"/>
        </w:rPr>
        <w:t xml:space="preserve"> were </w:t>
      </w:r>
      <w:r w:rsidR="007E7642">
        <w:rPr>
          <w:rFonts w:ascii="Arial" w:hAnsi="Arial" w:cs="Arial"/>
          <w:sz w:val="24"/>
          <w:szCs w:val="24"/>
        </w:rPr>
        <w:t>up 0.3</w:t>
      </w:r>
      <w:r w:rsidR="00773548" w:rsidRPr="00181D50">
        <w:rPr>
          <w:rFonts w:ascii="Arial" w:hAnsi="Arial" w:cs="Arial"/>
          <w:sz w:val="24"/>
          <w:szCs w:val="24"/>
        </w:rPr>
        <w:t>%.</w:t>
      </w:r>
      <w:r w:rsidR="00CE56B3" w:rsidRPr="00181D50">
        <w:rPr>
          <w:rFonts w:ascii="Arial" w:hAnsi="Arial" w:cs="Arial"/>
          <w:sz w:val="24"/>
          <w:szCs w:val="24"/>
        </w:rPr>
        <w:t xml:space="preserve"> </w:t>
      </w:r>
      <w:r w:rsidR="003B5CDA" w:rsidRPr="00181D50">
        <w:rPr>
          <w:rFonts w:ascii="Arial" w:hAnsi="Arial" w:cs="Arial"/>
          <w:sz w:val="24"/>
          <w:szCs w:val="24"/>
        </w:rPr>
        <w:t xml:space="preserve">LFL </w:t>
      </w:r>
      <w:r w:rsidR="00435570" w:rsidRPr="00181D50">
        <w:rPr>
          <w:rFonts w:ascii="Arial" w:hAnsi="Arial" w:cs="Arial"/>
          <w:sz w:val="24"/>
          <w:szCs w:val="24"/>
        </w:rPr>
        <w:t>s</w:t>
      </w:r>
      <w:r w:rsidR="004A6A71" w:rsidRPr="00181D50">
        <w:rPr>
          <w:rFonts w:ascii="Arial" w:hAnsi="Arial" w:cs="Arial"/>
          <w:sz w:val="24"/>
          <w:szCs w:val="24"/>
        </w:rPr>
        <w:t xml:space="preserve">ales of </w:t>
      </w:r>
      <w:r w:rsidR="00EF6C7F">
        <w:rPr>
          <w:rFonts w:ascii="Arial" w:hAnsi="Arial" w:cs="Arial"/>
          <w:sz w:val="24"/>
          <w:szCs w:val="24"/>
        </w:rPr>
        <w:t>outdoor</w:t>
      </w:r>
      <w:r w:rsidR="00B70065">
        <w:rPr>
          <w:rFonts w:ascii="Arial" w:hAnsi="Arial" w:cs="Arial"/>
          <w:sz w:val="24"/>
          <w:szCs w:val="24"/>
        </w:rPr>
        <w:t xml:space="preserve"> </w:t>
      </w:r>
      <w:r w:rsidR="007A1B03">
        <w:rPr>
          <w:rFonts w:ascii="Arial" w:hAnsi="Arial" w:cs="Arial"/>
          <w:sz w:val="24"/>
          <w:szCs w:val="24"/>
        </w:rPr>
        <w:t xml:space="preserve">seasonal </w:t>
      </w:r>
      <w:r w:rsidR="001A38A9" w:rsidRPr="00181D50">
        <w:rPr>
          <w:rFonts w:ascii="Arial" w:hAnsi="Arial" w:cs="Arial"/>
          <w:sz w:val="24"/>
          <w:szCs w:val="24"/>
        </w:rPr>
        <w:t xml:space="preserve">products were up </w:t>
      </w:r>
      <w:r w:rsidR="00EF6C7F">
        <w:rPr>
          <w:rFonts w:ascii="Arial" w:hAnsi="Arial" w:cs="Arial"/>
          <w:sz w:val="24"/>
          <w:szCs w:val="24"/>
        </w:rPr>
        <w:t>3</w:t>
      </w:r>
      <w:r w:rsidR="001A38A9" w:rsidRPr="00181D50">
        <w:rPr>
          <w:rFonts w:ascii="Arial" w:hAnsi="Arial" w:cs="Arial"/>
          <w:sz w:val="24"/>
          <w:szCs w:val="24"/>
        </w:rPr>
        <w:t>%</w:t>
      </w:r>
      <w:r w:rsidR="001F0AC0" w:rsidRPr="00181D50">
        <w:rPr>
          <w:rFonts w:ascii="Arial" w:hAnsi="Arial" w:cs="Arial"/>
          <w:sz w:val="24"/>
          <w:szCs w:val="24"/>
        </w:rPr>
        <w:t xml:space="preserve"> and </w:t>
      </w:r>
      <w:r w:rsidR="00EF6C7F">
        <w:rPr>
          <w:rFonts w:ascii="Arial" w:hAnsi="Arial" w:cs="Arial"/>
          <w:sz w:val="24"/>
          <w:szCs w:val="24"/>
        </w:rPr>
        <w:t xml:space="preserve">sales of indoor and building products broadly flat. </w:t>
      </w:r>
      <w:r w:rsidR="00444EF4">
        <w:rPr>
          <w:rFonts w:ascii="Arial" w:hAnsi="Arial" w:cs="Arial"/>
          <w:sz w:val="24"/>
          <w:szCs w:val="24"/>
        </w:rPr>
        <w:t xml:space="preserve"> </w:t>
      </w:r>
    </w:p>
    <w:p w14:paraId="066957A3" w14:textId="77777777" w:rsidR="001B3B55" w:rsidRPr="004B173A" w:rsidRDefault="001B3B55" w:rsidP="001B3B55">
      <w:pPr>
        <w:jc w:val="left"/>
        <w:rPr>
          <w:rFonts w:ascii="Arial" w:hAnsi="Arial" w:cs="Arial"/>
          <w:color w:val="FF0000"/>
          <w:sz w:val="24"/>
          <w:szCs w:val="24"/>
          <w:highlight w:val="yellow"/>
        </w:rPr>
      </w:pPr>
    </w:p>
    <w:p w14:paraId="1253C6C8" w14:textId="794C4EEC" w:rsidR="00094F50" w:rsidRDefault="001B3B55" w:rsidP="001B3B55">
      <w:pPr>
        <w:jc w:val="left"/>
        <w:rPr>
          <w:rFonts w:ascii="Arial" w:hAnsi="Arial" w:cs="Arial"/>
          <w:bCs/>
          <w:sz w:val="24"/>
          <w:szCs w:val="24"/>
        </w:rPr>
      </w:pPr>
      <w:bookmarkStart w:id="2" w:name="OLE_LINK15"/>
      <w:bookmarkStart w:id="3" w:name="OLE_LINK16"/>
      <w:proofErr w:type="spellStart"/>
      <w:r w:rsidRPr="00181D50">
        <w:rPr>
          <w:rFonts w:ascii="Arial" w:hAnsi="Arial" w:cs="Arial"/>
          <w:b/>
          <w:bCs/>
          <w:sz w:val="24"/>
          <w:szCs w:val="24"/>
        </w:rPr>
        <w:t>Brico</w:t>
      </w:r>
      <w:proofErr w:type="spellEnd"/>
      <w:r w:rsidRPr="00181D50">
        <w:rPr>
          <w:rFonts w:ascii="Arial" w:hAnsi="Arial" w:cs="Arial"/>
          <w:b/>
          <w:bCs/>
          <w:sz w:val="24"/>
          <w:szCs w:val="24"/>
        </w:rPr>
        <w:t xml:space="preserve"> </w:t>
      </w:r>
      <w:proofErr w:type="spellStart"/>
      <w:r w:rsidRPr="00181D50">
        <w:rPr>
          <w:rFonts w:ascii="Arial" w:hAnsi="Arial" w:cs="Arial"/>
          <w:b/>
          <w:bCs/>
          <w:sz w:val="24"/>
          <w:szCs w:val="24"/>
        </w:rPr>
        <w:t>Dépôt</w:t>
      </w:r>
      <w:proofErr w:type="spellEnd"/>
      <w:r w:rsidR="00EF6C7F">
        <w:rPr>
          <w:rFonts w:ascii="Arial" w:hAnsi="Arial" w:cs="Arial"/>
          <w:b/>
          <w:bCs/>
          <w:sz w:val="24"/>
          <w:szCs w:val="24"/>
        </w:rPr>
        <w:t xml:space="preserve">, </w:t>
      </w:r>
      <w:r w:rsidR="00EF6C7F">
        <w:rPr>
          <w:rFonts w:ascii="Arial" w:hAnsi="Arial" w:cs="Arial"/>
          <w:bCs/>
          <w:sz w:val="24"/>
          <w:szCs w:val="24"/>
        </w:rPr>
        <w:t xml:space="preserve">which more specifically targets trade professionals and proficient retail customers, </w:t>
      </w:r>
      <w:r w:rsidR="00094F50" w:rsidRPr="00181D50">
        <w:rPr>
          <w:rFonts w:ascii="Arial" w:hAnsi="Arial" w:cs="Arial"/>
          <w:bCs/>
          <w:sz w:val="24"/>
          <w:szCs w:val="24"/>
        </w:rPr>
        <w:t xml:space="preserve">was impacted by the ongoing slow house building market* with new housing </w:t>
      </w:r>
      <w:r w:rsidR="00094F50" w:rsidRPr="003840E9">
        <w:rPr>
          <w:rFonts w:ascii="Arial" w:hAnsi="Arial" w:cs="Arial"/>
          <w:bCs/>
          <w:sz w:val="24"/>
          <w:szCs w:val="24"/>
        </w:rPr>
        <w:t xml:space="preserve">starts and planning consent data </w:t>
      </w:r>
      <w:r w:rsidR="008B252C">
        <w:rPr>
          <w:rFonts w:ascii="Arial" w:hAnsi="Arial" w:cs="Arial"/>
          <w:bCs/>
          <w:sz w:val="24"/>
          <w:szCs w:val="24"/>
        </w:rPr>
        <w:t xml:space="preserve">both </w:t>
      </w:r>
      <w:r w:rsidR="00094F50" w:rsidRPr="003840E9">
        <w:rPr>
          <w:rFonts w:ascii="Arial" w:hAnsi="Arial" w:cs="Arial"/>
          <w:bCs/>
          <w:sz w:val="24"/>
          <w:szCs w:val="24"/>
        </w:rPr>
        <w:t xml:space="preserve">down around </w:t>
      </w:r>
      <w:r w:rsidR="003840E9" w:rsidRPr="003840E9">
        <w:rPr>
          <w:rFonts w:ascii="Arial" w:hAnsi="Arial" w:cs="Arial"/>
          <w:bCs/>
          <w:sz w:val="24"/>
          <w:szCs w:val="24"/>
        </w:rPr>
        <w:t>6</w:t>
      </w:r>
      <w:r w:rsidR="00094F50" w:rsidRPr="003840E9">
        <w:rPr>
          <w:rFonts w:ascii="Arial" w:hAnsi="Arial" w:cs="Arial"/>
          <w:bCs/>
          <w:sz w:val="24"/>
          <w:szCs w:val="24"/>
        </w:rPr>
        <w:t>%</w:t>
      </w:r>
      <w:r w:rsidR="00CF2BC3" w:rsidRPr="003840E9">
        <w:rPr>
          <w:rFonts w:ascii="Arial" w:hAnsi="Arial" w:cs="Arial"/>
          <w:bCs/>
          <w:sz w:val="24"/>
          <w:szCs w:val="24"/>
        </w:rPr>
        <w:t>.</w:t>
      </w:r>
      <w:r w:rsidR="00094F50" w:rsidRPr="003840E9">
        <w:rPr>
          <w:rFonts w:ascii="Arial" w:hAnsi="Arial" w:cs="Arial"/>
          <w:bCs/>
          <w:sz w:val="24"/>
          <w:szCs w:val="24"/>
        </w:rPr>
        <w:t xml:space="preserve"> Total sales</w:t>
      </w:r>
      <w:r w:rsidR="00094F50" w:rsidRPr="00181D50">
        <w:rPr>
          <w:rFonts w:ascii="Arial" w:hAnsi="Arial" w:cs="Arial"/>
          <w:bCs/>
          <w:sz w:val="24"/>
          <w:szCs w:val="24"/>
        </w:rPr>
        <w:t xml:space="preserve"> </w:t>
      </w:r>
      <w:r w:rsidR="004D3559">
        <w:rPr>
          <w:rFonts w:ascii="Arial" w:hAnsi="Arial" w:cs="Arial"/>
          <w:bCs/>
          <w:sz w:val="24"/>
          <w:szCs w:val="24"/>
        </w:rPr>
        <w:t>increased</w:t>
      </w:r>
      <w:r w:rsidR="00094F50" w:rsidRPr="00181D50">
        <w:rPr>
          <w:rFonts w:ascii="Arial" w:hAnsi="Arial" w:cs="Arial"/>
          <w:bCs/>
          <w:sz w:val="24"/>
          <w:szCs w:val="24"/>
        </w:rPr>
        <w:t xml:space="preserve"> by </w:t>
      </w:r>
      <w:r w:rsidR="004D3559">
        <w:rPr>
          <w:rFonts w:ascii="Arial" w:hAnsi="Arial" w:cs="Arial"/>
          <w:bCs/>
          <w:sz w:val="24"/>
          <w:szCs w:val="24"/>
        </w:rPr>
        <w:t>2.4</w:t>
      </w:r>
      <w:r w:rsidR="00F06E5D" w:rsidRPr="00181D50">
        <w:rPr>
          <w:rFonts w:ascii="Arial" w:hAnsi="Arial" w:cs="Arial"/>
          <w:bCs/>
          <w:sz w:val="24"/>
          <w:szCs w:val="24"/>
        </w:rPr>
        <w:t xml:space="preserve">% </w:t>
      </w:r>
      <w:r w:rsidR="00B0743B">
        <w:rPr>
          <w:rFonts w:ascii="Arial" w:hAnsi="Arial" w:cs="Arial"/>
          <w:bCs/>
          <w:sz w:val="24"/>
          <w:szCs w:val="24"/>
        </w:rPr>
        <w:t xml:space="preserve">    </w:t>
      </w:r>
      <w:r w:rsidR="00F06E5D" w:rsidRPr="00181D50">
        <w:rPr>
          <w:rFonts w:ascii="Arial" w:hAnsi="Arial" w:cs="Arial"/>
          <w:bCs/>
          <w:sz w:val="24"/>
          <w:szCs w:val="24"/>
        </w:rPr>
        <w:t>(-</w:t>
      </w:r>
      <w:r w:rsidR="004D3559">
        <w:rPr>
          <w:rFonts w:ascii="Arial" w:hAnsi="Arial" w:cs="Arial"/>
          <w:bCs/>
          <w:sz w:val="24"/>
          <w:szCs w:val="24"/>
        </w:rPr>
        <w:t>0.9</w:t>
      </w:r>
      <w:r w:rsidR="00F06E5D" w:rsidRPr="00181D50">
        <w:rPr>
          <w:rFonts w:ascii="Arial" w:hAnsi="Arial" w:cs="Arial"/>
          <w:bCs/>
          <w:sz w:val="24"/>
          <w:szCs w:val="24"/>
        </w:rPr>
        <w:t>% LFL) to £</w:t>
      </w:r>
      <w:r w:rsidR="004D3559">
        <w:rPr>
          <w:rFonts w:ascii="Arial" w:hAnsi="Arial" w:cs="Arial"/>
          <w:bCs/>
          <w:sz w:val="24"/>
          <w:szCs w:val="24"/>
        </w:rPr>
        <w:t>881</w:t>
      </w:r>
      <w:r w:rsidR="00F06E5D" w:rsidRPr="00181D50">
        <w:rPr>
          <w:rFonts w:ascii="Arial" w:hAnsi="Arial" w:cs="Arial"/>
          <w:bCs/>
          <w:sz w:val="24"/>
          <w:szCs w:val="24"/>
        </w:rPr>
        <w:t xml:space="preserve"> million</w:t>
      </w:r>
      <w:r w:rsidR="00EF6C7F">
        <w:rPr>
          <w:rFonts w:ascii="Arial" w:hAnsi="Arial" w:cs="Arial"/>
          <w:bCs/>
          <w:sz w:val="24"/>
          <w:szCs w:val="24"/>
        </w:rPr>
        <w:t xml:space="preserve"> reflecting store openings. </w:t>
      </w:r>
    </w:p>
    <w:p w14:paraId="11FD8321" w14:textId="77777777" w:rsidR="0059369D" w:rsidRDefault="0059369D" w:rsidP="001B3B55">
      <w:pPr>
        <w:jc w:val="left"/>
        <w:rPr>
          <w:rFonts w:ascii="Arial" w:hAnsi="Arial" w:cs="Arial"/>
          <w:bCs/>
          <w:sz w:val="24"/>
          <w:szCs w:val="24"/>
        </w:rPr>
      </w:pPr>
    </w:p>
    <w:bookmarkEnd w:id="2"/>
    <w:bookmarkEnd w:id="3"/>
    <w:bookmarkEnd w:id="0"/>
    <w:bookmarkEnd w:id="1"/>
    <w:p w14:paraId="35744365" w14:textId="77777777" w:rsidR="00F06E5D" w:rsidRDefault="00F06E5D">
      <w:pPr>
        <w:jc w:val="left"/>
        <w:rPr>
          <w:rFonts w:ascii="Arial" w:hAnsi="Arial" w:cs="Arial"/>
          <w:b/>
          <w:bCs/>
          <w:sz w:val="24"/>
          <w:szCs w:val="24"/>
        </w:rPr>
      </w:pPr>
      <w:r>
        <w:rPr>
          <w:rFonts w:ascii="Arial" w:hAnsi="Arial" w:cs="Arial"/>
          <w:b/>
          <w:bCs/>
          <w:sz w:val="24"/>
          <w:szCs w:val="24"/>
        </w:rPr>
        <w:br w:type="page"/>
      </w:r>
    </w:p>
    <w:p w14:paraId="484A418C" w14:textId="77777777" w:rsidR="001B3B55" w:rsidRDefault="001B3B55" w:rsidP="001B3B55">
      <w:pPr>
        <w:jc w:val="left"/>
        <w:rPr>
          <w:rFonts w:ascii="Arial" w:hAnsi="Arial" w:cs="Arial"/>
          <w:b/>
          <w:bCs/>
          <w:sz w:val="24"/>
          <w:szCs w:val="24"/>
        </w:rPr>
      </w:pPr>
      <w:r w:rsidRPr="000971B9">
        <w:rPr>
          <w:rFonts w:ascii="Arial" w:hAnsi="Arial" w:cs="Arial"/>
          <w:b/>
          <w:bCs/>
          <w:sz w:val="24"/>
          <w:szCs w:val="24"/>
        </w:rPr>
        <w:lastRenderedPageBreak/>
        <w:t>UK &amp; IRELAND</w:t>
      </w:r>
      <w:r w:rsidR="00D12133" w:rsidRPr="000971B9">
        <w:rPr>
          <w:rFonts w:ascii="Arial" w:hAnsi="Arial" w:cs="Arial"/>
          <w:b/>
          <w:bCs/>
          <w:sz w:val="24"/>
          <w:szCs w:val="24"/>
        </w:rPr>
        <w:t>*</w:t>
      </w:r>
    </w:p>
    <w:p w14:paraId="1CA4CC05" w14:textId="77777777" w:rsidR="004E7075" w:rsidRDefault="004E7075" w:rsidP="001B3B55">
      <w:pPr>
        <w:jc w:val="left"/>
        <w:rPr>
          <w:rFonts w:ascii="Arial" w:hAnsi="Arial" w:cs="Arial"/>
          <w:b/>
          <w:bCs/>
          <w:sz w:val="24"/>
          <w:szCs w:val="24"/>
        </w:rPr>
      </w:pPr>
    </w:p>
    <w:tbl>
      <w:tblPr>
        <w:tblW w:w="491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7"/>
        <w:gridCol w:w="1500"/>
        <w:gridCol w:w="1233"/>
        <w:gridCol w:w="1695"/>
        <w:gridCol w:w="1670"/>
        <w:gridCol w:w="993"/>
      </w:tblGrid>
      <w:tr w:rsidR="004E7075" w:rsidRPr="000971B9" w14:paraId="7584A2A0" w14:textId="77777777" w:rsidTr="00317387">
        <w:tc>
          <w:tcPr>
            <w:tcW w:w="1251" w:type="pct"/>
            <w:tcBorders>
              <w:bottom w:val="single" w:sz="4" w:space="0" w:color="auto"/>
            </w:tcBorders>
          </w:tcPr>
          <w:p w14:paraId="4E2352D8" w14:textId="77777777" w:rsidR="004E7075" w:rsidRPr="000971B9" w:rsidRDefault="004E7075" w:rsidP="00317387">
            <w:pPr>
              <w:rPr>
                <w:rFonts w:ascii="Arial" w:hAnsi="Arial" w:cs="Arial"/>
                <w:sz w:val="24"/>
                <w:szCs w:val="24"/>
              </w:rPr>
            </w:pPr>
            <w:r>
              <w:rPr>
                <w:rFonts w:ascii="Arial" w:hAnsi="Arial" w:cs="Arial"/>
                <w:sz w:val="24"/>
                <w:szCs w:val="24"/>
              </w:rPr>
              <w:t>£m</w:t>
            </w:r>
          </w:p>
        </w:tc>
        <w:tc>
          <w:tcPr>
            <w:tcW w:w="793" w:type="pct"/>
            <w:tcBorders>
              <w:bottom w:val="single" w:sz="4" w:space="0" w:color="auto"/>
            </w:tcBorders>
          </w:tcPr>
          <w:p w14:paraId="3C2DFE1D" w14:textId="77777777" w:rsidR="004E7075" w:rsidRPr="000971B9" w:rsidRDefault="004E7075" w:rsidP="00317387">
            <w:pPr>
              <w:jc w:val="right"/>
              <w:rPr>
                <w:rFonts w:ascii="Arial" w:hAnsi="Arial" w:cs="Arial"/>
                <w:sz w:val="24"/>
                <w:szCs w:val="24"/>
              </w:rPr>
            </w:pPr>
            <w:r>
              <w:rPr>
                <w:rFonts w:ascii="Arial" w:hAnsi="Arial" w:cs="Arial"/>
                <w:b/>
                <w:bCs/>
                <w:sz w:val="24"/>
                <w:szCs w:val="24"/>
              </w:rPr>
              <w:t>2015/16</w:t>
            </w:r>
          </w:p>
        </w:tc>
        <w:tc>
          <w:tcPr>
            <w:tcW w:w="652" w:type="pct"/>
            <w:tcBorders>
              <w:bottom w:val="single" w:sz="4" w:space="0" w:color="auto"/>
            </w:tcBorders>
          </w:tcPr>
          <w:p w14:paraId="4B7A699D" w14:textId="77777777" w:rsidR="004E7075" w:rsidRPr="000971B9" w:rsidRDefault="004E7075" w:rsidP="00317387">
            <w:pPr>
              <w:jc w:val="right"/>
              <w:rPr>
                <w:rFonts w:ascii="Arial" w:hAnsi="Arial" w:cs="Arial"/>
                <w:b/>
                <w:bCs/>
                <w:sz w:val="24"/>
                <w:szCs w:val="24"/>
              </w:rPr>
            </w:pPr>
            <w:r>
              <w:rPr>
                <w:rFonts w:ascii="Arial" w:hAnsi="Arial" w:cs="Arial"/>
                <w:b/>
                <w:bCs/>
                <w:sz w:val="24"/>
                <w:szCs w:val="24"/>
              </w:rPr>
              <w:t>2014/15</w:t>
            </w:r>
          </w:p>
        </w:tc>
        <w:tc>
          <w:tcPr>
            <w:tcW w:w="896" w:type="pct"/>
            <w:tcBorders>
              <w:bottom w:val="single" w:sz="4" w:space="0" w:color="auto"/>
            </w:tcBorders>
          </w:tcPr>
          <w:p w14:paraId="32328606" w14:textId="77777777" w:rsidR="004E7075" w:rsidRPr="000971B9" w:rsidRDefault="004E7075" w:rsidP="00317387">
            <w:pPr>
              <w:jc w:val="right"/>
              <w:rPr>
                <w:rFonts w:ascii="Arial" w:hAnsi="Arial" w:cs="Arial"/>
                <w:b/>
                <w:bCs/>
                <w:sz w:val="24"/>
                <w:szCs w:val="24"/>
              </w:rPr>
            </w:pPr>
            <w:r w:rsidRPr="000971B9">
              <w:rPr>
                <w:rFonts w:ascii="Arial" w:hAnsi="Arial" w:cs="Arial"/>
                <w:b/>
                <w:bCs/>
                <w:sz w:val="24"/>
                <w:szCs w:val="24"/>
              </w:rPr>
              <w:t>% Reported</w:t>
            </w:r>
            <w:r w:rsidRPr="000971B9" w:rsidDel="00197636">
              <w:rPr>
                <w:rFonts w:ascii="Arial" w:hAnsi="Arial" w:cs="Arial"/>
                <w:b/>
                <w:bCs/>
                <w:sz w:val="24"/>
                <w:szCs w:val="24"/>
              </w:rPr>
              <w:t xml:space="preserve"> </w:t>
            </w:r>
            <w:r w:rsidRPr="000971B9">
              <w:rPr>
                <w:rFonts w:ascii="Arial" w:hAnsi="Arial" w:cs="Arial"/>
                <w:b/>
                <w:bCs/>
                <w:sz w:val="24"/>
                <w:szCs w:val="24"/>
              </w:rPr>
              <w:t>Change</w:t>
            </w:r>
          </w:p>
          <w:p w14:paraId="574C73C9" w14:textId="77777777" w:rsidR="004E7075" w:rsidRPr="000971B9" w:rsidRDefault="004E7075" w:rsidP="00317387">
            <w:pPr>
              <w:jc w:val="right"/>
              <w:rPr>
                <w:rFonts w:ascii="Arial" w:hAnsi="Arial" w:cs="Arial"/>
                <w:b/>
                <w:bCs/>
                <w:sz w:val="24"/>
                <w:szCs w:val="24"/>
              </w:rPr>
            </w:pPr>
          </w:p>
        </w:tc>
        <w:tc>
          <w:tcPr>
            <w:tcW w:w="883" w:type="pct"/>
            <w:tcBorders>
              <w:bottom w:val="single" w:sz="4" w:space="0" w:color="auto"/>
            </w:tcBorders>
          </w:tcPr>
          <w:p w14:paraId="2B02DD88" w14:textId="77777777" w:rsidR="004E7075" w:rsidRPr="000971B9" w:rsidRDefault="004E7075" w:rsidP="00317387">
            <w:pPr>
              <w:jc w:val="right"/>
              <w:rPr>
                <w:rFonts w:ascii="Arial" w:hAnsi="Arial" w:cs="Arial"/>
                <w:b/>
                <w:bCs/>
                <w:sz w:val="24"/>
                <w:szCs w:val="24"/>
              </w:rPr>
            </w:pPr>
            <w:r w:rsidRPr="000971B9">
              <w:rPr>
                <w:rFonts w:ascii="Arial" w:hAnsi="Arial" w:cs="Arial"/>
                <w:b/>
                <w:bCs/>
                <w:sz w:val="24"/>
                <w:szCs w:val="24"/>
              </w:rPr>
              <w:t>%</w:t>
            </w:r>
            <w:r>
              <w:rPr>
                <w:rFonts w:ascii="Arial" w:hAnsi="Arial" w:cs="Arial"/>
                <w:b/>
                <w:bCs/>
                <w:sz w:val="24"/>
                <w:szCs w:val="24"/>
              </w:rPr>
              <w:t xml:space="preserve"> </w:t>
            </w:r>
            <w:r w:rsidRPr="000971B9">
              <w:rPr>
                <w:rFonts w:ascii="Arial" w:hAnsi="Arial" w:cs="Arial"/>
                <w:b/>
                <w:bCs/>
                <w:sz w:val="24"/>
                <w:szCs w:val="24"/>
              </w:rPr>
              <w:t>Constant</w:t>
            </w:r>
          </w:p>
          <w:p w14:paraId="27F97962" w14:textId="77777777" w:rsidR="004E7075" w:rsidRDefault="004E7075" w:rsidP="00317387">
            <w:pPr>
              <w:jc w:val="right"/>
              <w:rPr>
                <w:rFonts w:ascii="Arial" w:hAnsi="Arial" w:cs="Arial"/>
                <w:b/>
                <w:bCs/>
                <w:sz w:val="24"/>
                <w:szCs w:val="24"/>
              </w:rPr>
            </w:pPr>
            <w:r>
              <w:rPr>
                <w:rFonts w:ascii="Arial" w:hAnsi="Arial" w:cs="Arial"/>
                <w:b/>
                <w:bCs/>
                <w:sz w:val="24"/>
                <w:szCs w:val="24"/>
              </w:rPr>
              <w:t>Currency</w:t>
            </w:r>
          </w:p>
          <w:p w14:paraId="28B26950" w14:textId="77777777" w:rsidR="004E7075" w:rsidRPr="000971B9" w:rsidRDefault="004E7075" w:rsidP="00317387">
            <w:pPr>
              <w:jc w:val="right"/>
              <w:rPr>
                <w:rFonts w:ascii="Arial" w:hAnsi="Arial" w:cs="Arial"/>
                <w:b/>
                <w:bCs/>
                <w:sz w:val="24"/>
                <w:szCs w:val="24"/>
              </w:rPr>
            </w:pPr>
            <w:r w:rsidRPr="000971B9">
              <w:rPr>
                <w:rFonts w:ascii="Arial" w:hAnsi="Arial" w:cs="Arial"/>
                <w:b/>
                <w:bCs/>
                <w:sz w:val="24"/>
                <w:szCs w:val="24"/>
              </w:rPr>
              <w:t xml:space="preserve">Change  </w:t>
            </w:r>
          </w:p>
        </w:tc>
        <w:tc>
          <w:tcPr>
            <w:tcW w:w="525" w:type="pct"/>
            <w:tcBorders>
              <w:bottom w:val="single" w:sz="4" w:space="0" w:color="auto"/>
            </w:tcBorders>
          </w:tcPr>
          <w:p w14:paraId="5F7EEB31" w14:textId="77777777" w:rsidR="004E7075" w:rsidRPr="000971B9" w:rsidRDefault="004E7075" w:rsidP="00317387">
            <w:pPr>
              <w:ind w:hanging="108"/>
              <w:jc w:val="right"/>
              <w:rPr>
                <w:rFonts w:ascii="Arial" w:hAnsi="Arial" w:cs="Arial"/>
                <w:b/>
                <w:bCs/>
                <w:sz w:val="24"/>
                <w:szCs w:val="24"/>
              </w:rPr>
            </w:pPr>
            <w:r w:rsidRPr="000971B9">
              <w:rPr>
                <w:rFonts w:ascii="Arial" w:hAnsi="Arial" w:cs="Arial"/>
                <w:b/>
                <w:bCs/>
                <w:sz w:val="24"/>
                <w:szCs w:val="24"/>
              </w:rPr>
              <w:t>% LFL</w:t>
            </w:r>
          </w:p>
          <w:p w14:paraId="23119B6E" w14:textId="77777777" w:rsidR="004E7075" w:rsidRPr="000971B9" w:rsidRDefault="004E7075" w:rsidP="00317387">
            <w:pPr>
              <w:ind w:hanging="108"/>
              <w:jc w:val="right"/>
              <w:rPr>
                <w:rFonts w:ascii="Arial" w:hAnsi="Arial" w:cs="Arial"/>
                <w:b/>
                <w:bCs/>
                <w:sz w:val="24"/>
                <w:szCs w:val="24"/>
              </w:rPr>
            </w:pPr>
            <w:r w:rsidRPr="000971B9">
              <w:rPr>
                <w:rFonts w:ascii="Arial" w:hAnsi="Arial" w:cs="Arial"/>
                <w:b/>
                <w:bCs/>
                <w:sz w:val="24"/>
                <w:szCs w:val="24"/>
              </w:rPr>
              <w:t>Change</w:t>
            </w:r>
          </w:p>
        </w:tc>
      </w:tr>
      <w:tr w:rsidR="004E7075" w:rsidRPr="000971B9" w14:paraId="5E82C1FF" w14:textId="77777777" w:rsidTr="00317387">
        <w:trPr>
          <w:trHeight w:val="147"/>
        </w:trPr>
        <w:tc>
          <w:tcPr>
            <w:tcW w:w="1251" w:type="pct"/>
            <w:tcBorders>
              <w:bottom w:val="single" w:sz="4" w:space="0" w:color="auto"/>
            </w:tcBorders>
          </w:tcPr>
          <w:p w14:paraId="7C5FC1E4" w14:textId="77777777" w:rsidR="004E7075" w:rsidRPr="004E7075" w:rsidRDefault="004E7075" w:rsidP="00317387">
            <w:pPr>
              <w:rPr>
                <w:rFonts w:ascii="Arial" w:hAnsi="Arial" w:cs="Arial"/>
                <w:b/>
                <w:sz w:val="24"/>
                <w:szCs w:val="24"/>
              </w:rPr>
            </w:pPr>
            <w:r w:rsidRPr="004E7075">
              <w:rPr>
                <w:rFonts w:ascii="Arial" w:hAnsi="Arial" w:cs="Arial"/>
                <w:b/>
                <w:bCs/>
                <w:sz w:val="24"/>
                <w:szCs w:val="24"/>
              </w:rPr>
              <w:t>Sales</w:t>
            </w:r>
          </w:p>
        </w:tc>
        <w:tc>
          <w:tcPr>
            <w:tcW w:w="793" w:type="pct"/>
            <w:tcBorders>
              <w:bottom w:val="single" w:sz="4" w:space="0" w:color="auto"/>
            </w:tcBorders>
          </w:tcPr>
          <w:p w14:paraId="009E4C15" w14:textId="1F17A64E" w:rsidR="004E7075" w:rsidRPr="000971B9" w:rsidRDefault="0056628A" w:rsidP="00317387">
            <w:pPr>
              <w:jc w:val="right"/>
              <w:rPr>
                <w:rFonts w:ascii="Arial" w:hAnsi="Arial" w:cs="Arial"/>
                <w:sz w:val="24"/>
                <w:szCs w:val="24"/>
              </w:rPr>
            </w:pPr>
            <w:r>
              <w:rPr>
                <w:rFonts w:ascii="Arial" w:hAnsi="Arial" w:cs="Arial"/>
                <w:sz w:val="24"/>
                <w:szCs w:val="24"/>
              </w:rPr>
              <w:t>2,527</w:t>
            </w:r>
          </w:p>
        </w:tc>
        <w:tc>
          <w:tcPr>
            <w:tcW w:w="652" w:type="pct"/>
            <w:tcBorders>
              <w:bottom w:val="single" w:sz="4" w:space="0" w:color="auto"/>
            </w:tcBorders>
          </w:tcPr>
          <w:p w14:paraId="53D965AB" w14:textId="6953CA9C" w:rsidR="004E7075" w:rsidRPr="000971B9" w:rsidRDefault="0056628A" w:rsidP="00317387">
            <w:pPr>
              <w:jc w:val="right"/>
              <w:rPr>
                <w:rFonts w:ascii="Arial" w:hAnsi="Arial" w:cs="Arial"/>
                <w:sz w:val="24"/>
                <w:szCs w:val="24"/>
              </w:rPr>
            </w:pPr>
            <w:r>
              <w:rPr>
                <w:rFonts w:ascii="Arial" w:hAnsi="Arial" w:cs="Arial"/>
                <w:sz w:val="24"/>
                <w:szCs w:val="24"/>
              </w:rPr>
              <w:t>2,419</w:t>
            </w:r>
          </w:p>
        </w:tc>
        <w:tc>
          <w:tcPr>
            <w:tcW w:w="896" w:type="pct"/>
            <w:tcBorders>
              <w:bottom w:val="single" w:sz="4" w:space="0" w:color="auto"/>
            </w:tcBorders>
          </w:tcPr>
          <w:p w14:paraId="561E391F" w14:textId="784F731C" w:rsidR="004E7075" w:rsidRPr="000971B9" w:rsidRDefault="007A1B03" w:rsidP="00317387">
            <w:pPr>
              <w:jc w:val="right"/>
              <w:rPr>
                <w:rFonts w:ascii="Arial" w:hAnsi="Arial" w:cs="Arial"/>
                <w:sz w:val="24"/>
                <w:szCs w:val="24"/>
              </w:rPr>
            </w:pPr>
            <w:r>
              <w:rPr>
                <w:rFonts w:ascii="Arial" w:hAnsi="Arial" w:cs="Arial"/>
                <w:sz w:val="24"/>
                <w:szCs w:val="24"/>
              </w:rPr>
              <w:t>+</w:t>
            </w:r>
            <w:r w:rsidR="0056628A">
              <w:rPr>
                <w:rFonts w:ascii="Arial" w:hAnsi="Arial" w:cs="Arial"/>
                <w:sz w:val="24"/>
                <w:szCs w:val="24"/>
              </w:rPr>
              <w:t>4.5%</w:t>
            </w:r>
          </w:p>
        </w:tc>
        <w:tc>
          <w:tcPr>
            <w:tcW w:w="883" w:type="pct"/>
            <w:tcBorders>
              <w:bottom w:val="single" w:sz="4" w:space="0" w:color="auto"/>
            </w:tcBorders>
          </w:tcPr>
          <w:p w14:paraId="6082440F" w14:textId="1AFFEA17" w:rsidR="004E7075" w:rsidRPr="000971B9" w:rsidRDefault="007A1B03" w:rsidP="00317387">
            <w:pPr>
              <w:jc w:val="right"/>
              <w:rPr>
                <w:rFonts w:ascii="Arial" w:hAnsi="Arial" w:cs="Arial"/>
                <w:sz w:val="24"/>
                <w:szCs w:val="24"/>
              </w:rPr>
            </w:pPr>
            <w:r>
              <w:rPr>
                <w:rFonts w:ascii="Arial" w:hAnsi="Arial" w:cs="Arial"/>
                <w:sz w:val="24"/>
                <w:szCs w:val="24"/>
              </w:rPr>
              <w:t>+</w:t>
            </w:r>
            <w:r w:rsidR="0056628A">
              <w:rPr>
                <w:rFonts w:ascii="Arial" w:hAnsi="Arial" w:cs="Arial"/>
                <w:sz w:val="24"/>
                <w:szCs w:val="24"/>
              </w:rPr>
              <w:t>4.6%</w:t>
            </w:r>
          </w:p>
        </w:tc>
        <w:tc>
          <w:tcPr>
            <w:tcW w:w="525" w:type="pct"/>
            <w:tcBorders>
              <w:bottom w:val="single" w:sz="4" w:space="0" w:color="auto"/>
            </w:tcBorders>
          </w:tcPr>
          <w:p w14:paraId="0079DF93" w14:textId="66C44401" w:rsidR="004E7075" w:rsidRPr="000971B9" w:rsidRDefault="007A1B03" w:rsidP="00317387">
            <w:pPr>
              <w:jc w:val="right"/>
              <w:rPr>
                <w:rFonts w:ascii="Arial" w:hAnsi="Arial" w:cs="Arial"/>
                <w:sz w:val="24"/>
                <w:szCs w:val="24"/>
              </w:rPr>
            </w:pPr>
            <w:r>
              <w:rPr>
                <w:rFonts w:ascii="Arial" w:hAnsi="Arial" w:cs="Arial"/>
                <w:sz w:val="24"/>
                <w:szCs w:val="24"/>
              </w:rPr>
              <w:t>+</w:t>
            </w:r>
            <w:r w:rsidR="0056628A">
              <w:rPr>
                <w:rFonts w:ascii="Arial" w:hAnsi="Arial" w:cs="Arial"/>
                <w:sz w:val="24"/>
                <w:szCs w:val="24"/>
              </w:rPr>
              <w:t>3.3%</w:t>
            </w:r>
          </w:p>
        </w:tc>
      </w:tr>
      <w:tr w:rsidR="004E7075" w:rsidRPr="000971B9" w14:paraId="7A596351" w14:textId="77777777" w:rsidTr="00317387">
        <w:trPr>
          <w:gridAfter w:val="1"/>
          <w:wAfter w:w="525" w:type="pct"/>
        </w:trPr>
        <w:tc>
          <w:tcPr>
            <w:tcW w:w="1251" w:type="pct"/>
            <w:tcBorders>
              <w:top w:val="nil"/>
              <w:left w:val="nil"/>
              <w:bottom w:val="single" w:sz="4" w:space="0" w:color="auto"/>
              <w:right w:val="nil"/>
            </w:tcBorders>
          </w:tcPr>
          <w:p w14:paraId="59594B4C" w14:textId="77777777" w:rsidR="004E7075" w:rsidRPr="004E7075" w:rsidRDefault="004E7075" w:rsidP="00317387">
            <w:pPr>
              <w:rPr>
                <w:rFonts w:ascii="Arial" w:hAnsi="Arial" w:cs="Arial"/>
                <w:bCs/>
                <w:sz w:val="24"/>
                <w:szCs w:val="24"/>
              </w:rPr>
            </w:pPr>
          </w:p>
        </w:tc>
        <w:tc>
          <w:tcPr>
            <w:tcW w:w="793" w:type="pct"/>
            <w:tcBorders>
              <w:top w:val="nil"/>
              <w:left w:val="nil"/>
              <w:bottom w:val="single" w:sz="4" w:space="0" w:color="auto"/>
              <w:right w:val="nil"/>
            </w:tcBorders>
          </w:tcPr>
          <w:p w14:paraId="51AA8AFC" w14:textId="77777777" w:rsidR="004E7075" w:rsidRPr="000971B9" w:rsidRDefault="004E7075" w:rsidP="00317387">
            <w:pPr>
              <w:jc w:val="right"/>
              <w:rPr>
                <w:rFonts w:ascii="Arial" w:hAnsi="Arial" w:cs="Arial"/>
                <w:sz w:val="24"/>
                <w:szCs w:val="24"/>
              </w:rPr>
            </w:pPr>
          </w:p>
        </w:tc>
        <w:tc>
          <w:tcPr>
            <w:tcW w:w="652" w:type="pct"/>
            <w:tcBorders>
              <w:top w:val="nil"/>
              <w:left w:val="nil"/>
              <w:bottom w:val="single" w:sz="4" w:space="0" w:color="auto"/>
              <w:right w:val="nil"/>
            </w:tcBorders>
          </w:tcPr>
          <w:p w14:paraId="16A2C05D" w14:textId="77777777" w:rsidR="004E7075" w:rsidRPr="000971B9" w:rsidRDefault="004E7075" w:rsidP="00317387">
            <w:pPr>
              <w:jc w:val="right"/>
              <w:rPr>
                <w:rFonts w:ascii="Arial" w:hAnsi="Arial" w:cs="Arial"/>
                <w:sz w:val="24"/>
                <w:szCs w:val="24"/>
              </w:rPr>
            </w:pPr>
          </w:p>
        </w:tc>
        <w:tc>
          <w:tcPr>
            <w:tcW w:w="896" w:type="pct"/>
            <w:tcBorders>
              <w:top w:val="nil"/>
              <w:left w:val="nil"/>
              <w:bottom w:val="single" w:sz="4" w:space="0" w:color="auto"/>
              <w:right w:val="nil"/>
            </w:tcBorders>
          </w:tcPr>
          <w:p w14:paraId="7CBA68F4" w14:textId="77777777" w:rsidR="004E7075" w:rsidRPr="000971B9" w:rsidRDefault="004E7075" w:rsidP="00317387">
            <w:pPr>
              <w:jc w:val="right"/>
              <w:rPr>
                <w:rFonts w:ascii="Arial" w:hAnsi="Arial" w:cs="Arial"/>
                <w:sz w:val="24"/>
                <w:szCs w:val="24"/>
              </w:rPr>
            </w:pPr>
          </w:p>
        </w:tc>
        <w:tc>
          <w:tcPr>
            <w:tcW w:w="883" w:type="pct"/>
            <w:tcBorders>
              <w:top w:val="nil"/>
              <w:left w:val="nil"/>
              <w:bottom w:val="single" w:sz="4" w:space="0" w:color="auto"/>
              <w:right w:val="nil"/>
            </w:tcBorders>
          </w:tcPr>
          <w:p w14:paraId="16594930" w14:textId="77777777" w:rsidR="004E7075" w:rsidRPr="000971B9" w:rsidRDefault="004E7075" w:rsidP="00317387">
            <w:pPr>
              <w:jc w:val="right"/>
              <w:rPr>
                <w:rFonts w:ascii="Arial" w:hAnsi="Arial" w:cs="Arial"/>
                <w:sz w:val="24"/>
                <w:szCs w:val="24"/>
              </w:rPr>
            </w:pPr>
          </w:p>
        </w:tc>
      </w:tr>
      <w:tr w:rsidR="004E7075" w:rsidRPr="000971B9" w14:paraId="014E213F" w14:textId="77777777" w:rsidTr="00317387">
        <w:trPr>
          <w:gridAfter w:val="1"/>
          <w:wAfter w:w="525" w:type="pct"/>
        </w:trPr>
        <w:tc>
          <w:tcPr>
            <w:tcW w:w="1251" w:type="pct"/>
            <w:tcBorders>
              <w:top w:val="single" w:sz="4" w:space="0" w:color="auto"/>
            </w:tcBorders>
          </w:tcPr>
          <w:p w14:paraId="5244130F" w14:textId="77777777" w:rsidR="004E7075" w:rsidRPr="004E7075" w:rsidRDefault="004E7075" w:rsidP="00317387">
            <w:pPr>
              <w:rPr>
                <w:rFonts w:ascii="Arial" w:hAnsi="Arial" w:cs="Arial"/>
                <w:b/>
                <w:sz w:val="24"/>
                <w:szCs w:val="24"/>
              </w:rPr>
            </w:pPr>
            <w:r w:rsidRPr="004E7075">
              <w:rPr>
                <w:rFonts w:ascii="Arial" w:hAnsi="Arial" w:cs="Arial"/>
                <w:b/>
                <w:bCs/>
                <w:sz w:val="24"/>
                <w:szCs w:val="24"/>
              </w:rPr>
              <w:t>Retail profit</w:t>
            </w:r>
          </w:p>
        </w:tc>
        <w:tc>
          <w:tcPr>
            <w:tcW w:w="793" w:type="pct"/>
            <w:tcBorders>
              <w:top w:val="single" w:sz="4" w:space="0" w:color="auto"/>
            </w:tcBorders>
          </w:tcPr>
          <w:p w14:paraId="189C1160" w14:textId="7F0EEDA8" w:rsidR="004E7075" w:rsidRPr="000971B9" w:rsidRDefault="0056628A" w:rsidP="00317387">
            <w:pPr>
              <w:jc w:val="right"/>
              <w:rPr>
                <w:rFonts w:ascii="Arial" w:hAnsi="Arial" w:cs="Arial"/>
                <w:sz w:val="24"/>
                <w:szCs w:val="24"/>
              </w:rPr>
            </w:pPr>
            <w:r>
              <w:rPr>
                <w:rFonts w:ascii="Arial" w:hAnsi="Arial" w:cs="Arial"/>
                <w:sz w:val="24"/>
                <w:szCs w:val="24"/>
              </w:rPr>
              <w:t>194</w:t>
            </w:r>
          </w:p>
        </w:tc>
        <w:tc>
          <w:tcPr>
            <w:tcW w:w="652" w:type="pct"/>
            <w:tcBorders>
              <w:top w:val="single" w:sz="4" w:space="0" w:color="auto"/>
            </w:tcBorders>
          </w:tcPr>
          <w:p w14:paraId="36534B12" w14:textId="19380EFC" w:rsidR="004E7075" w:rsidRPr="000971B9" w:rsidRDefault="0056628A" w:rsidP="00317387">
            <w:pPr>
              <w:jc w:val="right"/>
              <w:rPr>
                <w:rFonts w:ascii="Arial" w:hAnsi="Arial" w:cs="Arial"/>
                <w:sz w:val="24"/>
                <w:szCs w:val="24"/>
              </w:rPr>
            </w:pPr>
            <w:r>
              <w:rPr>
                <w:rFonts w:ascii="Arial" w:hAnsi="Arial" w:cs="Arial"/>
                <w:sz w:val="24"/>
                <w:szCs w:val="24"/>
              </w:rPr>
              <w:t>166</w:t>
            </w:r>
          </w:p>
        </w:tc>
        <w:tc>
          <w:tcPr>
            <w:tcW w:w="896" w:type="pct"/>
            <w:tcBorders>
              <w:top w:val="single" w:sz="4" w:space="0" w:color="auto"/>
            </w:tcBorders>
          </w:tcPr>
          <w:p w14:paraId="3473B80C" w14:textId="2F969B01" w:rsidR="004E7075" w:rsidRPr="000971B9" w:rsidRDefault="007A1B03" w:rsidP="00317387">
            <w:pPr>
              <w:jc w:val="right"/>
              <w:rPr>
                <w:rFonts w:ascii="Arial" w:hAnsi="Arial" w:cs="Arial"/>
                <w:sz w:val="24"/>
                <w:szCs w:val="24"/>
              </w:rPr>
            </w:pPr>
            <w:r>
              <w:rPr>
                <w:rFonts w:ascii="Arial" w:hAnsi="Arial" w:cs="Arial"/>
                <w:sz w:val="24"/>
                <w:szCs w:val="24"/>
              </w:rPr>
              <w:t>+</w:t>
            </w:r>
            <w:r w:rsidR="0056628A">
              <w:rPr>
                <w:rFonts w:ascii="Arial" w:hAnsi="Arial" w:cs="Arial"/>
                <w:sz w:val="24"/>
                <w:szCs w:val="24"/>
              </w:rPr>
              <w:t>16.8%</w:t>
            </w:r>
          </w:p>
        </w:tc>
        <w:tc>
          <w:tcPr>
            <w:tcW w:w="883" w:type="pct"/>
            <w:tcBorders>
              <w:top w:val="single" w:sz="4" w:space="0" w:color="auto"/>
            </w:tcBorders>
          </w:tcPr>
          <w:p w14:paraId="56687B46" w14:textId="1271B76D" w:rsidR="004E7075" w:rsidRPr="000971B9" w:rsidRDefault="007A1B03" w:rsidP="00317387">
            <w:pPr>
              <w:jc w:val="right"/>
              <w:rPr>
                <w:rFonts w:ascii="Arial" w:hAnsi="Arial" w:cs="Arial"/>
                <w:sz w:val="24"/>
                <w:szCs w:val="24"/>
              </w:rPr>
            </w:pPr>
            <w:r>
              <w:rPr>
                <w:rFonts w:ascii="Arial" w:hAnsi="Arial" w:cs="Arial"/>
                <w:sz w:val="24"/>
                <w:szCs w:val="24"/>
              </w:rPr>
              <w:t>+</w:t>
            </w:r>
            <w:r w:rsidR="0056628A">
              <w:rPr>
                <w:rFonts w:ascii="Arial" w:hAnsi="Arial" w:cs="Arial"/>
                <w:sz w:val="24"/>
                <w:szCs w:val="24"/>
              </w:rPr>
              <w:t>16.8%</w:t>
            </w:r>
          </w:p>
        </w:tc>
      </w:tr>
    </w:tbl>
    <w:p w14:paraId="58076669" w14:textId="77777777" w:rsidR="006B66EF" w:rsidRDefault="006B66EF" w:rsidP="006B66EF">
      <w:pPr>
        <w:jc w:val="left"/>
        <w:rPr>
          <w:rFonts w:ascii="Arial" w:hAnsi="Arial" w:cs="Arial"/>
          <w:sz w:val="24"/>
          <w:szCs w:val="24"/>
        </w:rPr>
      </w:pPr>
    </w:p>
    <w:p w14:paraId="2EF0C1BB" w14:textId="1C1242A2" w:rsidR="006B66EF" w:rsidRPr="00181D50" w:rsidRDefault="00043801" w:rsidP="00BC159F">
      <w:pPr>
        <w:jc w:val="left"/>
        <w:rPr>
          <w:rFonts w:ascii="Arial" w:hAnsi="Arial" w:cs="Arial"/>
          <w:sz w:val="24"/>
          <w:szCs w:val="24"/>
        </w:rPr>
      </w:pPr>
      <w:r w:rsidRPr="00181D50">
        <w:rPr>
          <w:rFonts w:ascii="Arial" w:hAnsi="Arial" w:cs="Arial"/>
          <w:sz w:val="24"/>
          <w:szCs w:val="24"/>
        </w:rPr>
        <w:t xml:space="preserve">Kingfisher UK &amp; Ireland </w:t>
      </w:r>
      <w:r w:rsidR="006B66EF" w:rsidRPr="00181D50">
        <w:rPr>
          <w:rFonts w:ascii="Arial" w:hAnsi="Arial" w:cs="Arial"/>
          <w:sz w:val="24"/>
          <w:szCs w:val="24"/>
        </w:rPr>
        <w:t xml:space="preserve">sales were up </w:t>
      </w:r>
      <w:r w:rsidR="004D3559">
        <w:rPr>
          <w:rFonts w:ascii="Arial" w:hAnsi="Arial" w:cs="Arial"/>
          <w:sz w:val="24"/>
          <w:szCs w:val="24"/>
        </w:rPr>
        <w:t>4.</w:t>
      </w:r>
      <w:r w:rsidR="00311D38">
        <w:rPr>
          <w:rFonts w:ascii="Arial" w:hAnsi="Arial" w:cs="Arial"/>
          <w:sz w:val="24"/>
          <w:szCs w:val="24"/>
        </w:rPr>
        <w:t>6</w:t>
      </w:r>
      <w:r w:rsidR="006B66EF" w:rsidRPr="00181D50">
        <w:rPr>
          <w:rFonts w:ascii="Arial" w:hAnsi="Arial" w:cs="Arial"/>
          <w:sz w:val="24"/>
          <w:szCs w:val="24"/>
        </w:rPr>
        <w:t>% (+</w:t>
      </w:r>
      <w:r w:rsidR="004D3559">
        <w:rPr>
          <w:rFonts w:ascii="Arial" w:hAnsi="Arial" w:cs="Arial"/>
          <w:sz w:val="24"/>
          <w:szCs w:val="24"/>
        </w:rPr>
        <w:t>3.3</w:t>
      </w:r>
      <w:r w:rsidR="006B66EF" w:rsidRPr="00181D50">
        <w:rPr>
          <w:rFonts w:ascii="Arial" w:hAnsi="Arial" w:cs="Arial"/>
          <w:sz w:val="24"/>
          <w:szCs w:val="24"/>
        </w:rPr>
        <w:t>% LFL) to £</w:t>
      </w:r>
      <w:r w:rsidR="004D3559">
        <w:rPr>
          <w:rFonts w:ascii="Arial" w:hAnsi="Arial" w:cs="Arial"/>
          <w:sz w:val="24"/>
          <w:szCs w:val="24"/>
        </w:rPr>
        <w:t>2,527</w:t>
      </w:r>
      <w:r w:rsidR="006B66EF" w:rsidRPr="00181D50">
        <w:rPr>
          <w:rFonts w:ascii="Arial" w:hAnsi="Arial" w:cs="Arial"/>
          <w:sz w:val="24"/>
          <w:szCs w:val="24"/>
        </w:rPr>
        <w:t xml:space="preserve"> million</w:t>
      </w:r>
      <w:r w:rsidR="00CE17E3">
        <w:rPr>
          <w:rFonts w:ascii="Arial" w:hAnsi="Arial" w:cs="Arial"/>
          <w:sz w:val="24"/>
          <w:szCs w:val="24"/>
        </w:rPr>
        <w:t xml:space="preserve"> benefitting from a stronger UK economy and </w:t>
      </w:r>
      <w:r w:rsidR="001B551E">
        <w:rPr>
          <w:rFonts w:ascii="Arial" w:hAnsi="Arial" w:cs="Arial"/>
          <w:sz w:val="24"/>
          <w:szCs w:val="24"/>
        </w:rPr>
        <w:t xml:space="preserve">a </w:t>
      </w:r>
      <w:r w:rsidR="00CE17E3">
        <w:rPr>
          <w:rFonts w:ascii="Arial" w:hAnsi="Arial" w:cs="Arial"/>
          <w:sz w:val="24"/>
          <w:szCs w:val="24"/>
        </w:rPr>
        <w:t>mo</w:t>
      </w:r>
      <w:r w:rsidR="001B551E">
        <w:rPr>
          <w:rFonts w:ascii="Arial" w:hAnsi="Arial" w:cs="Arial"/>
          <w:sz w:val="24"/>
          <w:szCs w:val="24"/>
        </w:rPr>
        <w:t>re buoyant housing construction market</w:t>
      </w:r>
      <w:r w:rsidR="00CE17E3">
        <w:rPr>
          <w:rFonts w:ascii="Arial" w:hAnsi="Arial" w:cs="Arial"/>
          <w:sz w:val="24"/>
          <w:szCs w:val="24"/>
        </w:rPr>
        <w:t>.</w:t>
      </w:r>
      <w:r w:rsidR="006B66EF" w:rsidRPr="00181D50">
        <w:rPr>
          <w:rFonts w:ascii="Arial" w:hAnsi="Arial" w:cs="Arial"/>
          <w:sz w:val="24"/>
          <w:szCs w:val="24"/>
        </w:rPr>
        <w:t xml:space="preserve"> </w:t>
      </w:r>
      <w:r w:rsidR="00CE17E3">
        <w:rPr>
          <w:rFonts w:ascii="Arial" w:hAnsi="Arial" w:cs="Arial"/>
          <w:sz w:val="24"/>
          <w:szCs w:val="24"/>
        </w:rPr>
        <w:t>R</w:t>
      </w:r>
      <w:r w:rsidR="006B66EF" w:rsidRPr="00181D50">
        <w:rPr>
          <w:rFonts w:ascii="Arial" w:hAnsi="Arial" w:cs="Arial"/>
          <w:sz w:val="24"/>
          <w:szCs w:val="24"/>
        </w:rPr>
        <w:t xml:space="preserve">etail profit grew by </w:t>
      </w:r>
      <w:r w:rsidR="004D3559">
        <w:rPr>
          <w:rFonts w:ascii="Arial" w:hAnsi="Arial" w:cs="Arial"/>
          <w:sz w:val="24"/>
          <w:szCs w:val="24"/>
        </w:rPr>
        <w:t>16.8</w:t>
      </w:r>
      <w:r w:rsidR="006B66EF" w:rsidRPr="00181D50">
        <w:rPr>
          <w:rFonts w:ascii="Arial" w:hAnsi="Arial" w:cs="Arial"/>
          <w:sz w:val="24"/>
          <w:szCs w:val="24"/>
        </w:rPr>
        <w:t>% to £</w:t>
      </w:r>
      <w:r w:rsidR="004D3559">
        <w:rPr>
          <w:rFonts w:ascii="Arial" w:hAnsi="Arial" w:cs="Arial"/>
          <w:sz w:val="24"/>
          <w:szCs w:val="24"/>
        </w:rPr>
        <w:t>194</w:t>
      </w:r>
      <w:r w:rsidR="006B66EF" w:rsidRPr="00181D50">
        <w:rPr>
          <w:rFonts w:ascii="Arial" w:hAnsi="Arial" w:cs="Arial"/>
          <w:sz w:val="24"/>
          <w:szCs w:val="24"/>
        </w:rPr>
        <w:t xml:space="preserve"> million. </w:t>
      </w:r>
      <w:r w:rsidR="006B66EF" w:rsidRPr="004D3559">
        <w:rPr>
          <w:rFonts w:ascii="Arial" w:hAnsi="Arial" w:cs="Arial"/>
          <w:sz w:val="24"/>
          <w:szCs w:val="24"/>
        </w:rPr>
        <w:t xml:space="preserve">Gross margins were </w:t>
      </w:r>
      <w:r w:rsidR="00B906AB">
        <w:rPr>
          <w:rFonts w:ascii="Arial" w:hAnsi="Arial" w:cs="Arial"/>
          <w:sz w:val="24"/>
          <w:szCs w:val="24"/>
        </w:rPr>
        <w:t>flat</w:t>
      </w:r>
      <w:r w:rsidR="006B66EF" w:rsidRPr="004D3559">
        <w:rPr>
          <w:rFonts w:ascii="Arial" w:hAnsi="Arial" w:cs="Arial"/>
          <w:sz w:val="24"/>
          <w:szCs w:val="24"/>
        </w:rPr>
        <w:t xml:space="preserve">. </w:t>
      </w:r>
      <w:r w:rsidR="007A1B03">
        <w:rPr>
          <w:rFonts w:ascii="Arial" w:hAnsi="Arial" w:cs="Arial"/>
          <w:sz w:val="24"/>
          <w:szCs w:val="24"/>
        </w:rPr>
        <w:t>Tight cost control continued driven by o</w:t>
      </w:r>
      <w:r w:rsidR="00311D38">
        <w:rPr>
          <w:rFonts w:ascii="Arial" w:hAnsi="Arial" w:cs="Arial"/>
          <w:sz w:val="24"/>
          <w:szCs w:val="24"/>
        </w:rPr>
        <w:t>ngoing productivity initiatives</w:t>
      </w:r>
      <w:r w:rsidR="007A1B03">
        <w:rPr>
          <w:rFonts w:ascii="Arial" w:hAnsi="Arial" w:cs="Arial"/>
          <w:sz w:val="24"/>
          <w:szCs w:val="24"/>
        </w:rPr>
        <w:t xml:space="preserve"> at B&amp;Q. </w:t>
      </w:r>
    </w:p>
    <w:p w14:paraId="0F4006FE" w14:textId="77777777" w:rsidR="00A93153" w:rsidRDefault="00A93153" w:rsidP="00BC159F">
      <w:pPr>
        <w:jc w:val="left"/>
        <w:rPr>
          <w:rFonts w:ascii="Arial" w:hAnsi="Arial" w:cs="Arial"/>
          <w:sz w:val="24"/>
          <w:szCs w:val="24"/>
          <w:highlight w:val="yellow"/>
        </w:rPr>
      </w:pPr>
    </w:p>
    <w:p w14:paraId="29B290ED" w14:textId="673442AD" w:rsidR="006B66EF" w:rsidRPr="005B0F50" w:rsidRDefault="006B66EF">
      <w:pPr>
        <w:jc w:val="left"/>
        <w:rPr>
          <w:rFonts w:ascii="Arial" w:hAnsi="Arial" w:cs="Arial"/>
          <w:sz w:val="24"/>
          <w:szCs w:val="24"/>
        </w:rPr>
      </w:pPr>
      <w:r w:rsidRPr="005B0F50">
        <w:rPr>
          <w:rFonts w:ascii="Arial" w:hAnsi="Arial" w:cs="Arial"/>
          <w:b/>
          <w:bCs/>
          <w:sz w:val="24"/>
          <w:szCs w:val="24"/>
        </w:rPr>
        <w:t>B&amp;Q</w:t>
      </w:r>
      <w:r w:rsidRPr="005B0F50">
        <w:rPr>
          <w:rFonts w:ascii="Arial" w:hAnsi="Arial" w:cs="Arial"/>
          <w:sz w:val="24"/>
          <w:szCs w:val="24"/>
        </w:rPr>
        <w:t xml:space="preserve"> total sales </w:t>
      </w:r>
      <w:r w:rsidR="003E0F26">
        <w:rPr>
          <w:rFonts w:ascii="Arial" w:hAnsi="Arial" w:cs="Arial"/>
          <w:sz w:val="24"/>
          <w:szCs w:val="24"/>
        </w:rPr>
        <w:t>increased</w:t>
      </w:r>
      <w:r w:rsidRPr="005B0F50">
        <w:rPr>
          <w:rFonts w:ascii="Arial" w:hAnsi="Arial" w:cs="Arial"/>
          <w:sz w:val="24"/>
          <w:szCs w:val="24"/>
        </w:rPr>
        <w:t xml:space="preserve"> </w:t>
      </w:r>
      <w:r w:rsidR="004D3559">
        <w:rPr>
          <w:rFonts w:ascii="Arial" w:hAnsi="Arial" w:cs="Arial"/>
          <w:sz w:val="24"/>
          <w:szCs w:val="24"/>
        </w:rPr>
        <w:t>slightly by 0.2%</w:t>
      </w:r>
      <w:r w:rsidRPr="005B0F50">
        <w:rPr>
          <w:rFonts w:ascii="Arial" w:hAnsi="Arial" w:cs="Arial"/>
          <w:sz w:val="24"/>
          <w:szCs w:val="24"/>
        </w:rPr>
        <w:t xml:space="preserve"> (+</w:t>
      </w:r>
      <w:r w:rsidR="004D3559">
        <w:rPr>
          <w:rFonts w:ascii="Arial" w:hAnsi="Arial" w:cs="Arial"/>
          <w:sz w:val="24"/>
          <w:szCs w:val="24"/>
        </w:rPr>
        <w:t>0.7</w:t>
      </w:r>
      <w:r w:rsidRPr="005B0F50">
        <w:rPr>
          <w:rFonts w:ascii="Arial" w:hAnsi="Arial" w:cs="Arial"/>
          <w:sz w:val="24"/>
          <w:szCs w:val="24"/>
        </w:rPr>
        <w:t>% LFL) to £</w:t>
      </w:r>
      <w:r w:rsidR="004D3559">
        <w:rPr>
          <w:rFonts w:ascii="Arial" w:hAnsi="Arial" w:cs="Arial"/>
          <w:sz w:val="24"/>
          <w:szCs w:val="24"/>
        </w:rPr>
        <w:t>2,033</w:t>
      </w:r>
      <w:r w:rsidRPr="005B0F50">
        <w:rPr>
          <w:rFonts w:ascii="Arial" w:hAnsi="Arial" w:cs="Arial"/>
          <w:sz w:val="24"/>
          <w:szCs w:val="24"/>
        </w:rPr>
        <w:t xml:space="preserve"> million. Sales of outdoor</w:t>
      </w:r>
      <w:r w:rsidR="00722862">
        <w:rPr>
          <w:rFonts w:ascii="Arial" w:hAnsi="Arial" w:cs="Arial"/>
          <w:sz w:val="24"/>
          <w:szCs w:val="24"/>
        </w:rPr>
        <w:t xml:space="preserve"> </w:t>
      </w:r>
      <w:r w:rsidRPr="005B0F50">
        <w:rPr>
          <w:rFonts w:ascii="Arial" w:hAnsi="Arial" w:cs="Arial"/>
          <w:sz w:val="24"/>
          <w:szCs w:val="24"/>
        </w:rPr>
        <w:t xml:space="preserve">seasonal products were </w:t>
      </w:r>
      <w:r w:rsidR="003E0F26">
        <w:rPr>
          <w:rFonts w:ascii="Arial" w:hAnsi="Arial" w:cs="Arial"/>
          <w:sz w:val="24"/>
          <w:szCs w:val="24"/>
        </w:rPr>
        <w:t>down 2.3</w:t>
      </w:r>
      <w:r w:rsidRPr="005B0F50">
        <w:rPr>
          <w:rFonts w:ascii="Arial" w:hAnsi="Arial" w:cs="Arial"/>
          <w:sz w:val="24"/>
          <w:szCs w:val="24"/>
        </w:rPr>
        <w:t>%</w:t>
      </w:r>
      <w:r w:rsidR="003E0F26">
        <w:rPr>
          <w:rFonts w:ascii="Arial" w:hAnsi="Arial" w:cs="Arial"/>
          <w:sz w:val="24"/>
          <w:szCs w:val="24"/>
        </w:rPr>
        <w:t xml:space="preserve"> while s</w:t>
      </w:r>
      <w:r w:rsidRPr="005B0F50">
        <w:rPr>
          <w:rFonts w:ascii="Arial" w:hAnsi="Arial" w:cs="Arial"/>
          <w:sz w:val="24"/>
          <w:szCs w:val="24"/>
        </w:rPr>
        <w:t xml:space="preserve">ales of indoor products, excluding showroom, were </w:t>
      </w:r>
      <w:r w:rsidR="003E0F26">
        <w:rPr>
          <w:rFonts w:ascii="Arial" w:hAnsi="Arial" w:cs="Arial"/>
          <w:sz w:val="24"/>
          <w:szCs w:val="24"/>
        </w:rPr>
        <w:t>up</w:t>
      </w:r>
      <w:r w:rsidRPr="005B0F50">
        <w:rPr>
          <w:rFonts w:ascii="Arial" w:hAnsi="Arial" w:cs="Arial"/>
          <w:sz w:val="24"/>
          <w:szCs w:val="24"/>
        </w:rPr>
        <w:t xml:space="preserve"> </w:t>
      </w:r>
      <w:r w:rsidR="003E0F26">
        <w:rPr>
          <w:rFonts w:ascii="Arial" w:hAnsi="Arial" w:cs="Arial"/>
          <w:sz w:val="24"/>
          <w:szCs w:val="24"/>
        </w:rPr>
        <w:t>3.6</w:t>
      </w:r>
      <w:r w:rsidRPr="005B0F50">
        <w:rPr>
          <w:rFonts w:ascii="Arial" w:hAnsi="Arial" w:cs="Arial"/>
          <w:sz w:val="24"/>
          <w:szCs w:val="24"/>
        </w:rPr>
        <w:t xml:space="preserve">%. Sales of showroom products were </w:t>
      </w:r>
      <w:r w:rsidR="003E0F26">
        <w:rPr>
          <w:rFonts w:ascii="Arial" w:hAnsi="Arial" w:cs="Arial"/>
          <w:sz w:val="24"/>
          <w:szCs w:val="24"/>
        </w:rPr>
        <w:t>down</w:t>
      </w:r>
      <w:r w:rsidR="00A04F85" w:rsidRPr="005B0F50">
        <w:rPr>
          <w:rFonts w:ascii="Arial" w:hAnsi="Arial" w:cs="Arial"/>
          <w:sz w:val="24"/>
          <w:szCs w:val="24"/>
        </w:rPr>
        <w:t xml:space="preserve"> </w:t>
      </w:r>
      <w:r w:rsidR="003E0F26">
        <w:rPr>
          <w:rFonts w:ascii="Arial" w:hAnsi="Arial" w:cs="Arial"/>
          <w:sz w:val="24"/>
          <w:szCs w:val="24"/>
        </w:rPr>
        <w:t>2.4</w:t>
      </w:r>
      <w:r w:rsidRPr="005B0F50">
        <w:rPr>
          <w:rFonts w:ascii="Arial" w:hAnsi="Arial" w:cs="Arial"/>
          <w:sz w:val="24"/>
          <w:szCs w:val="24"/>
        </w:rPr>
        <w:t>%</w:t>
      </w:r>
      <w:r w:rsidR="001A2641">
        <w:rPr>
          <w:rFonts w:ascii="Arial" w:hAnsi="Arial" w:cs="Arial"/>
          <w:sz w:val="24"/>
          <w:szCs w:val="24"/>
        </w:rPr>
        <w:t xml:space="preserve"> driven by the decision to reduce promotional activity and instead offer customers </w:t>
      </w:r>
      <w:r w:rsidR="00A07728" w:rsidRPr="00A07728">
        <w:rPr>
          <w:rFonts w:ascii="Arial" w:hAnsi="Arial" w:cs="Arial"/>
          <w:sz w:val="24"/>
          <w:szCs w:val="24"/>
        </w:rPr>
        <w:t>‘Every Day Great Value’</w:t>
      </w:r>
      <w:r w:rsidR="001A2641">
        <w:rPr>
          <w:rFonts w:ascii="Arial" w:hAnsi="Arial" w:cs="Arial"/>
          <w:sz w:val="24"/>
          <w:szCs w:val="24"/>
        </w:rPr>
        <w:t>, which</w:t>
      </w:r>
      <w:r w:rsidR="00D53E1D">
        <w:rPr>
          <w:rFonts w:ascii="Arial" w:hAnsi="Arial" w:cs="Arial"/>
          <w:sz w:val="24"/>
          <w:szCs w:val="24"/>
        </w:rPr>
        <w:t>, in kitchens,</w:t>
      </w:r>
      <w:r w:rsidR="001A2641">
        <w:rPr>
          <w:rFonts w:ascii="Arial" w:hAnsi="Arial" w:cs="Arial"/>
          <w:sz w:val="24"/>
          <w:szCs w:val="24"/>
        </w:rPr>
        <w:t xml:space="preserve"> is </w:t>
      </w:r>
      <w:r w:rsidR="001A2641" w:rsidRPr="00E322C9">
        <w:rPr>
          <w:rFonts w:ascii="Arial" w:hAnsi="Arial" w:cs="Arial"/>
          <w:sz w:val="24"/>
          <w:szCs w:val="24"/>
        </w:rPr>
        <w:t>now gaining momentum.</w:t>
      </w:r>
      <w:r w:rsidR="001A2641">
        <w:rPr>
          <w:rFonts w:ascii="Arial" w:hAnsi="Arial" w:cs="Arial"/>
          <w:sz w:val="24"/>
          <w:szCs w:val="24"/>
        </w:rPr>
        <w:t xml:space="preserve"> </w:t>
      </w:r>
    </w:p>
    <w:p w14:paraId="658C494F" w14:textId="77777777" w:rsidR="00A07728" w:rsidRDefault="00A07728" w:rsidP="006B66EF">
      <w:pPr>
        <w:jc w:val="left"/>
        <w:rPr>
          <w:rFonts w:ascii="Arial" w:hAnsi="Arial" w:cs="Arial"/>
          <w:sz w:val="24"/>
          <w:szCs w:val="24"/>
        </w:rPr>
      </w:pPr>
    </w:p>
    <w:p w14:paraId="09152B02" w14:textId="16DB1F82" w:rsidR="001A2641" w:rsidRDefault="001A2641" w:rsidP="006B66EF">
      <w:pPr>
        <w:jc w:val="left"/>
        <w:rPr>
          <w:rFonts w:ascii="Arial" w:hAnsi="Arial" w:cs="Arial"/>
          <w:sz w:val="24"/>
          <w:szCs w:val="24"/>
        </w:rPr>
      </w:pPr>
      <w:r>
        <w:rPr>
          <w:rFonts w:ascii="Arial" w:hAnsi="Arial" w:cs="Arial"/>
          <w:sz w:val="24"/>
          <w:szCs w:val="24"/>
        </w:rPr>
        <w:t xml:space="preserve">B&amp;Q has been working on driving productivity benefits across the business since last year. </w:t>
      </w:r>
      <w:r w:rsidR="00B648C9">
        <w:rPr>
          <w:rFonts w:ascii="Arial" w:hAnsi="Arial" w:cs="Arial"/>
          <w:sz w:val="24"/>
          <w:szCs w:val="24"/>
        </w:rPr>
        <w:t xml:space="preserve">Various initiatives have been introduced including ‘store friendly deliveries’ (making it quicker and easier for store staff to replenish) and roller checkouts (improving customer experience as well as scanning and database accuracy). These projects were completed during the summer. </w:t>
      </w:r>
      <w:r w:rsidR="00F10AC3" w:rsidRPr="00A07728">
        <w:rPr>
          <w:rFonts w:ascii="Arial" w:hAnsi="Arial" w:cs="Arial"/>
          <w:sz w:val="24"/>
          <w:szCs w:val="24"/>
        </w:rPr>
        <w:t xml:space="preserve"> </w:t>
      </w:r>
    </w:p>
    <w:p w14:paraId="3BAC1F76" w14:textId="77777777" w:rsidR="006B66EF" w:rsidRPr="00A07728" w:rsidRDefault="006B66EF" w:rsidP="006B66EF">
      <w:pPr>
        <w:jc w:val="left"/>
        <w:rPr>
          <w:rFonts w:ascii="Arial" w:hAnsi="Arial" w:cs="Arial"/>
          <w:sz w:val="24"/>
          <w:szCs w:val="24"/>
        </w:rPr>
      </w:pPr>
    </w:p>
    <w:p w14:paraId="5F6F7A7A" w14:textId="0E28B933" w:rsidR="005B0F50" w:rsidRPr="005B0F50" w:rsidRDefault="005B0F50" w:rsidP="006B66EF">
      <w:pPr>
        <w:jc w:val="left"/>
        <w:rPr>
          <w:rFonts w:ascii="Arial" w:hAnsi="Arial" w:cs="Arial"/>
          <w:sz w:val="24"/>
          <w:szCs w:val="24"/>
        </w:rPr>
      </w:pPr>
      <w:r w:rsidRPr="00A07728">
        <w:rPr>
          <w:rFonts w:ascii="Arial" w:hAnsi="Arial" w:cs="Arial"/>
          <w:sz w:val="24"/>
          <w:szCs w:val="24"/>
        </w:rPr>
        <w:t>B&amp;Q</w:t>
      </w:r>
      <w:r w:rsidR="00DD42C3">
        <w:rPr>
          <w:rFonts w:ascii="Arial" w:hAnsi="Arial" w:cs="Arial"/>
          <w:sz w:val="24"/>
          <w:szCs w:val="24"/>
        </w:rPr>
        <w:t xml:space="preserve"> launched ‘Click, Pay &amp; Collect’ on over 14,000 products last year with the release of the new diy.com. Total transacted online sales, including home delivery, </w:t>
      </w:r>
      <w:r w:rsidRPr="00A07728">
        <w:rPr>
          <w:rFonts w:ascii="Arial" w:hAnsi="Arial" w:cs="Arial"/>
          <w:sz w:val="24"/>
          <w:szCs w:val="24"/>
        </w:rPr>
        <w:t>continue</w:t>
      </w:r>
      <w:r w:rsidR="00DD42C3">
        <w:rPr>
          <w:rFonts w:ascii="Arial" w:hAnsi="Arial" w:cs="Arial"/>
          <w:sz w:val="24"/>
          <w:szCs w:val="24"/>
        </w:rPr>
        <w:t>d</w:t>
      </w:r>
      <w:r w:rsidRPr="00A07728">
        <w:rPr>
          <w:rFonts w:ascii="Arial" w:hAnsi="Arial" w:cs="Arial"/>
          <w:sz w:val="24"/>
          <w:szCs w:val="24"/>
        </w:rPr>
        <w:t xml:space="preserve"> to make good</w:t>
      </w:r>
      <w:r w:rsidR="0056355B" w:rsidRPr="00A07728">
        <w:rPr>
          <w:rFonts w:ascii="Arial" w:hAnsi="Arial" w:cs="Arial"/>
          <w:sz w:val="24"/>
          <w:szCs w:val="24"/>
        </w:rPr>
        <w:t xml:space="preserve"> progress.</w:t>
      </w:r>
      <w:r w:rsidRPr="00A07728">
        <w:rPr>
          <w:rFonts w:ascii="Arial" w:hAnsi="Arial" w:cs="Arial"/>
          <w:sz w:val="24"/>
          <w:szCs w:val="24"/>
        </w:rPr>
        <w:t xml:space="preserve"> </w:t>
      </w:r>
    </w:p>
    <w:p w14:paraId="3287C5D3" w14:textId="77777777" w:rsidR="006B66EF" w:rsidRDefault="006B66EF" w:rsidP="006B66EF">
      <w:pPr>
        <w:jc w:val="left"/>
        <w:rPr>
          <w:rFonts w:ascii="Arial" w:hAnsi="Arial" w:cs="Arial"/>
          <w:sz w:val="24"/>
          <w:szCs w:val="24"/>
          <w:highlight w:val="yellow"/>
        </w:rPr>
      </w:pPr>
    </w:p>
    <w:p w14:paraId="742E5EE6" w14:textId="4FE42936" w:rsidR="009D5D63" w:rsidRPr="003943FD" w:rsidRDefault="007A334A" w:rsidP="00657B3E">
      <w:pPr>
        <w:pStyle w:val="PlainText"/>
        <w:rPr>
          <w:rFonts w:ascii="Arial" w:hAnsi="Arial" w:cs="Arial"/>
          <w:sz w:val="24"/>
          <w:szCs w:val="24"/>
        </w:rPr>
      </w:pPr>
      <w:r w:rsidRPr="003943FD">
        <w:rPr>
          <w:rFonts w:ascii="Arial" w:hAnsi="Arial" w:cs="Arial"/>
          <w:b/>
          <w:sz w:val="24"/>
          <w:szCs w:val="24"/>
        </w:rPr>
        <w:t>Screwfix</w:t>
      </w:r>
      <w:r w:rsidRPr="003943FD">
        <w:rPr>
          <w:rFonts w:ascii="Arial" w:hAnsi="Arial" w:cs="Arial"/>
          <w:sz w:val="24"/>
          <w:szCs w:val="24"/>
        </w:rPr>
        <w:t xml:space="preserve"> grew total sales by </w:t>
      </w:r>
      <w:r w:rsidR="004D3559" w:rsidRPr="003943FD">
        <w:rPr>
          <w:rFonts w:ascii="Arial" w:hAnsi="Arial" w:cs="Arial"/>
          <w:sz w:val="24"/>
          <w:szCs w:val="24"/>
        </w:rPr>
        <w:t>27.9</w:t>
      </w:r>
      <w:r w:rsidRPr="003943FD">
        <w:rPr>
          <w:rFonts w:ascii="Arial" w:hAnsi="Arial" w:cs="Arial"/>
          <w:sz w:val="24"/>
          <w:szCs w:val="24"/>
        </w:rPr>
        <w:t>% (+</w:t>
      </w:r>
      <w:r w:rsidR="004D3559" w:rsidRPr="003943FD">
        <w:rPr>
          <w:rFonts w:ascii="Arial" w:hAnsi="Arial" w:cs="Arial"/>
          <w:sz w:val="24"/>
          <w:szCs w:val="24"/>
        </w:rPr>
        <w:t>16.5</w:t>
      </w:r>
      <w:r w:rsidRPr="003943FD">
        <w:rPr>
          <w:rFonts w:ascii="Arial" w:hAnsi="Arial" w:cs="Arial"/>
          <w:sz w:val="24"/>
          <w:szCs w:val="24"/>
        </w:rPr>
        <w:t>% LFL) to £</w:t>
      </w:r>
      <w:r w:rsidR="004D3559" w:rsidRPr="003943FD">
        <w:rPr>
          <w:rFonts w:ascii="Arial" w:hAnsi="Arial" w:cs="Arial"/>
          <w:sz w:val="24"/>
          <w:szCs w:val="24"/>
        </w:rPr>
        <w:t>494</w:t>
      </w:r>
      <w:r w:rsidRPr="003943FD">
        <w:rPr>
          <w:rFonts w:ascii="Arial" w:hAnsi="Arial" w:cs="Arial"/>
          <w:sz w:val="24"/>
          <w:szCs w:val="24"/>
        </w:rPr>
        <w:t xml:space="preserve"> million, driven </w:t>
      </w:r>
      <w:r w:rsidR="003943FD" w:rsidRPr="003943FD">
        <w:rPr>
          <w:rFonts w:ascii="Arial" w:hAnsi="Arial" w:cs="Arial"/>
          <w:sz w:val="24"/>
          <w:szCs w:val="24"/>
        </w:rPr>
        <w:t>by</w:t>
      </w:r>
      <w:r w:rsidR="003943FD">
        <w:rPr>
          <w:rFonts w:ascii="Arial" w:hAnsi="Arial" w:cs="Arial"/>
          <w:sz w:val="24"/>
          <w:szCs w:val="24"/>
        </w:rPr>
        <w:t xml:space="preserve"> </w:t>
      </w:r>
      <w:r w:rsidR="002821BE">
        <w:rPr>
          <w:rFonts w:ascii="Arial" w:hAnsi="Arial" w:cs="Arial"/>
          <w:sz w:val="24"/>
          <w:szCs w:val="24"/>
        </w:rPr>
        <w:t>strong growth from the specialist trade desks exclusive to plumbers and electricians</w:t>
      </w:r>
      <w:r w:rsidR="0057404A">
        <w:rPr>
          <w:rFonts w:ascii="Arial" w:hAnsi="Arial" w:cs="Arial"/>
          <w:sz w:val="24"/>
          <w:szCs w:val="24"/>
        </w:rPr>
        <w:t xml:space="preserve"> within Screwfix outlets</w:t>
      </w:r>
      <w:r w:rsidR="002821BE">
        <w:rPr>
          <w:rFonts w:ascii="Arial" w:hAnsi="Arial" w:cs="Arial"/>
          <w:sz w:val="24"/>
          <w:szCs w:val="24"/>
        </w:rPr>
        <w:t xml:space="preserve">, </w:t>
      </w:r>
      <w:r w:rsidR="003943FD" w:rsidRPr="003943FD">
        <w:rPr>
          <w:rFonts w:ascii="Arial" w:hAnsi="Arial" w:cs="Arial"/>
          <w:sz w:val="24"/>
          <w:szCs w:val="24"/>
        </w:rPr>
        <w:t xml:space="preserve">strong digital and mobile growth, </w:t>
      </w:r>
      <w:r w:rsidR="00A65700">
        <w:rPr>
          <w:rFonts w:ascii="Arial" w:hAnsi="Arial" w:cs="Arial"/>
          <w:sz w:val="24"/>
          <w:szCs w:val="24"/>
        </w:rPr>
        <w:t xml:space="preserve">new and extended </w:t>
      </w:r>
      <w:r w:rsidRPr="003943FD">
        <w:rPr>
          <w:rFonts w:ascii="Arial" w:hAnsi="Arial" w:cs="Arial"/>
          <w:sz w:val="24"/>
          <w:szCs w:val="24"/>
        </w:rPr>
        <w:t>ranges</w:t>
      </w:r>
      <w:r w:rsidR="00B6500E">
        <w:rPr>
          <w:rFonts w:ascii="Arial" w:hAnsi="Arial" w:cs="Arial"/>
          <w:sz w:val="24"/>
          <w:szCs w:val="24"/>
        </w:rPr>
        <w:t>,</w:t>
      </w:r>
      <w:r w:rsidRPr="003943FD">
        <w:rPr>
          <w:rFonts w:ascii="Arial" w:hAnsi="Arial" w:cs="Arial"/>
          <w:sz w:val="24"/>
          <w:szCs w:val="24"/>
        </w:rPr>
        <w:t xml:space="preserve"> </w:t>
      </w:r>
      <w:r w:rsidR="0057404A">
        <w:rPr>
          <w:rFonts w:ascii="Arial" w:hAnsi="Arial" w:cs="Arial"/>
          <w:sz w:val="24"/>
          <w:szCs w:val="24"/>
        </w:rPr>
        <w:t>alongside the</w:t>
      </w:r>
      <w:r w:rsidRPr="003943FD">
        <w:rPr>
          <w:rFonts w:ascii="Arial" w:hAnsi="Arial" w:cs="Arial"/>
          <w:sz w:val="24"/>
          <w:szCs w:val="24"/>
        </w:rPr>
        <w:t xml:space="preserve"> continued roll out of new </w:t>
      </w:r>
      <w:r w:rsidR="00984A0A">
        <w:rPr>
          <w:rFonts w:ascii="Arial" w:hAnsi="Arial" w:cs="Arial"/>
          <w:sz w:val="24"/>
          <w:szCs w:val="24"/>
        </w:rPr>
        <w:t>outlet</w:t>
      </w:r>
      <w:r w:rsidR="00A65700">
        <w:rPr>
          <w:rFonts w:ascii="Arial" w:hAnsi="Arial" w:cs="Arial"/>
          <w:sz w:val="24"/>
          <w:szCs w:val="24"/>
        </w:rPr>
        <w:t>s</w:t>
      </w:r>
      <w:r w:rsidRPr="003943FD">
        <w:rPr>
          <w:rFonts w:ascii="Arial" w:hAnsi="Arial" w:cs="Arial"/>
          <w:sz w:val="24"/>
          <w:szCs w:val="24"/>
        </w:rPr>
        <w:t>. </w:t>
      </w:r>
      <w:r w:rsidR="00376C53" w:rsidRPr="003943FD">
        <w:rPr>
          <w:rFonts w:ascii="Arial" w:hAnsi="Arial" w:cs="Arial"/>
          <w:sz w:val="24"/>
          <w:szCs w:val="24"/>
        </w:rPr>
        <w:t>17</w:t>
      </w:r>
      <w:r w:rsidRPr="003943FD">
        <w:rPr>
          <w:rFonts w:ascii="Arial" w:hAnsi="Arial" w:cs="Arial"/>
          <w:sz w:val="24"/>
          <w:szCs w:val="24"/>
        </w:rPr>
        <w:t xml:space="preserve"> net new outlets were opened, taking the total to </w:t>
      </w:r>
      <w:r w:rsidR="00376C53" w:rsidRPr="003943FD">
        <w:rPr>
          <w:rFonts w:ascii="Arial" w:hAnsi="Arial" w:cs="Arial"/>
          <w:sz w:val="24"/>
          <w:szCs w:val="24"/>
        </w:rPr>
        <w:t>412</w:t>
      </w:r>
      <w:r w:rsidRPr="003943FD">
        <w:rPr>
          <w:rFonts w:ascii="Arial" w:hAnsi="Arial" w:cs="Arial"/>
          <w:sz w:val="24"/>
          <w:szCs w:val="24"/>
        </w:rPr>
        <w:t>.</w:t>
      </w:r>
      <w:r w:rsidR="009D5D63" w:rsidRPr="003943FD">
        <w:rPr>
          <w:rFonts w:ascii="Arial" w:hAnsi="Arial" w:cs="Arial"/>
          <w:sz w:val="24"/>
          <w:szCs w:val="24"/>
        </w:rPr>
        <w:t xml:space="preserve"> Screwfix remains on track to open 60 </w:t>
      </w:r>
      <w:r w:rsidR="003C3EAC">
        <w:rPr>
          <w:rFonts w:ascii="Arial" w:hAnsi="Arial" w:cs="Arial"/>
          <w:sz w:val="24"/>
          <w:szCs w:val="24"/>
        </w:rPr>
        <w:t>outlets</w:t>
      </w:r>
      <w:r w:rsidR="003C3EAC" w:rsidRPr="003943FD">
        <w:rPr>
          <w:rFonts w:ascii="Arial" w:hAnsi="Arial" w:cs="Arial"/>
          <w:sz w:val="24"/>
          <w:szCs w:val="24"/>
        </w:rPr>
        <w:t xml:space="preserve"> </w:t>
      </w:r>
      <w:r w:rsidR="00182848" w:rsidRPr="003943FD">
        <w:rPr>
          <w:rFonts w:ascii="Arial" w:hAnsi="Arial" w:cs="Arial"/>
          <w:sz w:val="24"/>
          <w:szCs w:val="24"/>
        </w:rPr>
        <w:t>in FY</w:t>
      </w:r>
      <w:r w:rsidR="00A65700">
        <w:rPr>
          <w:rFonts w:ascii="Arial" w:hAnsi="Arial" w:cs="Arial"/>
          <w:sz w:val="24"/>
          <w:szCs w:val="24"/>
        </w:rPr>
        <w:t xml:space="preserve"> </w:t>
      </w:r>
      <w:r w:rsidR="00182848" w:rsidRPr="003943FD">
        <w:rPr>
          <w:rFonts w:ascii="Arial" w:hAnsi="Arial" w:cs="Arial"/>
          <w:sz w:val="24"/>
          <w:szCs w:val="24"/>
        </w:rPr>
        <w:t>2015/16.</w:t>
      </w:r>
    </w:p>
    <w:p w14:paraId="4EBF68B3" w14:textId="77777777" w:rsidR="00182848" w:rsidRDefault="00182848" w:rsidP="00657B3E">
      <w:pPr>
        <w:pStyle w:val="PlainText"/>
        <w:rPr>
          <w:rFonts w:ascii="Arial" w:hAnsi="Arial" w:cs="Arial"/>
          <w:color w:val="FF0000"/>
          <w:sz w:val="24"/>
          <w:szCs w:val="24"/>
          <w:highlight w:val="yellow"/>
        </w:rPr>
      </w:pPr>
    </w:p>
    <w:p w14:paraId="52A93325" w14:textId="77777777" w:rsidR="004B376D" w:rsidRDefault="004B376D">
      <w:pPr>
        <w:jc w:val="left"/>
        <w:rPr>
          <w:rFonts w:ascii="Arial" w:hAnsi="Arial" w:cs="Arial"/>
          <w:b/>
          <w:bCs/>
          <w:sz w:val="24"/>
          <w:szCs w:val="24"/>
        </w:rPr>
      </w:pPr>
      <w:r>
        <w:rPr>
          <w:rFonts w:ascii="Arial" w:hAnsi="Arial" w:cs="Arial"/>
          <w:b/>
          <w:bCs/>
          <w:sz w:val="24"/>
          <w:szCs w:val="24"/>
        </w:rPr>
        <w:br w:type="page"/>
      </w:r>
    </w:p>
    <w:p w14:paraId="73741D80" w14:textId="4BCEABFF" w:rsidR="001B3B55" w:rsidRDefault="001B3B55" w:rsidP="00506D26">
      <w:pPr>
        <w:rPr>
          <w:rFonts w:ascii="Arial" w:hAnsi="Arial" w:cs="Arial"/>
          <w:b/>
          <w:bCs/>
          <w:sz w:val="24"/>
          <w:szCs w:val="24"/>
        </w:rPr>
      </w:pPr>
      <w:r w:rsidRPr="000971B9">
        <w:rPr>
          <w:rFonts w:ascii="Arial" w:hAnsi="Arial" w:cs="Arial"/>
          <w:b/>
          <w:bCs/>
          <w:sz w:val="24"/>
          <w:szCs w:val="24"/>
        </w:rPr>
        <w:lastRenderedPageBreak/>
        <w:t>OTHER INTERNATIONAL</w:t>
      </w:r>
      <w:r w:rsidR="00E652D5" w:rsidRPr="000971B9">
        <w:rPr>
          <w:rFonts w:ascii="Arial" w:hAnsi="Arial" w:cs="Arial"/>
          <w:b/>
          <w:bCs/>
          <w:sz w:val="24"/>
          <w:szCs w:val="24"/>
        </w:rPr>
        <w:t>*</w:t>
      </w:r>
    </w:p>
    <w:p w14:paraId="50994A52" w14:textId="77777777" w:rsidR="004E7075" w:rsidRDefault="004E7075" w:rsidP="00506D26">
      <w:pPr>
        <w:rPr>
          <w:rFonts w:ascii="Arial" w:hAnsi="Arial" w:cs="Arial"/>
          <w:b/>
          <w:bCs/>
          <w:sz w:val="24"/>
          <w:szCs w:val="24"/>
        </w:rPr>
      </w:pPr>
    </w:p>
    <w:tbl>
      <w:tblPr>
        <w:tblW w:w="491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7"/>
        <w:gridCol w:w="1500"/>
        <w:gridCol w:w="1233"/>
        <w:gridCol w:w="1695"/>
        <w:gridCol w:w="1670"/>
        <w:gridCol w:w="993"/>
      </w:tblGrid>
      <w:tr w:rsidR="004E7075" w:rsidRPr="000971B9" w14:paraId="263FA76F" w14:textId="77777777" w:rsidTr="00317387">
        <w:tc>
          <w:tcPr>
            <w:tcW w:w="1251" w:type="pct"/>
            <w:tcBorders>
              <w:bottom w:val="single" w:sz="4" w:space="0" w:color="auto"/>
            </w:tcBorders>
          </w:tcPr>
          <w:p w14:paraId="3D73FD15" w14:textId="77777777" w:rsidR="004E7075" w:rsidRPr="004E7075" w:rsidRDefault="004E7075" w:rsidP="00317387">
            <w:pPr>
              <w:rPr>
                <w:rFonts w:ascii="Arial" w:hAnsi="Arial" w:cs="Arial"/>
                <w:b/>
                <w:sz w:val="24"/>
                <w:szCs w:val="24"/>
              </w:rPr>
            </w:pPr>
            <w:r w:rsidRPr="004E7075">
              <w:rPr>
                <w:rFonts w:ascii="Arial" w:hAnsi="Arial" w:cs="Arial"/>
                <w:b/>
                <w:sz w:val="24"/>
                <w:szCs w:val="24"/>
              </w:rPr>
              <w:t>£m</w:t>
            </w:r>
          </w:p>
        </w:tc>
        <w:tc>
          <w:tcPr>
            <w:tcW w:w="793" w:type="pct"/>
            <w:tcBorders>
              <w:bottom w:val="single" w:sz="4" w:space="0" w:color="auto"/>
            </w:tcBorders>
          </w:tcPr>
          <w:p w14:paraId="25C0D6C9" w14:textId="77777777" w:rsidR="004E7075" w:rsidRPr="000971B9" w:rsidRDefault="004E7075" w:rsidP="00317387">
            <w:pPr>
              <w:jc w:val="right"/>
              <w:rPr>
                <w:rFonts w:ascii="Arial" w:hAnsi="Arial" w:cs="Arial"/>
                <w:sz w:val="24"/>
                <w:szCs w:val="24"/>
              </w:rPr>
            </w:pPr>
            <w:r>
              <w:rPr>
                <w:rFonts w:ascii="Arial" w:hAnsi="Arial" w:cs="Arial"/>
                <w:b/>
                <w:bCs/>
                <w:sz w:val="24"/>
                <w:szCs w:val="24"/>
              </w:rPr>
              <w:t>2015/16</w:t>
            </w:r>
          </w:p>
        </w:tc>
        <w:tc>
          <w:tcPr>
            <w:tcW w:w="652" w:type="pct"/>
            <w:tcBorders>
              <w:bottom w:val="single" w:sz="4" w:space="0" w:color="auto"/>
            </w:tcBorders>
          </w:tcPr>
          <w:p w14:paraId="71FCB3C9" w14:textId="77777777" w:rsidR="004E7075" w:rsidRPr="000971B9" w:rsidRDefault="004E7075" w:rsidP="00317387">
            <w:pPr>
              <w:jc w:val="right"/>
              <w:rPr>
                <w:rFonts w:ascii="Arial" w:hAnsi="Arial" w:cs="Arial"/>
                <w:b/>
                <w:bCs/>
                <w:sz w:val="24"/>
                <w:szCs w:val="24"/>
              </w:rPr>
            </w:pPr>
            <w:r>
              <w:rPr>
                <w:rFonts w:ascii="Arial" w:hAnsi="Arial" w:cs="Arial"/>
                <w:b/>
                <w:bCs/>
                <w:sz w:val="24"/>
                <w:szCs w:val="24"/>
              </w:rPr>
              <w:t>2014/15</w:t>
            </w:r>
          </w:p>
        </w:tc>
        <w:tc>
          <w:tcPr>
            <w:tcW w:w="896" w:type="pct"/>
            <w:tcBorders>
              <w:bottom w:val="single" w:sz="4" w:space="0" w:color="auto"/>
            </w:tcBorders>
          </w:tcPr>
          <w:p w14:paraId="068A0CE6" w14:textId="77777777" w:rsidR="004E7075" w:rsidRPr="000971B9" w:rsidRDefault="004E7075" w:rsidP="00317387">
            <w:pPr>
              <w:jc w:val="right"/>
              <w:rPr>
                <w:rFonts w:ascii="Arial" w:hAnsi="Arial" w:cs="Arial"/>
                <w:b/>
                <w:bCs/>
                <w:sz w:val="24"/>
                <w:szCs w:val="24"/>
              </w:rPr>
            </w:pPr>
            <w:r w:rsidRPr="000971B9">
              <w:rPr>
                <w:rFonts w:ascii="Arial" w:hAnsi="Arial" w:cs="Arial"/>
                <w:b/>
                <w:bCs/>
                <w:sz w:val="24"/>
                <w:szCs w:val="24"/>
              </w:rPr>
              <w:t>% Reported</w:t>
            </w:r>
            <w:r w:rsidRPr="000971B9" w:rsidDel="00197636">
              <w:rPr>
                <w:rFonts w:ascii="Arial" w:hAnsi="Arial" w:cs="Arial"/>
                <w:b/>
                <w:bCs/>
                <w:sz w:val="24"/>
                <w:szCs w:val="24"/>
              </w:rPr>
              <w:t xml:space="preserve"> </w:t>
            </w:r>
            <w:r w:rsidRPr="000971B9">
              <w:rPr>
                <w:rFonts w:ascii="Arial" w:hAnsi="Arial" w:cs="Arial"/>
                <w:b/>
                <w:bCs/>
                <w:sz w:val="24"/>
                <w:szCs w:val="24"/>
              </w:rPr>
              <w:t>Change</w:t>
            </w:r>
          </w:p>
          <w:p w14:paraId="791D962A" w14:textId="77777777" w:rsidR="004E7075" w:rsidRPr="000971B9" w:rsidRDefault="004E7075" w:rsidP="00317387">
            <w:pPr>
              <w:jc w:val="right"/>
              <w:rPr>
                <w:rFonts w:ascii="Arial" w:hAnsi="Arial" w:cs="Arial"/>
                <w:b/>
                <w:bCs/>
                <w:sz w:val="24"/>
                <w:szCs w:val="24"/>
              </w:rPr>
            </w:pPr>
          </w:p>
        </w:tc>
        <w:tc>
          <w:tcPr>
            <w:tcW w:w="883" w:type="pct"/>
            <w:tcBorders>
              <w:bottom w:val="single" w:sz="4" w:space="0" w:color="auto"/>
            </w:tcBorders>
          </w:tcPr>
          <w:p w14:paraId="7F16B573" w14:textId="77777777" w:rsidR="004E7075" w:rsidRPr="000971B9" w:rsidRDefault="004E7075" w:rsidP="00317387">
            <w:pPr>
              <w:jc w:val="right"/>
              <w:rPr>
                <w:rFonts w:ascii="Arial" w:hAnsi="Arial" w:cs="Arial"/>
                <w:b/>
                <w:bCs/>
                <w:sz w:val="24"/>
                <w:szCs w:val="24"/>
              </w:rPr>
            </w:pPr>
            <w:r w:rsidRPr="000971B9">
              <w:rPr>
                <w:rFonts w:ascii="Arial" w:hAnsi="Arial" w:cs="Arial"/>
                <w:b/>
                <w:bCs/>
                <w:sz w:val="24"/>
                <w:szCs w:val="24"/>
              </w:rPr>
              <w:t>%</w:t>
            </w:r>
            <w:r>
              <w:rPr>
                <w:rFonts w:ascii="Arial" w:hAnsi="Arial" w:cs="Arial"/>
                <w:b/>
                <w:bCs/>
                <w:sz w:val="24"/>
                <w:szCs w:val="24"/>
              </w:rPr>
              <w:t xml:space="preserve"> </w:t>
            </w:r>
            <w:r w:rsidRPr="000971B9">
              <w:rPr>
                <w:rFonts w:ascii="Arial" w:hAnsi="Arial" w:cs="Arial"/>
                <w:b/>
                <w:bCs/>
                <w:sz w:val="24"/>
                <w:szCs w:val="24"/>
              </w:rPr>
              <w:t>Constant</w:t>
            </w:r>
          </w:p>
          <w:p w14:paraId="253C0812" w14:textId="77777777" w:rsidR="004E7075" w:rsidRDefault="004E7075" w:rsidP="00317387">
            <w:pPr>
              <w:jc w:val="right"/>
              <w:rPr>
                <w:rFonts w:ascii="Arial" w:hAnsi="Arial" w:cs="Arial"/>
                <w:b/>
                <w:bCs/>
                <w:sz w:val="24"/>
                <w:szCs w:val="24"/>
              </w:rPr>
            </w:pPr>
            <w:r>
              <w:rPr>
                <w:rFonts w:ascii="Arial" w:hAnsi="Arial" w:cs="Arial"/>
                <w:b/>
                <w:bCs/>
                <w:sz w:val="24"/>
                <w:szCs w:val="24"/>
              </w:rPr>
              <w:t>Currency</w:t>
            </w:r>
          </w:p>
          <w:p w14:paraId="0B0E67CB" w14:textId="77777777" w:rsidR="004E7075" w:rsidRPr="000971B9" w:rsidRDefault="004E7075" w:rsidP="00317387">
            <w:pPr>
              <w:jc w:val="right"/>
              <w:rPr>
                <w:rFonts w:ascii="Arial" w:hAnsi="Arial" w:cs="Arial"/>
                <w:b/>
                <w:bCs/>
                <w:sz w:val="24"/>
                <w:szCs w:val="24"/>
              </w:rPr>
            </w:pPr>
            <w:r w:rsidRPr="000971B9">
              <w:rPr>
                <w:rFonts w:ascii="Arial" w:hAnsi="Arial" w:cs="Arial"/>
                <w:b/>
                <w:bCs/>
                <w:sz w:val="24"/>
                <w:szCs w:val="24"/>
              </w:rPr>
              <w:t xml:space="preserve">Change  </w:t>
            </w:r>
          </w:p>
        </w:tc>
        <w:tc>
          <w:tcPr>
            <w:tcW w:w="525" w:type="pct"/>
            <w:tcBorders>
              <w:bottom w:val="single" w:sz="4" w:space="0" w:color="auto"/>
            </w:tcBorders>
          </w:tcPr>
          <w:p w14:paraId="42B094A3" w14:textId="77777777" w:rsidR="004E7075" w:rsidRPr="000971B9" w:rsidRDefault="004E7075" w:rsidP="00317387">
            <w:pPr>
              <w:ind w:hanging="108"/>
              <w:jc w:val="right"/>
              <w:rPr>
                <w:rFonts w:ascii="Arial" w:hAnsi="Arial" w:cs="Arial"/>
                <w:b/>
                <w:bCs/>
                <w:sz w:val="24"/>
                <w:szCs w:val="24"/>
              </w:rPr>
            </w:pPr>
            <w:r w:rsidRPr="000971B9">
              <w:rPr>
                <w:rFonts w:ascii="Arial" w:hAnsi="Arial" w:cs="Arial"/>
                <w:b/>
                <w:bCs/>
                <w:sz w:val="24"/>
                <w:szCs w:val="24"/>
              </w:rPr>
              <w:t>% LFL</w:t>
            </w:r>
          </w:p>
          <w:p w14:paraId="0B430C68" w14:textId="77777777" w:rsidR="004E7075" w:rsidRPr="000971B9" w:rsidRDefault="004E7075" w:rsidP="00317387">
            <w:pPr>
              <w:ind w:hanging="108"/>
              <w:jc w:val="right"/>
              <w:rPr>
                <w:rFonts w:ascii="Arial" w:hAnsi="Arial" w:cs="Arial"/>
                <w:b/>
                <w:bCs/>
                <w:sz w:val="24"/>
                <w:szCs w:val="24"/>
              </w:rPr>
            </w:pPr>
            <w:r w:rsidRPr="000971B9">
              <w:rPr>
                <w:rFonts w:ascii="Arial" w:hAnsi="Arial" w:cs="Arial"/>
                <w:b/>
                <w:bCs/>
                <w:sz w:val="24"/>
                <w:szCs w:val="24"/>
              </w:rPr>
              <w:t>Change</w:t>
            </w:r>
          </w:p>
        </w:tc>
      </w:tr>
      <w:tr w:rsidR="004E7075" w:rsidRPr="000971B9" w14:paraId="53C3196C" w14:textId="77777777" w:rsidTr="00CB3439">
        <w:trPr>
          <w:trHeight w:val="147"/>
        </w:trPr>
        <w:tc>
          <w:tcPr>
            <w:tcW w:w="1251" w:type="pct"/>
            <w:tcBorders>
              <w:bottom w:val="single" w:sz="4" w:space="0" w:color="auto"/>
            </w:tcBorders>
            <w:shd w:val="clear" w:color="auto" w:fill="auto"/>
          </w:tcPr>
          <w:p w14:paraId="730702E5" w14:textId="77777777" w:rsidR="004E7075" w:rsidRPr="00CB3439" w:rsidRDefault="004E7075" w:rsidP="00317387">
            <w:pPr>
              <w:rPr>
                <w:rFonts w:ascii="Arial" w:hAnsi="Arial" w:cs="Arial"/>
                <w:b/>
                <w:sz w:val="24"/>
                <w:szCs w:val="24"/>
              </w:rPr>
            </w:pPr>
            <w:r w:rsidRPr="00CB3439">
              <w:rPr>
                <w:rFonts w:ascii="Arial" w:hAnsi="Arial" w:cs="Arial"/>
                <w:b/>
                <w:bCs/>
                <w:sz w:val="24"/>
                <w:szCs w:val="24"/>
              </w:rPr>
              <w:t>Sales</w:t>
            </w:r>
          </w:p>
        </w:tc>
        <w:tc>
          <w:tcPr>
            <w:tcW w:w="793" w:type="pct"/>
            <w:tcBorders>
              <w:bottom w:val="single" w:sz="4" w:space="0" w:color="auto"/>
            </w:tcBorders>
            <w:shd w:val="clear" w:color="auto" w:fill="auto"/>
          </w:tcPr>
          <w:p w14:paraId="6F070685" w14:textId="5F4A5094" w:rsidR="004E7075" w:rsidRPr="00CB3439" w:rsidRDefault="0056628A" w:rsidP="00317387">
            <w:pPr>
              <w:jc w:val="right"/>
              <w:rPr>
                <w:rFonts w:ascii="Arial" w:hAnsi="Arial" w:cs="Arial"/>
                <w:sz w:val="24"/>
                <w:szCs w:val="24"/>
              </w:rPr>
            </w:pPr>
            <w:r w:rsidRPr="00CB3439">
              <w:rPr>
                <w:rFonts w:ascii="Arial" w:hAnsi="Arial" w:cs="Arial"/>
                <w:sz w:val="24"/>
                <w:szCs w:val="24"/>
              </w:rPr>
              <w:t>879</w:t>
            </w:r>
          </w:p>
        </w:tc>
        <w:tc>
          <w:tcPr>
            <w:tcW w:w="652" w:type="pct"/>
            <w:tcBorders>
              <w:bottom w:val="single" w:sz="4" w:space="0" w:color="auto"/>
            </w:tcBorders>
            <w:shd w:val="clear" w:color="auto" w:fill="auto"/>
          </w:tcPr>
          <w:p w14:paraId="7B921BEA" w14:textId="5E840C0F" w:rsidR="004E7075" w:rsidRPr="00CB3439" w:rsidRDefault="00E71B3C" w:rsidP="00317387">
            <w:pPr>
              <w:jc w:val="right"/>
              <w:rPr>
                <w:rFonts w:ascii="Arial" w:hAnsi="Arial" w:cs="Arial"/>
                <w:sz w:val="24"/>
                <w:szCs w:val="24"/>
              </w:rPr>
            </w:pPr>
            <w:r w:rsidRPr="00CB3439">
              <w:rPr>
                <w:rFonts w:ascii="Arial" w:hAnsi="Arial" w:cs="Arial"/>
                <w:sz w:val="24"/>
                <w:szCs w:val="24"/>
              </w:rPr>
              <w:t>981</w:t>
            </w:r>
          </w:p>
        </w:tc>
        <w:tc>
          <w:tcPr>
            <w:tcW w:w="896" w:type="pct"/>
            <w:tcBorders>
              <w:bottom w:val="single" w:sz="4" w:space="0" w:color="auto"/>
            </w:tcBorders>
            <w:shd w:val="clear" w:color="auto" w:fill="auto"/>
          </w:tcPr>
          <w:p w14:paraId="2F45ED19" w14:textId="58BAF7CD" w:rsidR="004E7075" w:rsidRPr="00CB3439" w:rsidRDefault="0056628A" w:rsidP="00317387">
            <w:pPr>
              <w:jc w:val="right"/>
              <w:rPr>
                <w:rFonts w:ascii="Arial" w:hAnsi="Arial" w:cs="Arial"/>
                <w:sz w:val="24"/>
                <w:szCs w:val="24"/>
              </w:rPr>
            </w:pPr>
            <w:r w:rsidRPr="00CB3439">
              <w:rPr>
                <w:rFonts w:ascii="Arial" w:hAnsi="Arial" w:cs="Arial"/>
                <w:sz w:val="24"/>
                <w:szCs w:val="24"/>
              </w:rPr>
              <w:t>(10.3)%</w:t>
            </w:r>
          </w:p>
        </w:tc>
        <w:tc>
          <w:tcPr>
            <w:tcW w:w="883" w:type="pct"/>
            <w:tcBorders>
              <w:bottom w:val="single" w:sz="4" w:space="0" w:color="auto"/>
            </w:tcBorders>
            <w:shd w:val="clear" w:color="auto" w:fill="auto"/>
          </w:tcPr>
          <w:p w14:paraId="28A5B31F" w14:textId="58A0B514" w:rsidR="004E7075" w:rsidRPr="00CB3439" w:rsidRDefault="00CB3439" w:rsidP="00317387">
            <w:pPr>
              <w:jc w:val="right"/>
              <w:rPr>
                <w:rFonts w:ascii="Arial" w:hAnsi="Arial" w:cs="Arial"/>
                <w:sz w:val="24"/>
                <w:szCs w:val="24"/>
              </w:rPr>
            </w:pPr>
            <w:r w:rsidRPr="00CB3439">
              <w:rPr>
                <w:rFonts w:ascii="Arial" w:hAnsi="Arial" w:cs="Arial"/>
                <w:sz w:val="24"/>
                <w:szCs w:val="24"/>
              </w:rPr>
              <w:t>+5.7%</w:t>
            </w:r>
          </w:p>
        </w:tc>
        <w:tc>
          <w:tcPr>
            <w:tcW w:w="525" w:type="pct"/>
            <w:tcBorders>
              <w:bottom w:val="single" w:sz="4" w:space="0" w:color="auto"/>
            </w:tcBorders>
            <w:shd w:val="clear" w:color="auto" w:fill="auto"/>
          </w:tcPr>
          <w:p w14:paraId="77D57A55" w14:textId="101FD7C3" w:rsidR="004E7075" w:rsidRPr="00CB3439" w:rsidRDefault="00CB3439" w:rsidP="00317387">
            <w:pPr>
              <w:jc w:val="right"/>
              <w:rPr>
                <w:rFonts w:ascii="Arial" w:hAnsi="Arial" w:cs="Arial"/>
                <w:sz w:val="24"/>
                <w:szCs w:val="24"/>
              </w:rPr>
            </w:pPr>
            <w:r>
              <w:rPr>
                <w:rFonts w:ascii="Arial" w:hAnsi="Arial" w:cs="Arial"/>
                <w:sz w:val="24"/>
                <w:szCs w:val="24"/>
              </w:rPr>
              <w:t>+3.7%</w:t>
            </w:r>
          </w:p>
        </w:tc>
      </w:tr>
      <w:tr w:rsidR="004E7075" w:rsidRPr="000971B9" w14:paraId="09A52956" w14:textId="77777777" w:rsidTr="00317387">
        <w:trPr>
          <w:gridAfter w:val="1"/>
          <w:wAfter w:w="525" w:type="pct"/>
        </w:trPr>
        <w:tc>
          <w:tcPr>
            <w:tcW w:w="1251" w:type="pct"/>
            <w:tcBorders>
              <w:top w:val="nil"/>
              <w:left w:val="nil"/>
              <w:bottom w:val="single" w:sz="4" w:space="0" w:color="auto"/>
              <w:right w:val="nil"/>
            </w:tcBorders>
          </w:tcPr>
          <w:p w14:paraId="7EB31886" w14:textId="77777777" w:rsidR="004E7075" w:rsidRPr="004E7075" w:rsidRDefault="004E7075" w:rsidP="00317387">
            <w:pPr>
              <w:rPr>
                <w:rFonts w:ascii="Arial" w:hAnsi="Arial" w:cs="Arial"/>
                <w:bCs/>
                <w:sz w:val="24"/>
                <w:szCs w:val="24"/>
              </w:rPr>
            </w:pPr>
          </w:p>
        </w:tc>
        <w:tc>
          <w:tcPr>
            <w:tcW w:w="793" w:type="pct"/>
            <w:tcBorders>
              <w:top w:val="nil"/>
              <w:left w:val="nil"/>
              <w:bottom w:val="single" w:sz="4" w:space="0" w:color="auto"/>
              <w:right w:val="nil"/>
            </w:tcBorders>
          </w:tcPr>
          <w:p w14:paraId="37C0DA25" w14:textId="77777777" w:rsidR="004E7075" w:rsidRPr="000971B9" w:rsidRDefault="004E7075" w:rsidP="00317387">
            <w:pPr>
              <w:jc w:val="right"/>
              <w:rPr>
                <w:rFonts w:ascii="Arial" w:hAnsi="Arial" w:cs="Arial"/>
                <w:sz w:val="24"/>
                <w:szCs w:val="24"/>
              </w:rPr>
            </w:pPr>
          </w:p>
        </w:tc>
        <w:tc>
          <w:tcPr>
            <w:tcW w:w="652" w:type="pct"/>
            <w:tcBorders>
              <w:top w:val="nil"/>
              <w:left w:val="nil"/>
              <w:bottom w:val="single" w:sz="4" w:space="0" w:color="auto"/>
              <w:right w:val="nil"/>
            </w:tcBorders>
          </w:tcPr>
          <w:p w14:paraId="7C7D94E1" w14:textId="77777777" w:rsidR="004E7075" w:rsidRPr="000971B9" w:rsidRDefault="004E7075" w:rsidP="00317387">
            <w:pPr>
              <w:jc w:val="right"/>
              <w:rPr>
                <w:rFonts w:ascii="Arial" w:hAnsi="Arial" w:cs="Arial"/>
                <w:sz w:val="24"/>
                <w:szCs w:val="24"/>
              </w:rPr>
            </w:pPr>
          </w:p>
        </w:tc>
        <w:tc>
          <w:tcPr>
            <w:tcW w:w="896" w:type="pct"/>
            <w:tcBorders>
              <w:top w:val="nil"/>
              <w:left w:val="nil"/>
              <w:bottom w:val="single" w:sz="4" w:space="0" w:color="auto"/>
              <w:right w:val="nil"/>
            </w:tcBorders>
          </w:tcPr>
          <w:p w14:paraId="78C57AF7" w14:textId="77777777" w:rsidR="004E7075" w:rsidRPr="000971B9" w:rsidRDefault="004E7075" w:rsidP="00317387">
            <w:pPr>
              <w:jc w:val="right"/>
              <w:rPr>
                <w:rFonts w:ascii="Arial" w:hAnsi="Arial" w:cs="Arial"/>
                <w:sz w:val="24"/>
                <w:szCs w:val="24"/>
              </w:rPr>
            </w:pPr>
          </w:p>
        </w:tc>
        <w:tc>
          <w:tcPr>
            <w:tcW w:w="883" w:type="pct"/>
            <w:tcBorders>
              <w:top w:val="nil"/>
              <w:left w:val="nil"/>
              <w:bottom w:val="single" w:sz="4" w:space="0" w:color="auto"/>
              <w:right w:val="nil"/>
            </w:tcBorders>
          </w:tcPr>
          <w:p w14:paraId="4B0B400E" w14:textId="77777777" w:rsidR="004E7075" w:rsidRPr="000971B9" w:rsidRDefault="004E7075" w:rsidP="00317387">
            <w:pPr>
              <w:jc w:val="right"/>
              <w:rPr>
                <w:rFonts w:ascii="Arial" w:hAnsi="Arial" w:cs="Arial"/>
                <w:sz w:val="24"/>
                <w:szCs w:val="24"/>
              </w:rPr>
            </w:pPr>
          </w:p>
        </w:tc>
      </w:tr>
      <w:tr w:rsidR="004E7075" w:rsidRPr="000971B9" w14:paraId="1D167D9F" w14:textId="77777777" w:rsidTr="004E7075">
        <w:trPr>
          <w:gridAfter w:val="1"/>
          <w:wAfter w:w="525" w:type="pct"/>
        </w:trPr>
        <w:tc>
          <w:tcPr>
            <w:tcW w:w="1251" w:type="pct"/>
            <w:tcBorders>
              <w:top w:val="single" w:sz="4" w:space="0" w:color="auto"/>
              <w:bottom w:val="single" w:sz="4" w:space="0" w:color="auto"/>
            </w:tcBorders>
          </w:tcPr>
          <w:p w14:paraId="202F9053" w14:textId="77777777" w:rsidR="004E7075" w:rsidRPr="004E7075" w:rsidRDefault="004E7075" w:rsidP="00317387">
            <w:pPr>
              <w:rPr>
                <w:rFonts w:ascii="Arial" w:hAnsi="Arial" w:cs="Arial"/>
                <w:b/>
                <w:sz w:val="24"/>
                <w:szCs w:val="24"/>
              </w:rPr>
            </w:pPr>
            <w:r w:rsidRPr="004E7075">
              <w:rPr>
                <w:rFonts w:ascii="Arial" w:hAnsi="Arial" w:cs="Arial"/>
                <w:b/>
                <w:bCs/>
                <w:sz w:val="24"/>
                <w:szCs w:val="24"/>
              </w:rPr>
              <w:t>Retail profit</w:t>
            </w:r>
          </w:p>
        </w:tc>
        <w:tc>
          <w:tcPr>
            <w:tcW w:w="793" w:type="pct"/>
            <w:tcBorders>
              <w:top w:val="single" w:sz="4" w:space="0" w:color="auto"/>
              <w:bottom w:val="single" w:sz="4" w:space="0" w:color="auto"/>
            </w:tcBorders>
          </w:tcPr>
          <w:p w14:paraId="5BC08FF3" w14:textId="77777777" w:rsidR="004E7075" w:rsidRPr="000971B9" w:rsidRDefault="004E7075" w:rsidP="00317387">
            <w:pPr>
              <w:jc w:val="right"/>
              <w:rPr>
                <w:rFonts w:ascii="Arial" w:hAnsi="Arial" w:cs="Arial"/>
                <w:sz w:val="24"/>
                <w:szCs w:val="24"/>
              </w:rPr>
            </w:pPr>
          </w:p>
        </w:tc>
        <w:tc>
          <w:tcPr>
            <w:tcW w:w="652" w:type="pct"/>
            <w:tcBorders>
              <w:top w:val="single" w:sz="4" w:space="0" w:color="auto"/>
              <w:bottom w:val="single" w:sz="4" w:space="0" w:color="auto"/>
            </w:tcBorders>
          </w:tcPr>
          <w:p w14:paraId="055F4847" w14:textId="77777777" w:rsidR="004E7075" w:rsidRPr="000971B9" w:rsidRDefault="004E7075" w:rsidP="00317387">
            <w:pPr>
              <w:jc w:val="right"/>
              <w:rPr>
                <w:rFonts w:ascii="Arial" w:hAnsi="Arial" w:cs="Arial"/>
                <w:sz w:val="24"/>
                <w:szCs w:val="24"/>
              </w:rPr>
            </w:pPr>
          </w:p>
        </w:tc>
        <w:tc>
          <w:tcPr>
            <w:tcW w:w="896" w:type="pct"/>
            <w:tcBorders>
              <w:top w:val="single" w:sz="4" w:space="0" w:color="auto"/>
              <w:bottom w:val="single" w:sz="4" w:space="0" w:color="auto"/>
            </w:tcBorders>
          </w:tcPr>
          <w:p w14:paraId="33648DF5" w14:textId="77777777" w:rsidR="004E7075" w:rsidRPr="000971B9" w:rsidRDefault="004E7075" w:rsidP="00317387">
            <w:pPr>
              <w:jc w:val="right"/>
              <w:rPr>
                <w:rFonts w:ascii="Arial" w:hAnsi="Arial" w:cs="Arial"/>
                <w:sz w:val="24"/>
                <w:szCs w:val="24"/>
              </w:rPr>
            </w:pPr>
          </w:p>
        </w:tc>
        <w:tc>
          <w:tcPr>
            <w:tcW w:w="883" w:type="pct"/>
            <w:tcBorders>
              <w:top w:val="single" w:sz="4" w:space="0" w:color="auto"/>
              <w:bottom w:val="single" w:sz="4" w:space="0" w:color="auto"/>
            </w:tcBorders>
          </w:tcPr>
          <w:p w14:paraId="33A6B264" w14:textId="77777777" w:rsidR="004E7075" w:rsidRPr="000971B9" w:rsidRDefault="004E7075" w:rsidP="00317387">
            <w:pPr>
              <w:jc w:val="right"/>
              <w:rPr>
                <w:rFonts w:ascii="Arial" w:hAnsi="Arial" w:cs="Arial"/>
                <w:sz w:val="24"/>
                <w:szCs w:val="24"/>
              </w:rPr>
            </w:pPr>
          </w:p>
        </w:tc>
      </w:tr>
      <w:tr w:rsidR="004E7075" w:rsidRPr="000971B9" w14:paraId="6580ED2C" w14:textId="77777777" w:rsidTr="00317387">
        <w:trPr>
          <w:gridAfter w:val="1"/>
          <w:wAfter w:w="525" w:type="pct"/>
        </w:trPr>
        <w:tc>
          <w:tcPr>
            <w:tcW w:w="1251" w:type="pct"/>
            <w:tcBorders>
              <w:top w:val="single" w:sz="4" w:space="0" w:color="auto"/>
            </w:tcBorders>
          </w:tcPr>
          <w:p w14:paraId="0B2EF3A1" w14:textId="39E487AC" w:rsidR="004E7075" w:rsidRPr="004E7075" w:rsidRDefault="004E7075" w:rsidP="004E7075">
            <w:pPr>
              <w:jc w:val="left"/>
              <w:rPr>
                <w:rFonts w:ascii="Arial" w:hAnsi="Arial" w:cs="Arial"/>
                <w:bCs/>
                <w:sz w:val="24"/>
                <w:szCs w:val="24"/>
              </w:rPr>
            </w:pPr>
            <w:r w:rsidRPr="000971B9">
              <w:rPr>
                <w:rFonts w:ascii="Arial" w:hAnsi="Arial" w:cs="Arial"/>
                <w:sz w:val="24"/>
                <w:szCs w:val="24"/>
              </w:rPr>
              <w:t>Other International</w:t>
            </w:r>
            <w:r>
              <w:rPr>
                <w:rFonts w:ascii="Arial" w:hAnsi="Arial" w:cs="Arial"/>
                <w:sz w:val="24"/>
                <w:szCs w:val="24"/>
              </w:rPr>
              <w:t xml:space="preserve"> (established)</w:t>
            </w:r>
          </w:p>
        </w:tc>
        <w:tc>
          <w:tcPr>
            <w:tcW w:w="793" w:type="pct"/>
            <w:tcBorders>
              <w:top w:val="single" w:sz="4" w:space="0" w:color="auto"/>
            </w:tcBorders>
          </w:tcPr>
          <w:p w14:paraId="23452CCD" w14:textId="5157DDD0" w:rsidR="004E7075" w:rsidRPr="000971B9" w:rsidRDefault="0056628A" w:rsidP="004E7075">
            <w:pPr>
              <w:jc w:val="right"/>
              <w:rPr>
                <w:rFonts w:ascii="Arial" w:hAnsi="Arial" w:cs="Arial"/>
                <w:sz w:val="24"/>
                <w:szCs w:val="24"/>
              </w:rPr>
            </w:pPr>
            <w:r>
              <w:rPr>
                <w:rFonts w:ascii="Arial" w:hAnsi="Arial" w:cs="Arial"/>
                <w:sz w:val="24"/>
                <w:szCs w:val="24"/>
              </w:rPr>
              <w:t>60</w:t>
            </w:r>
          </w:p>
        </w:tc>
        <w:tc>
          <w:tcPr>
            <w:tcW w:w="652" w:type="pct"/>
            <w:tcBorders>
              <w:top w:val="single" w:sz="4" w:space="0" w:color="auto"/>
            </w:tcBorders>
          </w:tcPr>
          <w:p w14:paraId="2FD468A0" w14:textId="7320F95A" w:rsidR="004E7075" w:rsidRPr="000971B9" w:rsidRDefault="0056628A" w:rsidP="004E7075">
            <w:pPr>
              <w:jc w:val="right"/>
              <w:rPr>
                <w:rFonts w:ascii="Arial" w:hAnsi="Arial" w:cs="Arial"/>
                <w:sz w:val="24"/>
                <w:szCs w:val="24"/>
              </w:rPr>
            </w:pPr>
            <w:r>
              <w:rPr>
                <w:rFonts w:ascii="Arial" w:hAnsi="Arial" w:cs="Arial"/>
                <w:sz w:val="24"/>
                <w:szCs w:val="24"/>
              </w:rPr>
              <w:t>64</w:t>
            </w:r>
          </w:p>
        </w:tc>
        <w:tc>
          <w:tcPr>
            <w:tcW w:w="896" w:type="pct"/>
            <w:tcBorders>
              <w:top w:val="single" w:sz="4" w:space="0" w:color="auto"/>
            </w:tcBorders>
          </w:tcPr>
          <w:p w14:paraId="02BE85CA" w14:textId="0ACF8254" w:rsidR="004E7075" w:rsidRPr="000971B9" w:rsidRDefault="00E71B3C" w:rsidP="004E7075">
            <w:pPr>
              <w:jc w:val="right"/>
              <w:rPr>
                <w:rFonts w:ascii="Arial" w:hAnsi="Arial" w:cs="Arial"/>
                <w:sz w:val="24"/>
                <w:szCs w:val="24"/>
              </w:rPr>
            </w:pPr>
            <w:r>
              <w:rPr>
                <w:rFonts w:ascii="Arial" w:hAnsi="Arial" w:cs="Arial"/>
                <w:sz w:val="24"/>
                <w:szCs w:val="24"/>
              </w:rPr>
              <w:t>(7.0)%</w:t>
            </w:r>
          </w:p>
        </w:tc>
        <w:tc>
          <w:tcPr>
            <w:tcW w:w="883" w:type="pct"/>
            <w:tcBorders>
              <w:top w:val="single" w:sz="4" w:space="0" w:color="auto"/>
            </w:tcBorders>
          </w:tcPr>
          <w:p w14:paraId="621F4AAE" w14:textId="4FCEE4F6" w:rsidR="004E7075" w:rsidRPr="000971B9" w:rsidRDefault="00E71B3C" w:rsidP="00E71B3C">
            <w:pPr>
              <w:jc w:val="right"/>
              <w:rPr>
                <w:rFonts w:ascii="Arial" w:hAnsi="Arial" w:cs="Arial"/>
                <w:sz w:val="24"/>
                <w:szCs w:val="24"/>
              </w:rPr>
            </w:pPr>
            <w:r>
              <w:rPr>
                <w:rFonts w:ascii="Arial" w:hAnsi="Arial" w:cs="Arial"/>
                <w:sz w:val="24"/>
                <w:szCs w:val="24"/>
              </w:rPr>
              <w:t>+4.8%</w:t>
            </w:r>
          </w:p>
        </w:tc>
      </w:tr>
      <w:tr w:rsidR="004E7075" w:rsidRPr="000971B9" w14:paraId="417139B9" w14:textId="77777777" w:rsidTr="00317387">
        <w:trPr>
          <w:gridAfter w:val="1"/>
          <w:wAfter w:w="525" w:type="pct"/>
        </w:trPr>
        <w:tc>
          <w:tcPr>
            <w:tcW w:w="1251" w:type="pct"/>
            <w:tcBorders>
              <w:top w:val="single" w:sz="4" w:space="0" w:color="auto"/>
            </w:tcBorders>
          </w:tcPr>
          <w:p w14:paraId="1C14C6B8" w14:textId="2FC03EFB" w:rsidR="004E7075" w:rsidRPr="000971B9" w:rsidRDefault="004E7075" w:rsidP="004E7075">
            <w:pPr>
              <w:jc w:val="left"/>
              <w:rPr>
                <w:rFonts w:ascii="Arial" w:hAnsi="Arial" w:cs="Arial"/>
                <w:sz w:val="24"/>
                <w:szCs w:val="24"/>
              </w:rPr>
            </w:pPr>
            <w:r>
              <w:rPr>
                <w:rFonts w:ascii="Arial" w:hAnsi="Arial" w:cs="Arial"/>
                <w:sz w:val="24"/>
                <w:szCs w:val="24"/>
              </w:rPr>
              <w:t>New country development*</w:t>
            </w:r>
          </w:p>
        </w:tc>
        <w:tc>
          <w:tcPr>
            <w:tcW w:w="793" w:type="pct"/>
            <w:tcBorders>
              <w:top w:val="single" w:sz="4" w:space="0" w:color="auto"/>
            </w:tcBorders>
          </w:tcPr>
          <w:p w14:paraId="64184C4B" w14:textId="32E550BA" w:rsidR="004E7075" w:rsidRPr="006A21E0" w:rsidRDefault="0056628A" w:rsidP="004E7075">
            <w:pPr>
              <w:jc w:val="right"/>
              <w:rPr>
                <w:rFonts w:ascii="Arial" w:hAnsi="Arial" w:cs="Arial"/>
                <w:sz w:val="24"/>
                <w:szCs w:val="24"/>
              </w:rPr>
            </w:pPr>
            <w:r>
              <w:rPr>
                <w:rFonts w:ascii="Arial" w:hAnsi="Arial" w:cs="Arial"/>
                <w:sz w:val="24"/>
                <w:szCs w:val="24"/>
              </w:rPr>
              <w:t>(11)</w:t>
            </w:r>
          </w:p>
        </w:tc>
        <w:tc>
          <w:tcPr>
            <w:tcW w:w="652" w:type="pct"/>
            <w:tcBorders>
              <w:top w:val="single" w:sz="4" w:space="0" w:color="auto"/>
            </w:tcBorders>
          </w:tcPr>
          <w:p w14:paraId="1333D614" w14:textId="2256B315" w:rsidR="004E7075" w:rsidRPr="006A21E0" w:rsidRDefault="0056628A" w:rsidP="004E7075">
            <w:pPr>
              <w:jc w:val="right"/>
              <w:rPr>
                <w:rFonts w:ascii="Arial" w:hAnsi="Arial" w:cs="Arial"/>
                <w:sz w:val="24"/>
                <w:szCs w:val="24"/>
              </w:rPr>
            </w:pPr>
            <w:r>
              <w:rPr>
                <w:rFonts w:ascii="Arial" w:hAnsi="Arial" w:cs="Arial"/>
                <w:sz w:val="24"/>
                <w:szCs w:val="24"/>
              </w:rPr>
              <w:t>(11)</w:t>
            </w:r>
          </w:p>
        </w:tc>
        <w:tc>
          <w:tcPr>
            <w:tcW w:w="896" w:type="pct"/>
            <w:tcBorders>
              <w:top w:val="single" w:sz="4" w:space="0" w:color="auto"/>
            </w:tcBorders>
          </w:tcPr>
          <w:p w14:paraId="46A88845" w14:textId="55C7930D" w:rsidR="004E7075" w:rsidRPr="000E792C" w:rsidRDefault="00E71B3C" w:rsidP="004E7075">
            <w:pPr>
              <w:jc w:val="right"/>
              <w:rPr>
                <w:rFonts w:ascii="Arial" w:hAnsi="Arial" w:cs="Arial"/>
                <w:sz w:val="24"/>
                <w:szCs w:val="24"/>
              </w:rPr>
            </w:pPr>
            <w:r>
              <w:rPr>
                <w:rFonts w:ascii="Arial" w:hAnsi="Arial" w:cs="Arial"/>
                <w:sz w:val="24"/>
                <w:szCs w:val="24"/>
              </w:rPr>
              <w:t>(0.5)%</w:t>
            </w:r>
          </w:p>
        </w:tc>
        <w:tc>
          <w:tcPr>
            <w:tcW w:w="883" w:type="pct"/>
            <w:tcBorders>
              <w:top w:val="single" w:sz="4" w:space="0" w:color="auto"/>
            </w:tcBorders>
          </w:tcPr>
          <w:p w14:paraId="4A809216" w14:textId="715B5C3C" w:rsidR="004E7075" w:rsidRDefault="00E71B3C" w:rsidP="004E7075">
            <w:pPr>
              <w:jc w:val="right"/>
              <w:rPr>
                <w:rFonts w:ascii="Arial" w:hAnsi="Arial" w:cs="Arial"/>
                <w:sz w:val="24"/>
                <w:szCs w:val="24"/>
              </w:rPr>
            </w:pPr>
            <w:r>
              <w:rPr>
                <w:rFonts w:ascii="Arial" w:hAnsi="Arial" w:cs="Arial"/>
                <w:sz w:val="24"/>
                <w:szCs w:val="24"/>
              </w:rPr>
              <w:t>(13.3)%</w:t>
            </w:r>
          </w:p>
        </w:tc>
      </w:tr>
      <w:tr w:rsidR="004E7075" w:rsidRPr="000971B9" w14:paraId="053B40E0" w14:textId="77777777" w:rsidTr="00317387">
        <w:trPr>
          <w:gridAfter w:val="1"/>
          <w:wAfter w:w="525" w:type="pct"/>
        </w:trPr>
        <w:tc>
          <w:tcPr>
            <w:tcW w:w="1251" w:type="pct"/>
            <w:tcBorders>
              <w:top w:val="single" w:sz="4" w:space="0" w:color="auto"/>
            </w:tcBorders>
          </w:tcPr>
          <w:p w14:paraId="0F62650F" w14:textId="4D347544" w:rsidR="004E7075" w:rsidRDefault="004E7075" w:rsidP="004E7075">
            <w:pPr>
              <w:rPr>
                <w:rFonts w:ascii="Arial" w:hAnsi="Arial" w:cs="Arial"/>
                <w:sz w:val="24"/>
                <w:szCs w:val="24"/>
              </w:rPr>
            </w:pPr>
            <w:r>
              <w:rPr>
                <w:rFonts w:ascii="Arial" w:hAnsi="Arial" w:cs="Arial"/>
                <w:sz w:val="24"/>
                <w:szCs w:val="24"/>
              </w:rPr>
              <w:t>Total</w:t>
            </w:r>
          </w:p>
        </w:tc>
        <w:tc>
          <w:tcPr>
            <w:tcW w:w="793" w:type="pct"/>
            <w:tcBorders>
              <w:top w:val="single" w:sz="4" w:space="0" w:color="auto"/>
            </w:tcBorders>
          </w:tcPr>
          <w:p w14:paraId="4CCB9CF5" w14:textId="530AF1E6" w:rsidR="004E7075" w:rsidRPr="000E792C" w:rsidRDefault="0056628A" w:rsidP="004E7075">
            <w:pPr>
              <w:jc w:val="right"/>
              <w:rPr>
                <w:rFonts w:ascii="Arial" w:hAnsi="Arial" w:cs="Arial"/>
                <w:sz w:val="24"/>
                <w:szCs w:val="24"/>
              </w:rPr>
            </w:pPr>
            <w:r>
              <w:rPr>
                <w:rFonts w:ascii="Arial" w:hAnsi="Arial" w:cs="Arial"/>
                <w:sz w:val="24"/>
                <w:szCs w:val="24"/>
              </w:rPr>
              <w:t>49</w:t>
            </w:r>
          </w:p>
        </w:tc>
        <w:tc>
          <w:tcPr>
            <w:tcW w:w="652" w:type="pct"/>
            <w:tcBorders>
              <w:top w:val="single" w:sz="4" w:space="0" w:color="auto"/>
            </w:tcBorders>
          </w:tcPr>
          <w:p w14:paraId="3A5138CC" w14:textId="65EED64D" w:rsidR="004E7075" w:rsidRPr="000E792C" w:rsidRDefault="0056628A" w:rsidP="004E7075">
            <w:pPr>
              <w:jc w:val="right"/>
              <w:rPr>
                <w:rFonts w:ascii="Arial" w:hAnsi="Arial" w:cs="Arial"/>
                <w:sz w:val="24"/>
                <w:szCs w:val="24"/>
              </w:rPr>
            </w:pPr>
            <w:r>
              <w:rPr>
                <w:rFonts w:ascii="Arial" w:hAnsi="Arial" w:cs="Arial"/>
                <w:sz w:val="24"/>
                <w:szCs w:val="24"/>
              </w:rPr>
              <w:t>53</w:t>
            </w:r>
          </w:p>
        </w:tc>
        <w:tc>
          <w:tcPr>
            <w:tcW w:w="896" w:type="pct"/>
            <w:tcBorders>
              <w:top w:val="single" w:sz="4" w:space="0" w:color="auto"/>
            </w:tcBorders>
          </w:tcPr>
          <w:p w14:paraId="58FCC31F" w14:textId="64613EF3" w:rsidR="004E7075" w:rsidRPr="000E792C" w:rsidRDefault="00E71B3C" w:rsidP="004E7075">
            <w:pPr>
              <w:jc w:val="right"/>
              <w:rPr>
                <w:rFonts w:ascii="Arial" w:hAnsi="Arial" w:cs="Arial"/>
                <w:sz w:val="24"/>
                <w:szCs w:val="24"/>
              </w:rPr>
            </w:pPr>
            <w:r>
              <w:rPr>
                <w:rFonts w:ascii="Arial" w:hAnsi="Arial" w:cs="Arial"/>
                <w:sz w:val="24"/>
                <w:szCs w:val="24"/>
              </w:rPr>
              <w:t>(8.5)%</w:t>
            </w:r>
          </w:p>
        </w:tc>
        <w:tc>
          <w:tcPr>
            <w:tcW w:w="883" w:type="pct"/>
            <w:tcBorders>
              <w:top w:val="single" w:sz="4" w:space="0" w:color="auto"/>
            </w:tcBorders>
          </w:tcPr>
          <w:p w14:paraId="73D6745E" w14:textId="58EE4E59" w:rsidR="004E7075" w:rsidRPr="000E792C" w:rsidRDefault="00E71B3C" w:rsidP="004E7075">
            <w:pPr>
              <w:jc w:val="right"/>
              <w:rPr>
                <w:rFonts w:ascii="Arial" w:hAnsi="Arial" w:cs="Arial"/>
                <w:sz w:val="24"/>
                <w:szCs w:val="24"/>
              </w:rPr>
            </w:pPr>
            <w:r>
              <w:rPr>
                <w:rFonts w:ascii="Arial" w:hAnsi="Arial" w:cs="Arial"/>
                <w:sz w:val="24"/>
                <w:szCs w:val="24"/>
              </w:rPr>
              <w:t>+3.0%</w:t>
            </w:r>
          </w:p>
        </w:tc>
      </w:tr>
    </w:tbl>
    <w:p w14:paraId="489CAD36" w14:textId="77777777" w:rsidR="001B3B55" w:rsidRPr="000971B9" w:rsidRDefault="001B3B55" w:rsidP="001B3B55">
      <w:pPr>
        <w:rPr>
          <w:rFonts w:ascii="Arial" w:hAnsi="Arial" w:cs="Arial"/>
          <w:b/>
          <w:bCs/>
          <w:sz w:val="24"/>
          <w:szCs w:val="24"/>
        </w:rPr>
      </w:pPr>
    </w:p>
    <w:p w14:paraId="01B8EC19" w14:textId="1CB92E3D" w:rsidR="0076567B" w:rsidRDefault="00043801" w:rsidP="00E45058">
      <w:pPr>
        <w:jc w:val="left"/>
        <w:rPr>
          <w:rFonts w:ascii="Arial" w:hAnsi="Arial" w:cs="Arial"/>
          <w:sz w:val="24"/>
          <w:szCs w:val="24"/>
        </w:rPr>
      </w:pPr>
      <w:r w:rsidRPr="004D3559">
        <w:rPr>
          <w:rFonts w:ascii="Arial" w:hAnsi="Arial" w:cs="Arial"/>
          <w:sz w:val="24"/>
          <w:szCs w:val="24"/>
        </w:rPr>
        <w:t xml:space="preserve">Other International </w:t>
      </w:r>
      <w:r w:rsidR="00E04676" w:rsidRPr="004D3559">
        <w:rPr>
          <w:rFonts w:ascii="Arial" w:hAnsi="Arial" w:cs="Arial"/>
          <w:sz w:val="24"/>
          <w:szCs w:val="24"/>
        </w:rPr>
        <w:t xml:space="preserve">total </w:t>
      </w:r>
      <w:r w:rsidR="00185D0E" w:rsidRPr="004D3559">
        <w:rPr>
          <w:rFonts w:ascii="Arial" w:hAnsi="Arial" w:cs="Arial"/>
          <w:sz w:val="24"/>
          <w:szCs w:val="24"/>
        </w:rPr>
        <w:t xml:space="preserve">sales </w:t>
      </w:r>
      <w:r w:rsidR="00DE2409" w:rsidRPr="004D3559">
        <w:rPr>
          <w:rFonts w:ascii="Arial" w:hAnsi="Arial" w:cs="Arial"/>
          <w:sz w:val="24"/>
          <w:szCs w:val="24"/>
        </w:rPr>
        <w:t>in</w:t>
      </w:r>
      <w:r w:rsidR="006E396B" w:rsidRPr="004D3559">
        <w:rPr>
          <w:rFonts w:ascii="Arial" w:hAnsi="Arial" w:cs="Arial"/>
          <w:sz w:val="24"/>
          <w:szCs w:val="24"/>
        </w:rPr>
        <w:t xml:space="preserve">creased by </w:t>
      </w:r>
      <w:r w:rsidR="00DD4F01">
        <w:rPr>
          <w:rFonts w:ascii="Arial" w:hAnsi="Arial" w:cs="Arial"/>
          <w:sz w:val="24"/>
          <w:szCs w:val="24"/>
        </w:rPr>
        <w:t>5.7</w:t>
      </w:r>
      <w:r w:rsidR="006E396B" w:rsidRPr="004D3559">
        <w:rPr>
          <w:rFonts w:ascii="Arial" w:hAnsi="Arial" w:cs="Arial"/>
          <w:sz w:val="24"/>
          <w:szCs w:val="24"/>
        </w:rPr>
        <w:t>% (+</w:t>
      </w:r>
      <w:r w:rsidR="00DD4F01">
        <w:rPr>
          <w:rFonts w:ascii="Arial" w:hAnsi="Arial" w:cs="Arial"/>
          <w:sz w:val="24"/>
          <w:szCs w:val="24"/>
        </w:rPr>
        <w:t>3</w:t>
      </w:r>
      <w:r w:rsidR="004D3559" w:rsidRPr="004D3559">
        <w:rPr>
          <w:rFonts w:ascii="Arial" w:hAnsi="Arial" w:cs="Arial"/>
          <w:sz w:val="24"/>
          <w:szCs w:val="24"/>
        </w:rPr>
        <w:t>.</w:t>
      </w:r>
      <w:r w:rsidR="00DD4F01">
        <w:rPr>
          <w:rFonts w:ascii="Arial" w:hAnsi="Arial" w:cs="Arial"/>
          <w:sz w:val="24"/>
          <w:szCs w:val="24"/>
        </w:rPr>
        <w:t>7</w:t>
      </w:r>
      <w:r w:rsidR="006E396B" w:rsidRPr="004D3559">
        <w:rPr>
          <w:rFonts w:ascii="Arial" w:hAnsi="Arial" w:cs="Arial"/>
          <w:sz w:val="24"/>
          <w:szCs w:val="24"/>
        </w:rPr>
        <w:t>% LFL) to £</w:t>
      </w:r>
      <w:r w:rsidR="004D3559" w:rsidRPr="004D3559">
        <w:rPr>
          <w:rFonts w:ascii="Arial" w:hAnsi="Arial" w:cs="Arial"/>
          <w:sz w:val="24"/>
          <w:szCs w:val="24"/>
        </w:rPr>
        <w:t>879</w:t>
      </w:r>
      <w:r w:rsidR="006E396B" w:rsidRPr="004D3559">
        <w:rPr>
          <w:rFonts w:ascii="Arial" w:hAnsi="Arial" w:cs="Arial"/>
          <w:sz w:val="24"/>
          <w:szCs w:val="24"/>
        </w:rPr>
        <w:t xml:space="preserve"> m</w:t>
      </w:r>
      <w:r w:rsidR="00C82E98" w:rsidRPr="004D3559">
        <w:rPr>
          <w:rFonts w:ascii="Arial" w:hAnsi="Arial" w:cs="Arial"/>
          <w:sz w:val="24"/>
          <w:szCs w:val="24"/>
        </w:rPr>
        <w:t>illion</w:t>
      </w:r>
      <w:r w:rsidR="006E396B" w:rsidRPr="004D3559">
        <w:rPr>
          <w:rFonts w:ascii="Arial" w:hAnsi="Arial" w:cs="Arial"/>
          <w:sz w:val="24"/>
          <w:szCs w:val="24"/>
        </w:rPr>
        <w:t xml:space="preserve"> driven by </w:t>
      </w:r>
      <w:r w:rsidR="005708AA" w:rsidRPr="004D3559">
        <w:rPr>
          <w:rFonts w:ascii="Arial" w:hAnsi="Arial" w:cs="Arial"/>
          <w:sz w:val="24"/>
          <w:szCs w:val="24"/>
        </w:rPr>
        <w:t xml:space="preserve">store openings and </w:t>
      </w:r>
      <w:r w:rsidR="00DD0E2A" w:rsidRPr="004D3559">
        <w:rPr>
          <w:rFonts w:ascii="Arial" w:hAnsi="Arial" w:cs="Arial"/>
          <w:sz w:val="24"/>
          <w:szCs w:val="24"/>
        </w:rPr>
        <w:t xml:space="preserve">LFL growth in Russia and Poland. </w:t>
      </w:r>
      <w:r w:rsidR="00E04676" w:rsidRPr="004D3559">
        <w:rPr>
          <w:rFonts w:ascii="Arial" w:hAnsi="Arial" w:cs="Arial"/>
          <w:sz w:val="24"/>
          <w:szCs w:val="24"/>
        </w:rPr>
        <w:t>R</w:t>
      </w:r>
      <w:r w:rsidR="00E45058" w:rsidRPr="004D3559">
        <w:rPr>
          <w:rFonts w:ascii="Arial" w:hAnsi="Arial" w:cs="Arial"/>
          <w:sz w:val="24"/>
          <w:szCs w:val="24"/>
        </w:rPr>
        <w:t xml:space="preserve">etail profit </w:t>
      </w:r>
      <w:r w:rsidR="004D3559" w:rsidRPr="004D3559">
        <w:rPr>
          <w:rFonts w:ascii="Arial" w:hAnsi="Arial" w:cs="Arial"/>
          <w:sz w:val="24"/>
          <w:szCs w:val="24"/>
        </w:rPr>
        <w:t>increased</w:t>
      </w:r>
      <w:r w:rsidR="00C82E98" w:rsidRPr="004D3559">
        <w:rPr>
          <w:rFonts w:ascii="Arial" w:hAnsi="Arial" w:cs="Arial"/>
          <w:sz w:val="24"/>
          <w:szCs w:val="24"/>
        </w:rPr>
        <w:t xml:space="preserve"> by </w:t>
      </w:r>
      <w:r w:rsidR="004D3559" w:rsidRPr="004D3559">
        <w:rPr>
          <w:rFonts w:ascii="Arial" w:hAnsi="Arial" w:cs="Arial"/>
          <w:sz w:val="24"/>
          <w:szCs w:val="24"/>
        </w:rPr>
        <w:t>3.0</w:t>
      </w:r>
      <w:r w:rsidR="00C82E98" w:rsidRPr="004D3559">
        <w:rPr>
          <w:rFonts w:ascii="Arial" w:hAnsi="Arial" w:cs="Arial"/>
          <w:sz w:val="24"/>
          <w:szCs w:val="24"/>
        </w:rPr>
        <w:t>% to £</w:t>
      </w:r>
      <w:r w:rsidR="004D3559" w:rsidRPr="004D3559">
        <w:rPr>
          <w:rFonts w:ascii="Arial" w:hAnsi="Arial" w:cs="Arial"/>
          <w:sz w:val="24"/>
          <w:szCs w:val="24"/>
        </w:rPr>
        <w:t>49</w:t>
      </w:r>
      <w:r w:rsidR="00D273FD" w:rsidRPr="004D3559">
        <w:rPr>
          <w:rFonts w:ascii="Arial" w:hAnsi="Arial" w:cs="Arial"/>
          <w:sz w:val="24"/>
          <w:szCs w:val="24"/>
        </w:rPr>
        <w:t xml:space="preserve"> </w:t>
      </w:r>
      <w:r w:rsidR="00165942" w:rsidRPr="004D3559">
        <w:rPr>
          <w:rFonts w:ascii="Arial" w:hAnsi="Arial" w:cs="Arial"/>
          <w:sz w:val="24"/>
          <w:szCs w:val="24"/>
        </w:rPr>
        <w:t>million</w:t>
      </w:r>
      <w:r w:rsidR="008B5D7E">
        <w:rPr>
          <w:rFonts w:ascii="Arial" w:hAnsi="Arial" w:cs="Arial"/>
          <w:sz w:val="24"/>
          <w:szCs w:val="24"/>
        </w:rPr>
        <w:t xml:space="preserve"> driven by Poland. </w:t>
      </w:r>
    </w:p>
    <w:p w14:paraId="5DB72233" w14:textId="4986F34A" w:rsidR="00E45058" w:rsidRPr="004D3559" w:rsidRDefault="00E45058" w:rsidP="00E45058">
      <w:pPr>
        <w:jc w:val="left"/>
        <w:rPr>
          <w:rFonts w:ascii="Arial" w:hAnsi="Arial" w:cs="Arial"/>
          <w:sz w:val="24"/>
          <w:szCs w:val="24"/>
        </w:rPr>
      </w:pPr>
    </w:p>
    <w:p w14:paraId="57235677" w14:textId="201CBCDF" w:rsidR="0076567B" w:rsidRPr="00335128" w:rsidRDefault="0076567B" w:rsidP="0076567B">
      <w:pPr>
        <w:jc w:val="left"/>
        <w:rPr>
          <w:rFonts w:ascii="Arial" w:hAnsi="Arial" w:cs="Arial"/>
          <w:b/>
          <w:sz w:val="24"/>
          <w:szCs w:val="24"/>
        </w:rPr>
      </w:pPr>
      <w:r w:rsidRPr="00926779">
        <w:rPr>
          <w:rFonts w:ascii="Arial" w:hAnsi="Arial" w:cs="Arial"/>
          <w:sz w:val="24"/>
          <w:szCs w:val="24"/>
        </w:rPr>
        <w:t xml:space="preserve">During H1 </w:t>
      </w:r>
      <w:r w:rsidR="00223701">
        <w:rPr>
          <w:rFonts w:ascii="Arial" w:hAnsi="Arial" w:cs="Arial"/>
          <w:sz w:val="24"/>
          <w:szCs w:val="24"/>
        </w:rPr>
        <w:t>two</w:t>
      </w:r>
      <w:r w:rsidRPr="00926779">
        <w:rPr>
          <w:rFonts w:ascii="Arial" w:hAnsi="Arial" w:cs="Arial"/>
          <w:sz w:val="24"/>
          <w:szCs w:val="24"/>
        </w:rPr>
        <w:t xml:space="preserve"> net new stores</w:t>
      </w:r>
      <w:r w:rsidR="00223701">
        <w:rPr>
          <w:rFonts w:ascii="Arial" w:hAnsi="Arial" w:cs="Arial"/>
          <w:sz w:val="24"/>
          <w:szCs w:val="24"/>
        </w:rPr>
        <w:t xml:space="preserve"> were opened</w:t>
      </w:r>
      <w:r w:rsidR="00223701" w:rsidRPr="00926779">
        <w:rPr>
          <w:rFonts w:ascii="Arial" w:hAnsi="Arial" w:cs="Arial"/>
          <w:sz w:val="24"/>
          <w:szCs w:val="24"/>
        </w:rPr>
        <w:t>, being</w:t>
      </w:r>
      <w:r w:rsidRPr="00926779">
        <w:rPr>
          <w:rFonts w:ascii="Arial" w:hAnsi="Arial" w:cs="Arial"/>
          <w:sz w:val="24"/>
          <w:szCs w:val="24"/>
        </w:rPr>
        <w:t xml:space="preserve"> </w:t>
      </w:r>
      <w:r w:rsidR="001817D5">
        <w:rPr>
          <w:rFonts w:ascii="Arial" w:hAnsi="Arial" w:cs="Arial"/>
          <w:sz w:val="24"/>
          <w:szCs w:val="24"/>
        </w:rPr>
        <w:t xml:space="preserve">net </w:t>
      </w:r>
      <w:r w:rsidR="00223701" w:rsidRPr="00926779">
        <w:rPr>
          <w:rFonts w:ascii="Arial" w:hAnsi="Arial" w:cs="Arial"/>
          <w:sz w:val="24"/>
          <w:szCs w:val="24"/>
        </w:rPr>
        <w:t>three</w:t>
      </w:r>
      <w:r w:rsidRPr="00926779">
        <w:rPr>
          <w:rFonts w:ascii="Arial" w:hAnsi="Arial" w:cs="Arial"/>
          <w:sz w:val="24"/>
          <w:szCs w:val="24"/>
        </w:rPr>
        <w:t xml:space="preserve"> in Turkey</w:t>
      </w:r>
      <w:r w:rsidR="00223701" w:rsidRPr="00926779">
        <w:rPr>
          <w:rFonts w:ascii="Arial" w:hAnsi="Arial" w:cs="Arial"/>
          <w:sz w:val="24"/>
          <w:szCs w:val="24"/>
        </w:rPr>
        <w:t xml:space="preserve"> and one closure</w:t>
      </w:r>
      <w:r w:rsidR="00322474">
        <w:rPr>
          <w:rFonts w:ascii="Arial" w:hAnsi="Arial" w:cs="Arial"/>
          <w:sz w:val="24"/>
          <w:szCs w:val="24"/>
        </w:rPr>
        <w:t xml:space="preserve"> (subject to relocation)</w:t>
      </w:r>
      <w:r w:rsidR="00223701" w:rsidRPr="00926779">
        <w:rPr>
          <w:rFonts w:ascii="Arial" w:hAnsi="Arial" w:cs="Arial"/>
          <w:sz w:val="24"/>
          <w:szCs w:val="24"/>
        </w:rPr>
        <w:t xml:space="preserve"> in Poland.</w:t>
      </w:r>
      <w:r w:rsidR="00180574">
        <w:rPr>
          <w:rFonts w:ascii="Arial" w:hAnsi="Arial" w:cs="Arial"/>
          <w:sz w:val="24"/>
          <w:szCs w:val="24"/>
        </w:rPr>
        <w:t xml:space="preserve"> </w:t>
      </w:r>
      <w:r w:rsidR="00087315">
        <w:rPr>
          <w:rFonts w:ascii="Arial" w:hAnsi="Arial" w:cs="Arial"/>
          <w:sz w:val="24"/>
          <w:szCs w:val="24"/>
        </w:rPr>
        <w:t xml:space="preserve">Space is </w:t>
      </w:r>
      <w:r w:rsidR="005F5CCB">
        <w:rPr>
          <w:rFonts w:ascii="Arial" w:hAnsi="Arial" w:cs="Arial"/>
          <w:sz w:val="24"/>
          <w:szCs w:val="24"/>
        </w:rPr>
        <w:t xml:space="preserve">broadly </w:t>
      </w:r>
      <w:r w:rsidR="00087315">
        <w:rPr>
          <w:rFonts w:ascii="Arial" w:hAnsi="Arial" w:cs="Arial"/>
          <w:sz w:val="24"/>
          <w:szCs w:val="24"/>
        </w:rPr>
        <w:t xml:space="preserve">flat compared to H1 last year. </w:t>
      </w:r>
    </w:p>
    <w:p w14:paraId="55A7F1C4" w14:textId="77777777" w:rsidR="00E45058" w:rsidRPr="004B173A" w:rsidRDefault="00E45058" w:rsidP="00E45058">
      <w:pPr>
        <w:jc w:val="left"/>
        <w:rPr>
          <w:rFonts w:ascii="Arial" w:hAnsi="Arial" w:cs="Arial"/>
          <w:sz w:val="24"/>
          <w:szCs w:val="24"/>
          <w:highlight w:val="yellow"/>
        </w:rPr>
      </w:pPr>
    </w:p>
    <w:p w14:paraId="26F2D3FB" w14:textId="00116852" w:rsidR="00EB0755" w:rsidRPr="00F04410" w:rsidRDefault="00A03F76" w:rsidP="00185D0E">
      <w:pPr>
        <w:jc w:val="left"/>
        <w:rPr>
          <w:rFonts w:ascii="Arial" w:hAnsi="Arial" w:cs="Arial"/>
          <w:b/>
          <w:sz w:val="24"/>
          <w:szCs w:val="24"/>
          <w:u w:val="single"/>
        </w:rPr>
      </w:pPr>
      <w:r w:rsidRPr="00F04410">
        <w:rPr>
          <w:rFonts w:ascii="Arial" w:hAnsi="Arial" w:cs="Arial"/>
          <w:b/>
          <w:bCs/>
          <w:sz w:val="24"/>
          <w:szCs w:val="24"/>
          <w:u w:val="single"/>
        </w:rPr>
        <w:t>Other International</w:t>
      </w:r>
      <w:r w:rsidRPr="00F04410">
        <w:rPr>
          <w:rFonts w:ascii="Arial" w:hAnsi="Arial" w:cs="Arial"/>
          <w:b/>
          <w:sz w:val="24"/>
          <w:szCs w:val="24"/>
          <w:u w:val="single"/>
        </w:rPr>
        <w:t xml:space="preserve"> (</w:t>
      </w:r>
      <w:r w:rsidR="00DE79D6" w:rsidRPr="00F04410">
        <w:rPr>
          <w:rFonts w:ascii="Arial" w:hAnsi="Arial" w:cs="Arial"/>
          <w:b/>
          <w:sz w:val="24"/>
          <w:szCs w:val="24"/>
          <w:u w:val="single"/>
        </w:rPr>
        <w:t>established</w:t>
      </w:r>
      <w:r w:rsidRPr="00F04410">
        <w:rPr>
          <w:rFonts w:ascii="Arial" w:hAnsi="Arial" w:cs="Arial"/>
          <w:b/>
          <w:sz w:val="24"/>
          <w:szCs w:val="24"/>
          <w:u w:val="single"/>
        </w:rPr>
        <w:t>)</w:t>
      </w:r>
      <w:r w:rsidR="007F33CA" w:rsidRPr="00F04410">
        <w:rPr>
          <w:rFonts w:ascii="Arial" w:hAnsi="Arial" w:cs="Arial"/>
          <w:b/>
          <w:sz w:val="24"/>
          <w:szCs w:val="24"/>
          <w:u w:val="single"/>
        </w:rPr>
        <w:t>:</w:t>
      </w:r>
      <w:r w:rsidRPr="00F04410">
        <w:rPr>
          <w:rFonts w:ascii="Arial" w:hAnsi="Arial" w:cs="Arial"/>
          <w:b/>
          <w:sz w:val="24"/>
          <w:szCs w:val="24"/>
          <w:u w:val="single"/>
        </w:rPr>
        <w:t xml:space="preserve"> </w:t>
      </w:r>
    </w:p>
    <w:p w14:paraId="4CBB0D9D" w14:textId="77777777" w:rsidR="005E188F" w:rsidRPr="00F04410" w:rsidRDefault="005E188F" w:rsidP="00185D0E">
      <w:pPr>
        <w:jc w:val="left"/>
        <w:rPr>
          <w:rFonts w:ascii="Arial" w:hAnsi="Arial" w:cs="Arial"/>
          <w:sz w:val="24"/>
          <w:szCs w:val="24"/>
        </w:rPr>
      </w:pPr>
    </w:p>
    <w:p w14:paraId="3F061A2D" w14:textId="08F86B76" w:rsidR="00EE7D68" w:rsidRPr="00F04410" w:rsidRDefault="00043BA4" w:rsidP="00185D0E">
      <w:pPr>
        <w:jc w:val="left"/>
        <w:rPr>
          <w:rFonts w:ascii="Arial" w:hAnsi="Arial" w:cs="Arial"/>
          <w:sz w:val="24"/>
          <w:szCs w:val="24"/>
        </w:rPr>
      </w:pPr>
      <w:r w:rsidRPr="00F04410">
        <w:rPr>
          <w:rFonts w:ascii="Arial" w:hAnsi="Arial" w:cs="Arial"/>
          <w:sz w:val="24"/>
          <w:szCs w:val="24"/>
        </w:rPr>
        <w:t xml:space="preserve">Sales in </w:t>
      </w:r>
      <w:r w:rsidRPr="00F04410">
        <w:rPr>
          <w:rFonts w:ascii="Arial" w:hAnsi="Arial" w:cs="Arial"/>
          <w:b/>
          <w:sz w:val="24"/>
          <w:szCs w:val="24"/>
        </w:rPr>
        <w:t>Poland</w:t>
      </w:r>
      <w:r w:rsidRPr="00F04410">
        <w:rPr>
          <w:rFonts w:ascii="Arial" w:hAnsi="Arial" w:cs="Arial"/>
          <w:sz w:val="24"/>
          <w:szCs w:val="24"/>
        </w:rPr>
        <w:t xml:space="preserve"> were up</w:t>
      </w:r>
      <w:r w:rsidR="004763E6" w:rsidRPr="00F04410">
        <w:rPr>
          <w:rFonts w:ascii="Arial" w:hAnsi="Arial" w:cs="Arial"/>
          <w:sz w:val="24"/>
          <w:szCs w:val="24"/>
        </w:rPr>
        <w:t xml:space="preserve"> </w:t>
      </w:r>
      <w:r w:rsidR="004D3559" w:rsidRPr="00F04410">
        <w:rPr>
          <w:rFonts w:ascii="Arial" w:hAnsi="Arial" w:cs="Arial"/>
          <w:sz w:val="24"/>
          <w:szCs w:val="24"/>
        </w:rPr>
        <w:t>2.3</w:t>
      </w:r>
      <w:r w:rsidRPr="00F04410">
        <w:rPr>
          <w:rFonts w:ascii="Arial" w:hAnsi="Arial" w:cs="Arial"/>
          <w:sz w:val="24"/>
          <w:szCs w:val="24"/>
        </w:rPr>
        <w:t>% (</w:t>
      </w:r>
      <w:r w:rsidR="00F56B85" w:rsidRPr="00F04410">
        <w:rPr>
          <w:rFonts w:ascii="Arial" w:hAnsi="Arial" w:cs="Arial"/>
          <w:sz w:val="24"/>
          <w:szCs w:val="24"/>
        </w:rPr>
        <w:t>+</w:t>
      </w:r>
      <w:r w:rsidR="004D3559" w:rsidRPr="00F04410">
        <w:rPr>
          <w:rFonts w:ascii="Arial" w:hAnsi="Arial" w:cs="Arial"/>
          <w:sz w:val="24"/>
          <w:szCs w:val="24"/>
        </w:rPr>
        <w:t>3.4</w:t>
      </w:r>
      <w:r w:rsidR="00F56B85" w:rsidRPr="00F04410">
        <w:rPr>
          <w:rFonts w:ascii="Arial" w:hAnsi="Arial" w:cs="Arial"/>
          <w:sz w:val="24"/>
          <w:szCs w:val="24"/>
        </w:rPr>
        <w:t>% LFL) to £</w:t>
      </w:r>
      <w:r w:rsidR="004D3559" w:rsidRPr="00F04410">
        <w:rPr>
          <w:rFonts w:ascii="Arial" w:hAnsi="Arial" w:cs="Arial"/>
          <w:sz w:val="24"/>
          <w:szCs w:val="24"/>
        </w:rPr>
        <w:t>508</w:t>
      </w:r>
      <w:r w:rsidR="00F56B85" w:rsidRPr="00F04410">
        <w:rPr>
          <w:rFonts w:ascii="Arial" w:hAnsi="Arial" w:cs="Arial"/>
          <w:sz w:val="24"/>
          <w:szCs w:val="24"/>
        </w:rPr>
        <w:t xml:space="preserve"> m</w:t>
      </w:r>
      <w:r w:rsidR="00EE7D68" w:rsidRPr="00F04410">
        <w:rPr>
          <w:rFonts w:ascii="Arial" w:hAnsi="Arial" w:cs="Arial"/>
          <w:sz w:val="24"/>
          <w:szCs w:val="24"/>
        </w:rPr>
        <w:t>illion</w:t>
      </w:r>
      <w:r w:rsidR="001F0AC0" w:rsidRPr="00F04410">
        <w:rPr>
          <w:rFonts w:ascii="Arial" w:hAnsi="Arial" w:cs="Arial"/>
          <w:sz w:val="24"/>
          <w:szCs w:val="24"/>
        </w:rPr>
        <w:t>.</w:t>
      </w:r>
      <w:r w:rsidR="00F56B85" w:rsidRPr="00F04410">
        <w:rPr>
          <w:rFonts w:ascii="Arial" w:hAnsi="Arial" w:cs="Arial"/>
          <w:sz w:val="24"/>
          <w:szCs w:val="24"/>
        </w:rPr>
        <w:t xml:space="preserve"> </w:t>
      </w:r>
      <w:r w:rsidR="00633601" w:rsidRPr="00F04410">
        <w:rPr>
          <w:rFonts w:ascii="Arial" w:hAnsi="Arial" w:cs="Arial"/>
          <w:sz w:val="24"/>
          <w:szCs w:val="24"/>
        </w:rPr>
        <w:t>LFL s</w:t>
      </w:r>
      <w:r w:rsidR="001F0AC0" w:rsidRPr="00F04410">
        <w:rPr>
          <w:rFonts w:ascii="Arial" w:hAnsi="Arial" w:cs="Arial"/>
          <w:sz w:val="24"/>
          <w:szCs w:val="24"/>
        </w:rPr>
        <w:t xml:space="preserve">ales of </w:t>
      </w:r>
      <w:r w:rsidR="008B5D7E">
        <w:rPr>
          <w:rFonts w:ascii="Arial" w:hAnsi="Arial" w:cs="Arial"/>
          <w:sz w:val="24"/>
          <w:szCs w:val="24"/>
        </w:rPr>
        <w:t xml:space="preserve">outdoor </w:t>
      </w:r>
      <w:r w:rsidR="001F0AC0" w:rsidRPr="00F04410">
        <w:rPr>
          <w:rFonts w:ascii="Arial" w:hAnsi="Arial" w:cs="Arial"/>
          <w:sz w:val="24"/>
          <w:szCs w:val="24"/>
        </w:rPr>
        <w:t xml:space="preserve">seasonal products were up </w:t>
      </w:r>
      <w:r w:rsidR="0047127B">
        <w:rPr>
          <w:rFonts w:ascii="Arial" w:hAnsi="Arial" w:cs="Arial"/>
          <w:sz w:val="24"/>
          <w:szCs w:val="24"/>
        </w:rPr>
        <w:t>6</w:t>
      </w:r>
      <w:r w:rsidR="008B0BF3">
        <w:rPr>
          <w:rFonts w:ascii="Arial" w:hAnsi="Arial" w:cs="Arial"/>
          <w:sz w:val="24"/>
          <w:szCs w:val="24"/>
        </w:rPr>
        <w:t>.0</w:t>
      </w:r>
      <w:r w:rsidR="001F0AC0" w:rsidRPr="00F04410">
        <w:rPr>
          <w:rFonts w:ascii="Arial" w:hAnsi="Arial" w:cs="Arial"/>
          <w:sz w:val="24"/>
          <w:szCs w:val="24"/>
        </w:rPr>
        <w:t>%</w:t>
      </w:r>
      <w:r w:rsidR="00633601" w:rsidRPr="00F04410">
        <w:rPr>
          <w:rFonts w:ascii="Arial" w:hAnsi="Arial" w:cs="Arial"/>
          <w:sz w:val="24"/>
          <w:szCs w:val="24"/>
        </w:rPr>
        <w:t xml:space="preserve"> with sales</w:t>
      </w:r>
      <w:r w:rsidR="00722862">
        <w:rPr>
          <w:rFonts w:ascii="Arial" w:hAnsi="Arial" w:cs="Arial"/>
          <w:sz w:val="24"/>
          <w:szCs w:val="24"/>
        </w:rPr>
        <w:t xml:space="preserve"> of</w:t>
      </w:r>
      <w:r w:rsidR="00633601" w:rsidRPr="00F04410">
        <w:rPr>
          <w:rFonts w:ascii="Arial" w:hAnsi="Arial" w:cs="Arial"/>
          <w:sz w:val="24"/>
          <w:szCs w:val="24"/>
        </w:rPr>
        <w:t xml:space="preserve"> </w:t>
      </w:r>
      <w:r w:rsidR="008B5D7E">
        <w:rPr>
          <w:rFonts w:ascii="Arial" w:hAnsi="Arial" w:cs="Arial"/>
          <w:sz w:val="24"/>
          <w:szCs w:val="24"/>
        </w:rPr>
        <w:t>indoor and building</w:t>
      </w:r>
      <w:r w:rsidR="00B70065">
        <w:rPr>
          <w:rFonts w:ascii="Arial" w:hAnsi="Arial" w:cs="Arial"/>
          <w:sz w:val="24"/>
          <w:szCs w:val="24"/>
        </w:rPr>
        <w:t xml:space="preserve"> products up 2.9%</w:t>
      </w:r>
      <w:r w:rsidR="00633601" w:rsidRPr="00F04410">
        <w:rPr>
          <w:rFonts w:ascii="Arial" w:hAnsi="Arial" w:cs="Arial"/>
          <w:sz w:val="24"/>
          <w:szCs w:val="24"/>
        </w:rPr>
        <w:t xml:space="preserve">. </w:t>
      </w:r>
      <w:r w:rsidR="003C6173" w:rsidRPr="00F04410">
        <w:rPr>
          <w:rFonts w:ascii="Arial" w:hAnsi="Arial" w:cs="Arial"/>
          <w:sz w:val="24"/>
          <w:szCs w:val="24"/>
        </w:rPr>
        <w:t xml:space="preserve">Gross margins were </w:t>
      </w:r>
      <w:r w:rsidR="003E0F26">
        <w:rPr>
          <w:rFonts w:ascii="Arial" w:hAnsi="Arial" w:cs="Arial"/>
          <w:sz w:val="24"/>
          <w:szCs w:val="24"/>
        </w:rPr>
        <w:t>down</w:t>
      </w:r>
      <w:r w:rsidR="003C6173" w:rsidRPr="00F04410">
        <w:rPr>
          <w:rFonts w:ascii="Arial" w:hAnsi="Arial" w:cs="Arial"/>
          <w:sz w:val="24"/>
          <w:szCs w:val="24"/>
        </w:rPr>
        <w:t xml:space="preserve"> </w:t>
      </w:r>
      <w:r w:rsidR="003E0F26">
        <w:rPr>
          <w:rFonts w:ascii="Arial" w:hAnsi="Arial" w:cs="Arial"/>
          <w:sz w:val="24"/>
          <w:szCs w:val="24"/>
        </w:rPr>
        <w:t xml:space="preserve">10 </w:t>
      </w:r>
      <w:r w:rsidR="003C6173" w:rsidRPr="00F04410">
        <w:rPr>
          <w:rFonts w:ascii="Arial" w:hAnsi="Arial" w:cs="Arial"/>
          <w:sz w:val="24"/>
          <w:szCs w:val="24"/>
        </w:rPr>
        <w:t>basis points</w:t>
      </w:r>
      <w:r w:rsidR="00633601" w:rsidRPr="00F04410">
        <w:rPr>
          <w:rFonts w:ascii="Arial" w:hAnsi="Arial" w:cs="Arial"/>
          <w:sz w:val="24"/>
          <w:szCs w:val="24"/>
        </w:rPr>
        <w:t>.</w:t>
      </w:r>
      <w:r w:rsidR="002C1526" w:rsidRPr="00F04410">
        <w:rPr>
          <w:rFonts w:ascii="Arial" w:hAnsi="Arial" w:cs="Arial"/>
          <w:sz w:val="24"/>
          <w:szCs w:val="24"/>
        </w:rPr>
        <w:t xml:space="preserve"> Retail profit grew by </w:t>
      </w:r>
      <w:r w:rsidR="00F04410" w:rsidRPr="00F04410">
        <w:rPr>
          <w:rFonts w:ascii="Arial" w:hAnsi="Arial" w:cs="Arial"/>
          <w:sz w:val="24"/>
          <w:szCs w:val="24"/>
        </w:rPr>
        <w:t>8.7</w:t>
      </w:r>
      <w:r w:rsidR="002C1526" w:rsidRPr="00F04410">
        <w:rPr>
          <w:rFonts w:ascii="Arial" w:hAnsi="Arial" w:cs="Arial"/>
          <w:sz w:val="24"/>
          <w:szCs w:val="24"/>
        </w:rPr>
        <w:t>% to £</w:t>
      </w:r>
      <w:r w:rsidR="00F04410" w:rsidRPr="00F04410">
        <w:rPr>
          <w:rFonts w:ascii="Arial" w:hAnsi="Arial" w:cs="Arial"/>
          <w:sz w:val="24"/>
          <w:szCs w:val="24"/>
        </w:rPr>
        <w:t>53</w:t>
      </w:r>
      <w:r w:rsidR="002C1526" w:rsidRPr="00F04410">
        <w:rPr>
          <w:rFonts w:ascii="Arial" w:hAnsi="Arial" w:cs="Arial"/>
          <w:sz w:val="24"/>
          <w:szCs w:val="24"/>
        </w:rPr>
        <w:t xml:space="preserve"> million supported by the sales growth</w:t>
      </w:r>
      <w:r w:rsidR="007E7642">
        <w:rPr>
          <w:rFonts w:ascii="Arial" w:hAnsi="Arial" w:cs="Arial"/>
          <w:sz w:val="24"/>
          <w:szCs w:val="24"/>
        </w:rPr>
        <w:t xml:space="preserve"> and </w:t>
      </w:r>
      <w:r w:rsidR="008B5D7E">
        <w:rPr>
          <w:rFonts w:ascii="Arial" w:hAnsi="Arial" w:cs="Arial"/>
          <w:sz w:val="24"/>
          <w:szCs w:val="24"/>
        </w:rPr>
        <w:t>tight</w:t>
      </w:r>
      <w:r w:rsidR="0047127B">
        <w:rPr>
          <w:rFonts w:ascii="Arial" w:hAnsi="Arial" w:cs="Arial"/>
          <w:sz w:val="24"/>
          <w:szCs w:val="24"/>
        </w:rPr>
        <w:t xml:space="preserve"> cost control</w:t>
      </w:r>
      <w:r w:rsidR="002C1526" w:rsidRPr="00F04410">
        <w:rPr>
          <w:rFonts w:ascii="Arial" w:hAnsi="Arial" w:cs="Arial"/>
          <w:sz w:val="24"/>
          <w:szCs w:val="24"/>
        </w:rPr>
        <w:t xml:space="preserve">. </w:t>
      </w:r>
    </w:p>
    <w:p w14:paraId="6826F787" w14:textId="77777777" w:rsidR="00FE2D84" w:rsidRPr="004B173A" w:rsidRDefault="00FE2D84" w:rsidP="00185D0E">
      <w:pPr>
        <w:jc w:val="left"/>
        <w:rPr>
          <w:rFonts w:ascii="Arial" w:hAnsi="Arial" w:cs="Arial"/>
          <w:sz w:val="24"/>
          <w:szCs w:val="24"/>
          <w:highlight w:val="yellow"/>
        </w:rPr>
      </w:pPr>
    </w:p>
    <w:p w14:paraId="39F2E550" w14:textId="2910EF80" w:rsidR="004B0FDA" w:rsidRPr="00335128" w:rsidRDefault="00FC1204" w:rsidP="00185D0E">
      <w:pPr>
        <w:jc w:val="left"/>
        <w:rPr>
          <w:rFonts w:ascii="Arial" w:hAnsi="Arial" w:cs="Arial"/>
          <w:sz w:val="24"/>
          <w:szCs w:val="24"/>
        </w:rPr>
      </w:pPr>
      <w:r w:rsidRPr="00335128">
        <w:rPr>
          <w:rFonts w:ascii="Arial" w:hAnsi="Arial" w:cs="Arial"/>
          <w:sz w:val="24"/>
          <w:szCs w:val="24"/>
        </w:rPr>
        <w:t xml:space="preserve">In </w:t>
      </w:r>
      <w:r w:rsidRPr="00335128">
        <w:rPr>
          <w:rFonts w:ascii="Arial" w:hAnsi="Arial" w:cs="Arial"/>
          <w:b/>
          <w:sz w:val="24"/>
          <w:szCs w:val="24"/>
        </w:rPr>
        <w:t xml:space="preserve">Russia </w:t>
      </w:r>
      <w:r w:rsidRPr="00335128">
        <w:rPr>
          <w:rFonts w:ascii="Arial" w:hAnsi="Arial" w:cs="Arial"/>
          <w:sz w:val="24"/>
          <w:szCs w:val="24"/>
        </w:rPr>
        <w:t xml:space="preserve">sales grew by </w:t>
      </w:r>
      <w:r w:rsidR="00F04410" w:rsidRPr="00335128">
        <w:rPr>
          <w:rFonts w:ascii="Arial" w:hAnsi="Arial" w:cs="Arial"/>
          <w:sz w:val="24"/>
          <w:szCs w:val="24"/>
        </w:rPr>
        <w:t>21.6</w:t>
      </w:r>
      <w:r w:rsidRPr="00335128">
        <w:rPr>
          <w:rFonts w:ascii="Arial" w:hAnsi="Arial" w:cs="Arial"/>
          <w:sz w:val="24"/>
          <w:szCs w:val="24"/>
        </w:rPr>
        <w:t>%</w:t>
      </w:r>
      <w:r w:rsidR="00F56B85" w:rsidRPr="00335128">
        <w:rPr>
          <w:rFonts w:ascii="Arial" w:hAnsi="Arial" w:cs="Arial"/>
          <w:sz w:val="24"/>
          <w:szCs w:val="24"/>
        </w:rPr>
        <w:t xml:space="preserve"> (+</w:t>
      </w:r>
      <w:r w:rsidR="00F04410" w:rsidRPr="00335128">
        <w:rPr>
          <w:rFonts w:ascii="Arial" w:hAnsi="Arial" w:cs="Arial"/>
          <w:sz w:val="24"/>
          <w:szCs w:val="24"/>
        </w:rPr>
        <w:t>15.3</w:t>
      </w:r>
      <w:r w:rsidR="00F56B85" w:rsidRPr="00335128">
        <w:rPr>
          <w:rFonts w:ascii="Arial" w:hAnsi="Arial" w:cs="Arial"/>
          <w:sz w:val="24"/>
          <w:szCs w:val="24"/>
        </w:rPr>
        <w:t xml:space="preserve">% LFL) </w:t>
      </w:r>
      <w:r w:rsidRPr="00335128">
        <w:rPr>
          <w:rFonts w:ascii="Arial" w:hAnsi="Arial" w:cs="Arial"/>
          <w:sz w:val="24"/>
          <w:szCs w:val="24"/>
        </w:rPr>
        <w:t>to £</w:t>
      </w:r>
      <w:r w:rsidR="00F04410" w:rsidRPr="00335128">
        <w:rPr>
          <w:rFonts w:ascii="Arial" w:hAnsi="Arial" w:cs="Arial"/>
          <w:sz w:val="24"/>
          <w:szCs w:val="24"/>
        </w:rPr>
        <w:t>175</w:t>
      </w:r>
      <w:r w:rsidRPr="00335128">
        <w:rPr>
          <w:rFonts w:ascii="Arial" w:hAnsi="Arial" w:cs="Arial"/>
          <w:sz w:val="24"/>
          <w:szCs w:val="24"/>
        </w:rPr>
        <w:t xml:space="preserve"> million </w:t>
      </w:r>
      <w:r w:rsidR="006654FC" w:rsidRPr="006654FC">
        <w:rPr>
          <w:rFonts w:ascii="Arial" w:hAnsi="Arial" w:cs="Arial"/>
          <w:sz w:val="24"/>
          <w:szCs w:val="24"/>
        </w:rPr>
        <w:t xml:space="preserve">reflecting strong consumer spending on durable goods </w:t>
      </w:r>
      <w:r w:rsidR="008B5D7E">
        <w:rPr>
          <w:rFonts w:ascii="Arial" w:hAnsi="Arial" w:cs="Arial"/>
          <w:sz w:val="24"/>
          <w:szCs w:val="24"/>
        </w:rPr>
        <w:t xml:space="preserve">in Q1 in an uncertain market followed by more normalised consumer spending in Q2. </w:t>
      </w:r>
      <w:r w:rsidR="00220F00" w:rsidRPr="00335128">
        <w:rPr>
          <w:rFonts w:ascii="Arial" w:hAnsi="Arial" w:cs="Arial"/>
          <w:sz w:val="24"/>
          <w:szCs w:val="24"/>
        </w:rPr>
        <w:t xml:space="preserve">Retail profit </w:t>
      </w:r>
      <w:r w:rsidR="007F444D">
        <w:rPr>
          <w:rFonts w:ascii="Arial" w:hAnsi="Arial" w:cs="Arial"/>
          <w:sz w:val="24"/>
          <w:szCs w:val="24"/>
        </w:rPr>
        <w:t>increased</w:t>
      </w:r>
      <w:r w:rsidR="003E05CB" w:rsidRPr="00335128">
        <w:rPr>
          <w:rFonts w:ascii="Arial" w:hAnsi="Arial" w:cs="Arial"/>
          <w:sz w:val="24"/>
          <w:szCs w:val="24"/>
        </w:rPr>
        <w:t xml:space="preserve"> to</w:t>
      </w:r>
      <w:r w:rsidR="00220F00" w:rsidRPr="00335128">
        <w:rPr>
          <w:rFonts w:ascii="Arial" w:hAnsi="Arial" w:cs="Arial"/>
          <w:sz w:val="24"/>
          <w:szCs w:val="24"/>
        </w:rPr>
        <w:t xml:space="preserve"> </w:t>
      </w:r>
      <w:r w:rsidR="003E05CB" w:rsidRPr="00335128">
        <w:rPr>
          <w:rFonts w:ascii="Arial" w:hAnsi="Arial" w:cs="Arial"/>
          <w:sz w:val="24"/>
          <w:szCs w:val="24"/>
        </w:rPr>
        <w:t>£</w:t>
      </w:r>
      <w:r w:rsidR="00F04410" w:rsidRPr="00335128">
        <w:rPr>
          <w:rFonts w:ascii="Arial" w:hAnsi="Arial" w:cs="Arial"/>
          <w:sz w:val="24"/>
          <w:szCs w:val="24"/>
        </w:rPr>
        <w:t>3</w:t>
      </w:r>
      <w:r w:rsidR="003E05CB" w:rsidRPr="00335128">
        <w:rPr>
          <w:rFonts w:ascii="Arial" w:hAnsi="Arial" w:cs="Arial"/>
          <w:sz w:val="24"/>
          <w:szCs w:val="24"/>
        </w:rPr>
        <w:t xml:space="preserve"> million</w:t>
      </w:r>
      <w:r w:rsidR="008B5D7E">
        <w:rPr>
          <w:rFonts w:ascii="Arial" w:hAnsi="Arial" w:cs="Arial"/>
          <w:sz w:val="24"/>
          <w:szCs w:val="24"/>
        </w:rPr>
        <w:t xml:space="preserve"> driven by the sales growth, despite adverse foreign currency exchange movements on the cost base.</w:t>
      </w:r>
      <w:r w:rsidR="00F27C71" w:rsidRPr="00335128">
        <w:rPr>
          <w:rFonts w:ascii="Arial" w:hAnsi="Arial" w:cs="Arial"/>
          <w:sz w:val="24"/>
          <w:szCs w:val="24"/>
        </w:rPr>
        <w:t xml:space="preserve"> </w:t>
      </w:r>
      <w:r w:rsidR="00144DF2" w:rsidRPr="00335128">
        <w:rPr>
          <w:rFonts w:ascii="Arial" w:hAnsi="Arial" w:cs="Arial"/>
          <w:sz w:val="24"/>
          <w:szCs w:val="24"/>
        </w:rPr>
        <w:t xml:space="preserve">In </w:t>
      </w:r>
      <w:r w:rsidR="00144DF2" w:rsidRPr="00335128">
        <w:rPr>
          <w:rFonts w:ascii="Arial" w:hAnsi="Arial" w:cs="Arial"/>
          <w:b/>
          <w:sz w:val="24"/>
          <w:szCs w:val="24"/>
        </w:rPr>
        <w:t xml:space="preserve">Turkey, </w:t>
      </w:r>
      <w:r w:rsidR="00144DF2" w:rsidRPr="00335128">
        <w:rPr>
          <w:rFonts w:ascii="Arial" w:hAnsi="Arial" w:cs="Arial"/>
          <w:sz w:val="24"/>
          <w:szCs w:val="24"/>
        </w:rPr>
        <w:t xml:space="preserve">Kingfisher’s 50% JV, </w:t>
      </w:r>
      <w:proofErr w:type="spellStart"/>
      <w:r w:rsidR="00144DF2" w:rsidRPr="00335128">
        <w:rPr>
          <w:rFonts w:ascii="Arial" w:hAnsi="Arial" w:cs="Arial"/>
          <w:bCs/>
          <w:sz w:val="24"/>
          <w:szCs w:val="24"/>
        </w:rPr>
        <w:t>Koçtaş</w:t>
      </w:r>
      <w:proofErr w:type="spellEnd"/>
      <w:r w:rsidR="00144DF2" w:rsidRPr="00335128">
        <w:rPr>
          <w:rFonts w:ascii="Arial" w:hAnsi="Arial" w:cs="Arial"/>
          <w:bCs/>
          <w:sz w:val="24"/>
          <w:szCs w:val="24"/>
        </w:rPr>
        <w:t xml:space="preserve">, </w:t>
      </w:r>
      <w:r w:rsidR="00144DF2" w:rsidRPr="00335128">
        <w:rPr>
          <w:rFonts w:ascii="Arial" w:hAnsi="Arial" w:cs="Arial"/>
          <w:sz w:val="24"/>
          <w:szCs w:val="24"/>
        </w:rPr>
        <w:t>sales</w:t>
      </w:r>
      <w:r w:rsidR="008B5D7E">
        <w:rPr>
          <w:rFonts w:ascii="Arial" w:hAnsi="Arial" w:cs="Arial"/>
          <w:sz w:val="24"/>
          <w:szCs w:val="24"/>
        </w:rPr>
        <w:t xml:space="preserve"> grew</w:t>
      </w:r>
      <w:r w:rsidR="00144DF2" w:rsidRPr="00335128">
        <w:rPr>
          <w:rFonts w:ascii="Arial" w:hAnsi="Arial" w:cs="Arial"/>
          <w:sz w:val="24"/>
          <w:szCs w:val="24"/>
        </w:rPr>
        <w:t xml:space="preserve"> by </w:t>
      </w:r>
      <w:r w:rsidR="00F04410" w:rsidRPr="00335128">
        <w:rPr>
          <w:rFonts w:ascii="Arial" w:hAnsi="Arial" w:cs="Arial"/>
          <w:sz w:val="24"/>
          <w:szCs w:val="24"/>
        </w:rPr>
        <w:t>11.6</w:t>
      </w:r>
      <w:r w:rsidR="00144DF2" w:rsidRPr="00335128">
        <w:rPr>
          <w:rFonts w:ascii="Arial" w:hAnsi="Arial" w:cs="Arial"/>
          <w:sz w:val="24"/>
          <w:szCs w:val="24"/>
        </w:rPr>
        <w:t>% (+</w:t>
      </w:r>
      <w:r w:rsidR="00F04410" w:rsidRPr="00335128">
        <w:rPr>
          <w:rFonts w:ascii="Arial" w:hAnsi="Arial" w:cs="Arial"/>
          <w:sz w:val="24"/>
          <w:szCs w:val="24"/>
        </w:rPr>
        <w:t>7.0</w:t>
      </w:r>
      <w:r w:rsidR="00144DF2" w:rsidRPr="00335128">
        <w:rPr>
          <w:rFonts w:ascii="Arial" w:hAnsi="Arial" w:cs="Arial"/>
          <w:sz w:val="24"/>
          <w:szCs w:val="24"/>
        </w:rPr>
        <w:t>% LFL)</w:t>
      </w:r>
      <w:r w:rsidR="00AC2D47" w:rsidRPr="00335128">
        <w:rPr>
          <w:rFonts w:ascii="Arial" w:hAnsi="Arial" w:cs="Arial"/>
          <w:sz w:val="24"/>
          <w:szCs w:val="24"/>
        </w:rPr>
        <w:t xml:space="preserve"> to £</w:t>
      </w:r>
      <w:r w:rsidR="00F04410" w:rsidRPr="00335128">
        <w:rPr>
          <w:rFonts w:ascii="Arial" w:hAnsi="Arial" w:cs="Arial"/>
          <w:sz w:val="24"/>
          <w:szCs w:val="24"/>
        </w:rPr>
        <w:t>149</w:t>
      </w:r>
      <w:r w:rsidR="00FE4FB6" w:rsidRPr="00335128">
        <w:rPr>
          <w:rFonts w:ascii="Arial" w:hAnsi="Arial" w:cs="Arial"/>
          <w:sz w:val="24"/>
          <w:szCs w:val="24"/>
        </w:rPr>
        <w:t xml:space="preserve"> </w:t>
      </w:r>
      <w:r w:rsidR="00AC2D47" w:rsidRPr="00335128">
        <w:rPr>
          <w:rFonts w:ascii="Arial" w:hAnsi="Arial" w:cs="Arial"/>
          <w:sz w:val="24"/>
          <w:szCs w:val="24"/>
        </w:rPr>
        <w:t>million</w:t>
      </w:r>
      <w:r w:rsidR="00144DF2" w:rsidRPr="00335128">
        <w:rPr>
          <w:rFonts w:ascii="Arial" w:hAnsi="Arial" w:cs="Arial"/>
          <w:sz w:val="24"/>
          <w:szCs w:val="24"/>
        </w:rPr>
        <w:t xml:space="preserve"> reflecting new store opening</w:t>
      </w:r>
      <w:r w:rsidR="00E652D5" w:rsidRPr="00335128">
        <w:rPr>
          <w:rFonts w:ascii="Arial" w:hAnsi="Arial" w:cs="Arial"/>
          <w:sz w:val="24"/>
          <w:szCs w:val="24"/>
        </w:rPr>
        <w:t>s</w:t>
      </w:r>
      <w:r w:rsidR="008B5D7E">
        <w:rPr>
          <w:rFonts w:ascii="Arial" w:hAnsi="Arial" w:cs="Arial"/>
          <w:sz w:val="24"/>
          <w:szCs w:val="24"/>
        </w:rPr>
        <w:t xml:space="preserve"> </w:t>
      </w:r>
      <w:r w:rsidR="00F75ADC" w:rsidRPr="00335128">
        <w:rPr>
          <w:rFonts w:ascii="Arial" w:hAnsi="Arial" w:cs="Arial"/>
          <w:sz w:val="24"/>
          <w:szCs w:val="24"/>
        </w:rPr>
        <w:t>and more promotional activity</w:t>
      </w:r>
      <w:r w:rsidR="00144DF2" w:rsidRPr="00335128">
        <w:rPr>
          <w:rFonts w:ascii="Arial" w:hAnsi="Arial" w:cs="Arial"/>
          <w:sz w:val="24"/>
          <w:szCs w:val="24"/>
        </w:rPr>
        <w:t xml:space="preserve">. Retail profit contribution </w:t>
      </w:r>
      <w:r w:rsidR="00F75ADC" w:rsidRPr="00335128">
        <w:rPr>
          <w:rFonts w:ascii="Arial" w:hAnsi="Arial" w:cs="Arial"/>
          <w:sz w:val="24"/>
          <w:szCs w:val="24"/>
        </w:rPr>
        <w:t xml:space="preserve">was </w:t>
      </w:r>
      <w:r w:rsidR="00CE17E3">
        <w:rPr>
          <w:rFonts w:ascii="Arial" w:hAnsi="Arial" w:cs="Arial"/>
          <w:sz w:val="24"/>
          <w:szCs w:val="24"/>
        </w:rPr>
        <w:t xml:space="preserve">down to </w:t>
      </w:r>
      <w:r w:rsidR="00F75ADC" w:rsidRPr="00335128">
        <w:rPr>
          <w:rFonts w:ascii="Arial" w:hAnsi="Arial" w:cs="Arial"/>
          <w:sz w:val="24"/>
          <w:szCs w:val="24"/>
        </w:rPr>
        <w:t>£</w:t>
      </w:r>
      <w:r w:rsidR="00F04410" w:rsidRPr="00335128">
        <w:rPr>
          <w:rFonts w:ascii="Arial" w:hAnsi="Arial" w:cs="Arial"/>
          <w:sz w:val="24"/>
          <w:szCs w:val="24"/>
        </w:rPr>
        <w:t>2</w:t>
      </w:r>
      <w:r w:rsidR="00FE4FB6" w:rsidRPr="00335128">
        <w:rPr>
          <w:rFonts w:ascii="Arial" w:hAnsi="Arial" w:cs="Arial"/>
          <w:sz w:val="24"/>
          <w:szCs w:val="24"/>
        </w:rPr>
        <w:t xml:space="preserve"> </w:t>
      </w:r>
      <w:r w:rsidR="00F75ADC" w:rsidRPr="00335128">
        <w:rPr>
          <w:rFonts w:ascii="Arial" w:hAnsi="Arial" w:cs="Arial"/>
          <w:sz w:val="24"/>
          <w:szCs w:val="24"/>
        </w:rPr>
        <w:t>milli</w:t>
      </w:r>
      <w:r w:rsidR="004B0FDA" w:rsidRPr="00335128">
        <w:rPr>
          <w:rFonts w:ascii="Arial" w:hAnsi="Arial" w:cs="Arial"/>
          <w:sz w:val="24"/>
          <w:szCs w:val="24"/>
        </w:rPr>
        <w:t>on</w:t>
      </w:r>
      <w:r w:rsidR="008B5D7E">
        <w:rPr>
          <w:rFonts w:ascii="Arial" w:hAnsi="Arial" w:cs="Arial"/>
          <w:sz w:val="24"/>
          <w:szCs w:val="24"/>
        </w:rPr>
        <w:t>, reflecting</w:t>
      </w:r>
      <w:r w:rsidR="0076567B">
        <w:rPr>
          <w:rFonts w:ascii="Arial" w:hAnsi="Arial" w:cs="Arial"/>
          <w:sz w:val="24"/>
          <w:szCs w:val="24"/>
        </w:rPr>
        <w:t xml:space="preserve"> the timing of</w:t>
      </w:r>
      <w:r w:rsidR="003E568A">
        <w:rPr>
          <w:rFonts w:ascii="Arial" w:hAnsi="Arial" w:cs="Arial"/>
          <w:sz w:val="24"/>
          <w:szCs w:val="24"/>
        </w:rPr>
        <w:t xml:space="preserve"> new store openings </w:t>
      </w:r>
      <w:r w:rsidR="0076567B">
        <w:rPr>
          <w:rFonts w:ascii="Arial" w:hAnsi="Arial" w:cs="Arial"/>
          <w:sz w:val="24"/>
          <w:szCs w:val="24"/>
        </w:rPr>
        <w:t xml:space="preserve">and adverse foreign currency exchange movements on the cost base. </w:t>
      </w:r>
      <w:r w:rsidR="004B0FDA" w:rsidRPr="00335128">
        <w:rPr>
          <w:rFonts w:ascii="Arial" w:hAnsi="Arial" w:cs="Arial"/>
          <w:sz w:val="24"/>
          <w:szCs w:val="24"/>
        </w:rPr>
        <w:t xml:space="preserve">In </w:t>
      </w:r>
      <w:r w:rsidR="00043BA4" w:rsidRPr="00335128">
        <w:rPr>
          <w:rFonts w:ascii="Arial" w:hAnsi="Arial" w:cs="Arial"/>
          <w:b/>
          <w:sz w:val="24"/>
          <w:szCs w:val="24"/>
        </w:rPr>
        <w:t>Spain</w:t>
      </w:r>
      <w:r w:rsidR="00043BA4" w:rsidRPr="00335128">
        <w:rPr>
          <w:rFonts w:ascii="Arial" w:hAnsi="Arial" w:cs="Arial"/>
          <w:sz w:val="24"/>
          <w:szCs w:val="24"/>
        </w:rPr>
        <w:t xml:space="preserve"> </w:t>
      </w:r>
      <w:r w:rsidR="00144DF2" w:rsidRPr="00335128">
        <w:rPr>
          <w:rFonts w:ascii="Arial" w:hAnsi="Arial" w:cs="Arial"/>
          <w:sz w:val="24"/>
          <w:szCs w:val="24"/>
        </w:rPr>
        <w:t xml:space="preserve">sales </w:t>
      </w:r>
      <w:r w:rsidR="00F04410" w:rsidRPr="00335128">
        <w:rPr>
          <w:rFonts w:ascii="Arial" w:hAnsi="Arial" w:cs="Arial"/>
          <w:sz w:val="24"/>
          <w:szCs w:val="24"/>
        </w:rPr>
        <w:t>declined</w:t>
      </w:r>
      <w:r w:rsidR="002462B5" w:rsidRPr="00335128">
        <w:rPr>
          <w:rFonts w:ascii="Arial" w:hAnsi="Arial" w:cs="Arial"/>
          <w:sz w:val="24"/>
          <w:szCs w:val="24"/>
        </w:rPr>
        <w:t xml:space="preserve"> by </w:t>
      </w:r>
      <w:r w:rsidR="00F04410" w:rsidRPr="00335128">
        <w:rPr>
          <w:rFonts w:ascii="Arial" w:hAnsi="Arial" w:cs="Arial"/>
          <w:sz w:val="24"/>
          <w:szCs w:val="24"/>
        </w:rPr>
        <w:t>4.6</w:t>
      </w:r>
      <w:r w:rsidR="00043BA4" w:rsidRPr="00335128">
        <w:rPr>
          <w:rFonts w:ascii="Arial" w:hAnsi="Arial" w:cs="Arial"/>
          <w:sz w:val="24"/>
          <w:szCs w:val="24"/>
        </w:rPr>
        <w:t>% (</w:t>
      </w:r>
      <w:r w:rsidR="00A01F89" w:rsidRPr="00335128">
        <w:rPr>
          <w:rFonts w:ascii="Arial" w:hAnsi="Arial" w:cs="Arial"/>
          <w:sz w:val="24"/>
          <w:szCs w:val="24"/>
        </w:rPr>
        <w:t>-</w:t>
      </w:r>
      <w:r w:rsidR="00F04410" w:rsidRPr="00335128">
        <w:rPr>
          <w:rFonts w:ascii="Arial" w:hAnsi="Arial" w:cs="Arial"/>
          <w:sz w:val="24"/>
          <w:szCs w:val="24"/>
        </w:rPr>
        <w:t>6.2%</w:t>
      </w:r>
      <w:r w:rsidR="002462B5" w:rsidRPr="00335128">
        <w:rPr>
          <w:rFonts w:ascii="Arial" w:hAnsi="Arial" w:cs="Arial"/>
          <w:sz w:val="24"/>
          <w:szCs w:val="24"/>
        </w:rPr>
        <w:t xml:space="preserve"> LFL) to £</w:t>
      </w:r>
      <w:r w:rsidR="00F04410" w:rsidRPr="00335128">
        <w:rPr>
          <w:rFonts w:ascii="Arial" w:hAnsi="Arial" w:cs="Arial"/>
          <w:sz w:val="24"/>
          <w:szCs w:val="24"/>
        </w:rPr>
        <w:t>144</w:t>
      </w:r>
      <w:r w:rsidR="002462B5" w:rsidRPr="00335128">
        <w:rPr>
          <w:rFonts w:ascii="Arial" w:hAnsi="Arial" w:cs="Arial"/>
          <w:sz w:val="24"/>
          <w:szCs w:val="24"/>
        </w:rPr>
        <w:t xml:space="preserve"> million</w:t>
      </w:r>
      <w:r w:rsidR="0076567B">
        <w:rPr>
          <w:rFonts w:ascii="Arial" w:hAnsi="Arial" w:cs="Arial"/>
          <w:color w:val="FF0000"/>
          <w:sz w:val="24"/>
          <w:szCs w:val="24"/>
        </w:rPr>
        <w:t xml:space="preserve"> </w:t>
      </w:r>
      <w:r w:rsidR="0076567B">
        <w:rPr>
          <w:rFonts w:ascii="Arial" w:hAnsi="Arial" w:cs="Arial"/>
          <w:sz w:val="24"/>
          <w:szCs w:val="24"/>
        </w:rPr>
        <w:t>in a more competitive market</w:t>
      </w:r>
      <w:r w:rsidR="009D0702" w:rsidRPr="00335128">
        <w:rPr>
          <w:rFonts w:ascii="Arial" w:hAnsi="Arial" w:cs="Arial"/>
          <w:sz w:val="24"/>
          <w:szCs w:val="24"/>
        </w:rPr>
        <w:t>.</w:t>
      </w:r>
      <w:r w:rsidRPr="00335128">
        <w:rPr>
          <w:rFonts w:ascii="Arial" w:hAnsi="Arial" w:cs="Arial"/>
          <w:sz w:val="24"/>
          <w:szCs w:val="24"/>
        </w:rPr>
        <w:t xml:space="preserve"> </w:t>
      </w:r>
      <w:r w:rsidR="002462B5" w:rsidRPr="00335128">
        <w:rPr>
          <w:rFonts w:ascii="Arial" w:hAnsi="Arial" w:cs="Arial"/>
          <w:sz w:val="24"/>
          <w:szCs w:val="24"/>
        </w:rPr>
        <w:t>Retail profit was £</w:t>
      </w:r>
      <w:r w:rsidR="00F04410" w:rsidRPr="00335128">
        <w:rPr>
          <w:rFonts w:ascii="Arial" w:hAnsi="Arial" w:cs="Arial"/>
          <w:sz w:val="24"/>
          <w:szCs w:val="24"/>
        </w:rPr>
        <w:t>2</w:t>
      </w:r>
      <w:r w:rsidR="00EB0755" w:rsidRPr="00335128">
        <w:rPr>
          <w:rFonts w:ascii="Arial" w:hAnsi="Arial" w:cs="Arial"/>
          <w:sz w:val="24"/>
          <w:szCs w:val="24"/>
        </w:rPr>
        <w:t xml:space="preserve"> million</w:t>
      </w:r>
      <w:r w:rsidR="00090A60" w:rsidRPr="00335128">
        <w:rPr>
          <w:rFonts w:ascii="Arial" w:hAnsi="Arial" w:cs="Arial"/>
          <w:sz w:val="24"/>
          <w:szCs w:val="24"/>
        </w:rPr>
        <w:t xml:space="preserve"> (</w:t>
      </w:r>
      <w:r w:rsidR="00F668B7" w:rsidRPr="00335128">
        <w:rPr>
          <w:rFonts w:ascii="Arial" w:hAnsi="Arial" w:cs="Arial"/>
          <w:sz w:val="24"/>
          <w:szCs w:val="24"/>
        </w:rPr>
        <w:t>2014/15</w:t>
      </w:r>
      <w:r w:rsidR="008F4043" w:rsidRPr="00335128">
        <w:rPr>
          <w:rFonts w:ascii="Arial" w:hAnsi="Arial" w:cs="Arial"/>
          <w:sz w:val="24"/>
          <w:szCs w:val="24"/>
        </w:rPr>
        <w:t>: £</w:t>
      </w:r>
      <w:r w:rsidR="00F04410" w:rsidRPr="00335128">
        <w:rPr>
          <w:rFonts w:ascii="Arial" w:hAnsi="Arial" w:cs="Arial"/>
          <w:sz w:val="24"/>
          <w:szCs w:val="24"/>
        </w:rPr>
        <w:t>3</w:t>
      </w:r>
      <w:r w:rsidR="008F4043" w:rsidRPr="00335128">
        <w:rPr>
          <w:rFonts w:ascii="Arial" w:hAnsi="Arial" w:cs="Arial"/>
          <w:sz w:val="24"/>
          <w:szCs w:val="24"/>
        </w:rPr>
        <w:t xml:space="preserve"> million </w:t>
      </w:r>
      <w:r w:rsidR="0076567B">
        <w:rPr>
          <w:rFonts w:ascii="Arial" w:hAnsi="Arial" w:cs="Arial"/>
          <w:sz w:val="24"/>
          <w:szCs w:val="24"/>
        </w:rPr>
        <w:t xml:space="preserve">reported </w:t>
      </w:r>
      <w:r w:rsidR="008F4043" w:rsidRPr="00335128">
        <w:rPr>
          <w:rFonts w:ascii="Arial" w:hAnsi="Arial" w:cs="Arial"/>
          <w:sz w:val="24"/>
          <w:szCs w:val="24"/>
        </w:rPr>
        <w:t>retail profit).</w:t>
      </w:r>
      <w:r w:rsidR="00F27C71" w:rsidRPr="00335128">
        <w:rPr>
          <w:rFonts w:ascii="Arial" w:hAnsi="Arial" w:cs="Arial"/>
          <w:sz w:val="24"/>
          <w:szCs w:val="24"/>
        </w:rPr>
        <w:t xml:space="preserve"> </w:t>
      </w:r>
    </w:p>
    <w:p w14:paraId="597623F6" w14:textId="77777777" w:rsidR="00A33D31" w:rsidRPr="004B173A" w:rsidRDefault="00A33D31" w:rsidP="00315200">
      <w:pPr>
        <w:jc w:val="left"/>
        <w:rPr>
          <w:rFonts w:ascii="Arial" w:hAnsi="Arial" w:cs="Arial"/>
          <w:b/>
          <w:sz w:val="24"/>
          <w:szCs w:val="24"/>
          <w:highlight w:val="yellow"/>
          <w:u w:val="single"/>
        </w:rPr>
      </w:pPr>
    </w:p>
    <w:p w14:paraId="5EE075FE" w14:textId="44BC606B" w:rsidR="009673CB" w:rsidRPr="00335128" w:rsidRDefault="00A14C99" w:rsidP="00315200">
      <w:pPr>
        <w:jc w:val="left"/>
        <w:rPr>
          <w:rFonts w:ascii="Arial" w:hAnsi="Arial" w:cs="Arial"/>
          <w:b/>
          <w:sz w:val="24"/>
          <w:szCs w:val="24"/>
          <w:u w:val="single"/>
        </w:rPr>
      </w:pPr>
      <w:r w:rsidRPr="00335128">
        <w:rPr>
          <w:rFonts w:ascii="Arial" w:hAnsi="Arial" w:cs="Arial"/>
          <w:b/>
          <w:sz w:val="24"/>
          <w:szCs w:val="24"/>
          <w:u w:val="single"/>
        </w:rPr>
        <w:t xml:space="preserve">New </w:t>
      </w:r>
      <w:r w:rsidR="00CE1688">
        <w:rPr>
          <w:rFonts w:ascii="Arial" w:hAnsi="Arial" w:cs="Arial"/>
          <w:b/>
          <w:sz w:val="24"/>
          <w:szCs w:val="24"/>
          <w:u w:val="single"/>
        </w:rPr>
        <w:t>C</w:t>
      </w:r>
      <w:r w:rsidRPr="00335128">
        <w:rPr>
          <w:rFonts w:ascii="Arial" w:hAnsi="Arial" w:cs="Arial"/>
          <w:b/>
          <w:sz w:val="24"/>
          <w:szCs w:val="24"/>
          <w:u w:val="single"/>
        </w:rPr>
        <w:t xml:space="preserve">ountry </w:t>
      </w:r>
      <w:r w:rsidR="00CE1688">
        <w:rPr>
          <w:rFonts w:ascii="Arial" w:hAnsi="Arial" w:cs="Arial"/>
          <w:b/>
          <w:sz w:val="24"/>
          <w:szCs w:val="24"/>
          <w:u w:val="single"/>
        </w:rPr>
        <w:t>D</w:t>
      </w:r>
      <w:r w:rsidRPr="00335128">
        <w:rPr>
          <w:rFonts w:ascii="Arial" w:hAnsi="Arial" w:cs="Arial"/>
          <w:b/>
          <w:sz w:val="24"/>
          <w:szCs w:val="24"/>
          <w:u w:val="single"/>
        </w:rPr>
        <w:t>evelopment</w:t>
      </w:r>
      <w:r w:rsidR="00E04676" w:rsidRPr="00335128">
        <w:rPr>
          <w:rFonts w:ascii="Arial" w:hAnsi="Arial" w:cs="Arial"/>
          <w:b/>
          <w:sz w:val="24"/>
          <w:szCs w:val="24"/>
          <w:u w:val="single"/>
        </w:rPr>
        <w:t>:</w:t>
      </w:r>
    </w:p>
    <w:p w14:paraId="641B8449" w14:textId="77777777" w:rsidR="004E601F" w:rsidRPr="00335128" w:rsidRDefault="004E601F" w:rsidP="00315200">
      <w:pPr>
        <w:jc w:val="left"/>
        <w:rPr>
          <w:rFonts w:ascii="Arial" w:hAnsi="Arial" w:cs="Arial"/>
          <w:b/>
          <w:sz w:val="24"/>
          <w:szCs w:val="24"/>
        </w:rPr>
      </w:pPr>
    </w:p>
    <w:p w14:paraId="1232B082" w14:textId="14DB0D9D" w:rsidR="007E7642" w:rsidRDefault="005E24E7" w:rsidP="00693B42">
      <w:pPr>
        <w:jc w:val="left"/>
        <w:rPr>
          <w:rFonts w:ascii="Arial" w:hAnsi="Arial" w:cs="Arial"/>
          <w:sz w:val="24"/>
          <w:szCs w:val="24"/>
        </w:rPr>
      </w:pPr>
      <w:r>
        <w:rPr>
          <w:rFonts w:ascii="Arial" w:hAnsi="Arial" w:cs="Arial"/>
          <w:sz w:val="24"/>
          <w:szCs w:val="24"/>
        </w:rPr>
        <w:t xml:space="preserve">New Country Development includes operations in Romania, Portugal and Germany. Sales </w:t>
      </w:r>
      <w:r w:rsidR="00E33F38">
        <w:rPr>
          <w:rFonts w:ascii="Arial" w:hAnsi="Arial" w:cs="Arial"/>
          <w:sz w:val="24"/>
          <w:szCs w:val="24"/>
        </w:rPr>
        <w:t xml:space="preserve">were £52 million </w:t>
      </w:r>
      <w:r w:rsidR="00CB3439" w:rsidRPr="00E33F38">
        <w:rPr>
          <w:rFonts w:ascii="Arial" w:hAnsi="Arial" w:cs="Arial"/>
          <w:sz w:val="24"/>
          <w:szCs w:val="24"/>
        </w:rPr>
        <w:t>with</w:t>
      </w:r>
      <w:r w:rsidR="00CB3439">
        <w:rPr>
          <w:rFonts w:ascii="Arial" w:hAnsi="Arial" w:cs="Arial"/>
          <w:sz w:val="24"/>
          <w:szCs w:val="24"/>
        </w:rPr>
        <w:t xml:space="preserve"> losses </w:t>
      </w:r>
      <w:r w:rsidR="00693B42">
        <w:rPr>
          <w:rFonts w:ascii="Arial" w:hAnsi="Arial" w:cs="Arial"/>
          <w:sz w:val="24"/>
          <w:szCs w:val="24"/>
        </w:rPr>
        <w:t>of £11 million (2014/15</w:t>
      </w:r>
      <w:r w:rsidR="007902C8">
        <w:rPr>
          <w:rFonts w:ascii="Arial" w:hAnsi="Arial" w:cs="Arial"/>
          <w:sz w:val="24"/>
          <w:szCs w:val="24"/>
        </w:rPr>
        <w:t>:</w:t>
      </w:r>
      <w:r w:rsidR="00693B42">
        <w:rPr>
          <w:rFonts w:ascii="Arial" w:hAnsi="Arial" w:cs="Arial"/>
          <w:sz w:val="24"/>
          <w:szCs w:val="24"/>
        </w:rPr>
        <w:t xml:space="preserve"> £11 million</w:t>
      </w:r>
      <w:r w:rsidR="007902C8">
        <w:rPr>
          <w:rFonts w:ascii="Arial" w:hAnsi="Arial" w:cs="Arial"/>
          <w:sz w:val="24"/>
          <w:szCs w:val="24"/>
        </w:rPr>
        <w:t xml:space="preserve"> reported retail loss</w:t>
      </w:r>
      <w:r w:rsidR="00693B42">
        <w:rPr>
          <w:rFonts w:ascii="Arial" w:hAnsi="Arial" w:cs="Arial"/>
          <w:sz w:val="24"/>
          <w:szCs w:val="24"/>
        </w:rPr>
        <w:t>)</w:t>
      </w:r>
      <w:r w:rsidR="007902C8">
        <w:rPr>
          <w:rFonts w:ascii="Arial" w:hAnsi="Arial" w:cs="Arial"/>
          <w:sz w:val="24"/>
          <w:szCs w:val="24"/>
        </w:rPr>
        <w:t xml:space="preserve">, </w:t>
      </w:r>
      <w:r w:rsidR="00693B42">
        <w:rPr>
          <w:rFonts w:ascii="Arial" w:hAnsi="Arial" w:cs="Arial"/>
          <w:sz w:val="24"/>
          <w:szCs w:val="24"/>
        </w:rPr>
        <w:t>reflect</w:t>
      </w:r>
      <w:r w:rsidR="007902C8">
        <w:rPr>
          <w:rFonts w:ascii="Arial" w:hAnsi="Arial" w:cs="Arial"/>
          <w:sz w:val="24"/>
          <w:szCs w:val="24"/>
        </w:rPr>
        <w:t>ing</w:t>
      </w:r>
      <w:r w:rsidR="00693B42">
        <w:rPr>
          <w:rFonts w:ascii="Arial" w:hAnsi="Arial" w:cs="Arial"/>
          <w:sz w:val="24"/>
          <w:szCs w:val="24"/>
        </w:rPr>
        <w:t xml:space="preserve"> the </w:t>
      </w:r>
      <w:r w:rsidR="00693B42" w:rsidRPr="00693B42">
        <w:rPr>
          <w:rFonts w:ascii="Arial" w:hAnsi="Arial" w:cs="Arial"/>
          <w:sz w:val="24"/>
          <w:szCs w:val="24"/>
        </w:rPr>
        <w:t>phasing of Screwfix Germany openings a</w:t>
      </w:r>
      <w:r w:rsidR="00693B42">
        <w:rPr>
          <w:rFonts w:ascii="Arial" w:hAnsi="Arial" w:cs="Arial"/>
          <w:sz w:val="24"/>
          <w:szCs w:val="24"/>
        </w:rPr>
        <w:t>s well as</w:t>
      </w:r>
      <w:r w:rsidR="00693B42" w:rsidRPr="00693B42">
        <w:rPr>
          <w:rFonts w:ascii="Arial" w:hAnsi="Arial" w:cs="Arial"/>
          <w:sz w:val="24"/>
          <w:szCs w:val="24"/>
        </w:rPr>
        <w:t xml:space="preserve"> </w:t>
      </w:r>
      <w:r w:rsidR="00670424">
        <w:rPr>
          <w:rFonts w:ascii="Arial" w:hAnsi="Arial" w:cs="Arial"/>
          <w:sz w:val="24"/>
          <w:szCs w:val="24"/>
        </w:rPr>
        <w:t xml:space="preserve">a more challenging environment for </w:t>
      </w:r>
      <w:proofErr w:type="spellStart"/>
      <w:r w:rsidR="00693B42" w:rsidRPr="00693B42">
        <w:rPr>
          <w:rFonts w:ascii="Arial" w:hAnsi="Arial" w:cs="Arial"/>
          <w:sz w:val="24"/>
          <w:szCs w:val="24"/>
        </w:rPr>
        <w:t>Brico</w:t>
      </w:r>
      <w:proofErr w:type="spellEnd"/>
      <w:r w:rsidR="00693B42" w:rsidRPr="00693B42">
        <w:rPr>
          <w:rFonts w:ascii="Arial" w:hAnsi="Arial" w:cs="Arial"/>
          <w:sz w:val="24"/>
          <w:szCs w:val="24"/>
        </w:rPr>
        <w:t xml:space="preserve"> </w:t>
      </w:r>
      <w:proofErr w:type="spellStart"/>
      <w:r w:rsidR="00693B42" w:rsidRPr="00693B42">
        <w:rPr>
          <w:rFonts w:ascii="Arial" w:hAnsi="Arial" w:cs="Arial"/>
          <w:sz w:val="24"/>
          <w:szCs w:val="24"/>
        </w:rPr>
        <w:t>Dépôt</w:t>
      </w:r>
      <w:proofErr w:type="spellEnd"/>
      <w:r w:rsidR="00693B42" w:rsidRPr="00693B42">
        <w:rPr>
          <w:rFonts w:ascii="Arial" w:hAnsi="Arial" w:cs="Arial"/>
          <w:sz w:val="24"/>
          <w:szCs w:val="24"/>
        </w:rPr>
        <w:t xml:space="preserve"> Romania</w:t>
      </w:r>
      <w:r w:rsidR="00693B42">
        <w:rPr>
          <w:rFonts w:ascii="Arial" w:hAnsi="Arial" w:cs="Arial"/>
          <w:sz w:val="24"/>
          <w:szCs w:val="24"/>
        </w:rPr>
        <w:t>. In Germany, w</w:t>
      </w:r>
      <w:r w:rsidR="001521BF">
        <w:rPr>
          <w:rFonts w:ascii="Arial" w:hAnsi="Arial" w:cs="Arial"/>
          <w:sz w:val="24"/>
          <w:szCs w:val="24"/>
        </w:rPr>
        <w:t>e</w:t>
      </w:r>
      <w:r w:rsidR="004565CF" w:rsidRPr="00B25B51">
        <w:rPr>
          <w:rFonts w:ascii="Arial" w:hAnsi="Arial" w:cs="Arial"/>
          <w:sz w:val="24"/>
          <w:szCs w:val="24"/>
        </w:rPr>
        <w:t xml:space="preserve"> remain on track to open a further </w:t>
      </w:r>
      <w:r w:rsidR="001521BF">
        <w:rPr>
          <w:rFonts w:ascii="Arial" w:hAnsi="Arial" w:cs="Arial"/>
          <w:sz w:val="24"/>
          <w:szCs w:val="24"/>
        </w:rPr>
        <w:t>five</w:t>
      </w:r>
      <w:r w:rsidR="004565CF" w:rsidRPr="00B25B51">
        <w:rPr>
          <w:rFonts w:ascii="Arial" w:hAnsi="Arial" w:cs="Arial"/>
          <w:sz w:val="24"/>
          <w:szCs w:val="24"/>
        </w:rPr>
        <w:t xml:space="preserve"> </w:t>
      </w:r>
      <w:r w:rsidR="00984A0A">
        <w:rPr>
          <w:rFonts w:ascii="Arial" w:hAnsi="Arial" w:cs="Arial"/>
          <w:sz w:val="24"/>
          <w:szCs w:val="24"/>
        </w:rPr>
        <w:t>outlet</w:t>
      </w:r>
      <w:r w:rsidR="007902C8">
        <w:rPr>
          <w:rFonts w:ascii="Arial" w:hAnsi="Arial" w:cs="Arial"/>
          <w:sz w:val="24"/>
          <w:szCs w:val="24"/>
        </w:rPr>
        <w:t>s</w:t>
      </w:r>
      <w:r w:rsidR="004565CF" w:rsidRPr="00B25B51">
        <w:rPr>
          <w:rFonts w:ascii="Arial" w:hAnsi="Arial" w:cs="Arial"/>
          <w:sz w:val="24"/>
          <w:szCs w:val="24"/>
        </w:rPr>
        <w:t xml:space="preserve"> during FY 2015/16 within the Frankfurt area. Sales and brand awareness </w:t>
      </w:r>
      <w:r w:rsidR="00B25B51">
        <w:rPr>
          <w:rFonts w:ascii="Arial" w:hAnsi="Arial" w:cs="Arial"/>
          <w:sz w:val="24"/>
          <w:szCs w:val="24"/>
        </w:rPr>
        <w:t>continue to</w:t>
      </w:r>
      <w:r w:rsidR="004565CF" w:rsidRPr="00B25B51">
        <w:rPr>
          <w:rFonts w:ascii="Arial" w:hAnsi="Arial" w:cs="Arial"/>
          <w:sz w:val="24"/>
          <w:szCs w:val="24"/>
        </w:rPr>
        <w:t> build with a</w:t>
      </w:r>
      <w:r w:rsidR="00B25B51">
        <w:rPr>
          <w:rFonts w:ascii="Arial" w:hAnsi="Arial" w:cs="Arial"/>
          <w:sz w:val="24"/>
          <w:szCs w:val="24"/>
        </w:rPr>
        <w:t xml:space="preserve"> growing </w:t>
      </w:r>
      <w:r w:rsidR="004565CF" w:rsidRPr="00B25B51">
        <w:rPr>
          <w:rFonts w:ascii="Arial" w:hAnsi="Arial" w:cs="Arial"/>
          <w:sz w:val="24"/>
          <w:szCs w:val="24"/>
        </w:rPr>
        <w:t>number of repeat customers</w:t>
      </w:r>
      <w:r w:rsidR="00B25B51">
        <w:rPr>
          <w:rFonts w:ascii="Arial" w:hAnsi="Arial" w:cs="Arial"/>
          <w:sz w:val="24"/>
          <w:szCs w:val="24"/>
        </w:rPr>
        <w:t xml:space="preserve"> both in store and online. </w:t>
      </w:r>
    </w:p>
    <w:p w14:paraId="779638B7" w14:textId="77777777" w:rsidR="007E7642" w:rsidRDefault="007E7642">
      <w:pPr>
        <w:jc w:val="left"/>
        <w:rPr>
          <w:rFonts w:ascii="Arial" w:hAnsi="Arial" w:cs="Arial"/>
          <w:sz w:val="24"/>
          <w:szCs w:val="24"/>
        </w:rPr>
      </w:pPr>
      <w:r>
        <w:rPr>
          <w:rFonts w:ascii="Arial" w:hAnsi="Arial" w:cs="Arial"/>
          <w:sz w:val="24"/>
          <w:szCs w:val="24"/>
        </w:rPr>
        <w:br w:type="page"/>
      </w:r>
    </w:p>
    <w:p w14:paraId="3401F065" w14:textId="55279A57" w:rsidR="0030578B" w:rsidRDefault="0030578B" w:rsidP="0030578B">
      <w:pPr>
        <w:jc w:val="left"/>
        <w:rPr>
          <w:rFonts w:ascii="Arial" w:hAnsi="Arial" w:cs="Arial"/>
          <w:b/>
          <w:bCs/>
          <w:sz w:val="24"/>
          <w:szCs w:val="24"/>
        </w:rPr>
      </w:pPr>
      <w:r w:rsidRPr="000971B9">
        <w:rPr>
          <w:rFonts w:ascii="Arial" w:hAnsi="Arial" w:cs="Arial"/>
          <w:b/>
          <w:bCs/>
          <w:sz w:val="24"/>
          <w:szCs w:val="24"/>
        </w:rPr>
        <w:lastRenderedPageBreak/>
        <w:t xml:space="preserve">Section </w:t>
      </w:r>
      <w:r>
        <w:rPr>
          <w:rFonts w:ascii="Arial" w:hAnsi="Arial" w:cs="Arial"/>
          <w:b/>
          <w:bCs/>
          <w:sz w:val="24"/>
          <w:szCs w:val="24"/>
        </w:rPr>
        <w:t>3</w:t>
      </w:r>
      <w:r w:rsidRPr="00926779">
        <w:rPr>
          <w:rFonts w:ascii="Arial" w:hAnsi="Arial" w:cs="Arial"/>
          <w:b/>
          <w:bCs/>
          <w:sz w:val="24"/>
          <w:szCs w:val="24"/>
        </w:rPr>
        <w:t xml:space="preserve">: </w:t>
      </w:r>
      <w:r w:rsidR="00322474">
        <w:rPr>
          <w:rFonts w:ascii="Arial" w:hAnsi="Arial" w:cs="Arial"/>
          <w:b/>
          <w:bCs/>
          <w:sz w:val="24"/>
          <w:szCs w:val="24"/>
        </w:rPr>
        <w:t xml:space="preserve">FY </w:t>
      </w:r>
      <w:r w:rsidRPr="00926779">
        <w:rPr>
          <w:rFonts w:ascii="Arial" w:hAnsi="Arial" w:cs="Arial"/>
          <w:b/>
          <w:bCs/>
          <w:sz w:val="24"/>
          <w:szCs w:val="24"/>
        </w:rPr>
        <w:t xml:space="preserve">2015/16 </w:t>
      </w:r>
      <w:r>
        <w:rPr>
          <w:rFonts w:ascii="Arial" w:hAnsi="Arial" w:cs="Arial"/>
          <w:b/>
          <w:bCs/>
          <w:sz w:val="24"/>
          <w:szCs w:val="24"/>
        </w:rPr>
        <w:t>T</w:t>
      </w:r>
      <w:r w:rsidR="00DD4F01">
        <w:rPr>
          <w:rFonts w:ascii="Arial" w:hAnsi="Arial" w:cs="Arial"/>
          <w:b/>
          <w:bCs/>
          <w:sz w:val="24"/>
          <w:szCs w:val="24"/>
        </w:rPr>
        <w:t xml:space="preserve">echnical guidance </w:t>
      </w:r>
    </w:p>
    <w:p w14:paraId="49702A35" w14:textId="77777777" w:rsidR="0030578B" w:rsidRDefault="0030578B" w:rsidP="0030578B">
      <w:pPr>
        <w:jc w:val="left"/>
        <w:rPr>
          <w:rFonts w:ascii="Arial" w:hAnsi="Arial" w:cs="Arial"/>
          <w:b/>
          <w:bCs/>
          <w:sz w:val="24"/>
          <w:szCs w:val="24"/>
        </w:rPr>
      </w:pPr>
    </w:p>
    <w:p w14:paraId="6F101316" w14:textId="77777777" w:rsidR="0030578B" w:rsidRDefault="0030578B" w:rsidP="0030578B">
      <w:pPr>
        <w:pStyle w:val="ListParagraph"/>
        <w:numPr>
          <w:ilvl w:val="0"/>
          <w:numId w:val="4"/>
        </w:numPr>
        <w:jc w:val="left"/>
        <w:rPr>
          <w:rFonts w:ascii="Arial" w:hAnsi="Arial" w:cs="Arial"/>
          <w:bCs/>
          <w:sz w:val="24"/>
          <w:szCs w:val="24"/>
        </w:rPr>
      </w:pPr>
      <w:r>
        <w:rPr>
          <w:rFonts w:ascii="Arial" w:hAnsi="Arial" w:cs="Arial"/>
          <w:bCs/>
          <w:sz w:val="24"/>
          <w:szCs w:val="24"/>
        </w:rPr>
        <w:t>Net new stores and space growth:</w:t>
      </w:r>
    </w:p>
    <w:p w14:paraId="56B9190B" w14:textId="77777777" w:rsidR="0030578B" w:rsidRPr="00657B3E" w:rsidRDefault="0030578B" w:rsidP="0030578B">
      <w:pPr>
        <w:pStyle w:val="ListParagraph"/>
        <w:jc w:val="left"/>
        <w:rPr>
          <w:rFonts w:ascii="Arial" w:hAnsi="Arial" w:cs="Arial"/>
          <w:bCs/>
          <w:sz w:val="24"/>
          <w:szCs w:val="24"/>
        </w:rPr>
      </w:pPr>
    </w:p>
    <w:tbl>
      <w:tblPr>
        <w:tblW w:w="4778" w:type="pct"/>
        <w:tblInd w:w="2" w:type="dxa"/>
        <w:tblLayout w:type="fixed"/>
        <w:tblLook w:val="01E0" w:firstRow="1" w:lastRow="1" w:firstColumn="1" w:lastColumn="1" w:noHBand="0" w:noVBand="0"/>
      </w:tblPr>
      <w:tblGrid>
        <w:gridCol w:w="2124"/>
        <w:gridCol w:w="1561"/>
        <w:gridCol w:w="1275"/>
        <w:gridCol w:w="1275"/>
        <w:gridCol w:w="1419"/>
        <w:gridCol w:w="1559"/>
      </w:tblGrid>
      <w:tr w:rsidR="0030578B" w:rsidRPr="0030578B" w14:paraId="12F8E3ED" w14:textId="77777777" w:rsidTr="005C6D58">
        <w:trPr>
          <w:trHeight w:val="739"/>
        </w:trPr>
        <w:tc>
          <w:tcPr>
            <w:tcW w:w="1153" w:type="pct"/>
          </w:tcPr>
          <w:p w14:paraId="1602A420" w14:textId="77777777" w:rsidR="0030578B" w:rsidRDefault="0030578B" w:rsidP="0030578B">
            <w:pPr>
              <w:ind w:left="110" w:hanging="110"/>
              <w:jc w:val="left"/>
              <w:rPr>
                <w:rFonts w:ascii="Arial" w:hAnsi="Arial" w:cs="Arial"/>
              </w:rPr>
            </w:pPr>
          </w:p>
          <w:p w14:paraId="7E5F0D07" w14:textId="77777777" w:rsidR="0030578B" w:rsidRDefault="0030578B" w:rsidP="0030578B">
            <w:pPr>
              <w:ind w:left="110" w:hanging="110"/>
              <w:jc w:val="left"/>
              <w:rPr>
                <w:rFonts w:ascii="Arial" w:hAnsi="Arial" w:cs="Arial"/>
              </w:rPr>
            </w:pPr>
          </w:p>
          <w:p w14:paraId="1F83C898" w14:textId="77777777" w:rsidR="0030578B" w:rsidRPr="000971B9" w:rsidRDefault="0030578B" w:rsidP="0030578B">
            <w:pPr>
              <w:jc w:val="left"/>
              <w:rPr>
                <w:rFonts w:ascii="Arial" w:hAnsi="Arial" w:cs="Arial"/>
                <w:b/>
                <w:bCs/>
              </w:rPr>
            </w:pPr>
          </w:p>
        </w:tc>
        <w:tc>
          <w:tcPr>
            <w:tcW w:w="847" w:type="pct"/>
          </w:tcPr>
          <w:p w14:paraId="1DB33D39" w14:textId="77777777" w:rsidR="0030578B" w:rsidRPr="00B46354" w:rsidRDefault="0030578B" w:rsidP="0030578B">
            <w:pPr>
              <w:ind w:left="110" w:hanging="110"/>
              <w:jc w:val="right"/>
              <w:rPr>
                <w:rFonts w:ascii="Arial" w:hAnsi="Arial" w:cs="Arial"/>
                <w:b/>
                <w:bCs/>
              </w:rPr>
            </w:pPr>
            <w:r w:rsidRPr="00B46354">
              <w:rPr>
                <w:rFonts w:ascii="Arial" w:hAnsi="Arial" w:cs="Arial"/>
                <w:b/>
                <w:bCs/>
              </w:rPr>
              <w:t>Employees</w:t>
            </w:r>
          </w:p>
          <w:p w14:paraId="3C8660CB" w14:textId="77777777" w:rsidR="00D234AA" w:rsidRDefault="0030578B" w:rsidP="0030578B">
            <w:pPr>
              <w:ind w:left="110" w:hanging="110"/>
              <w:jc w:val="right"/>
              <w:rPr>
                <w:rFonts w:ascii="Arial" w:hAnsi="Arial" w:cs="Arial"/>
                <w:b/>
                <w:bCs/>
              </w:rPr>
            </w:pPr>
            <w:r w:rsidRPr="00B46354">
              <w:rPr>
                <w:rFonts w:ascii="Arial" w:hAnsi="Arial" w:cs="Arial"/>
                <w:b/>
                <w:bCs/>
              </w:rPr>
              <w:t>(FTE)</w:t>
            </w:r>
            <w:r w:rsidR="00D234AA">
              <w:rPr>
                <w:rFonts w:ascii="Arial" w:hAnsi="Arial" w:cs="Arial"/>
                <w:b/>
                <w:bCs/>
              </w:rPr>
              <w:t xml:space="preserve"> </w:t>
            </w:r>
          </w:p>
          <w:p w14:paraId="104750FA" w14:textId="77777777" w:rsidR="00D234AA" w:rsidRDefault="00D234AA" w:rsidP="0030578B">
            <w:pPr>
              <w:ind w:left="110" w:hanging="110"/>
              <w:jc w:val="right"/>
              <w:rPr>
                <w:rFonts w:ascii="Arial" w:hAnsi="Arial" w:cs="Arial"/>
                <w:b/>
                <w:bCs/>
              </w:rPr>
            </w:pPr>
          </w:p>
          <w:p w14:paraId="00406A8F" w14:textId="0A3C2FA1" w:rsidR="0030578B" w:rsidRPr="00B46354" w:rsidRDefault="00D234AA" w:rsidP="0030578B">
            <w:pPr>
              <w:ind w:left="110" w:hanging="110"/>
              <w:jc w:val="right"/>
              <w:rPr>
                <w:rFonts w:ascii="Arial" w:hAnsi="Arial" w:cs="Arial"/>
                <w:b/>
                <w:bCs/>
              </w:rPr>
            </w:pPr>
            <w:r>
              <w:rPr>
                <w:rFonts w:ascii="Arial" w:hAnsi="Arial" w:cs="Arial"/>
                <w:b/>
                <w:bCs/>
              </w:rPr>
              <w:t>At 1 Aug 2015</w:t>
            </w:r>
          </w:p>
        </w:tc>
        <w:tc>
          <w:tcPr>
            <w:tcW w:w="692" w:type="pct"/>
          </w:tcPr>
          <w:p w14:paraId="4244A1ED" w14:textId="77777777" w:rsidR="0030578B" w:rsidRPr="00B46354" w:rsidRDefault="0030578B" w:rsidP="0030578B">
            <w:pPr>
              <w:ind w:left="110" w:hanging="110"/>
              <w:jc w:val="right"/>
              <w:rPr>
                <w:rFonts w:ascii="Arial" w:hAnsi="Arial" w:cs="Arial"/>
                <w:b/>
                <w:bCs/>
              </w:rPr>
            </w:pPr>
            <w:r w:rsidRPr="00B46354">
              <w:rPr>
                <w:rFonts w:ascii="Arial" w:hAnsi="Arial" w:cs="Arial"/>
                <w:b/>
                <w:bCs/>
              </w:rPr>
              <w:t xml:space="preserve">Store </w:t>
            </w:r>
          </w:p>
          <w:p w14:paraId="11209385" w14:textId="77777777" w:rsidR="00D234AA" w:rsidRDefault="0030578B" w:rsidP="0030578B">
            <w:pPr>
              <w:ind w:left="110" w:hanging="110"/>
              <w:jc w:val="right"/>
              <w:rPr>
                <w:rFonts w:ascii="Arial" w:hAnsi="Arial" w:cs="Arial"/>
                <w:b/>
                <w:bCs/>
              </w:rPr>
            </w:pPr>
            <w:r w:rsidRPr="00B46354">
              <w:rPr>
                <w:rFonts w:ascii="Arial" w:hAnsi="Arial" w:cs="Arial"/>
                <w:b/>
                <w:bCs/>
              </w:rPr>
              <w:t>Numbers</w:t>
            </w:r>
            <w:r w:rsidR="00D234AA">
              <w:rPr>
                <w:rFonts w:ascii="Arial" w:hAnsi="Arial" w:cs="Arial"/>
                <w:b/>
                <w:bCs/>
              </w:rPr>
              <w:t xml:space="preserve"> </w:t>
            </w:r>
          </w:p>
          <w:p w14:paraId="78347A5E" w14:textId="77777777" w:rsidR="00D234AA" w:rsidRDefault="00D234AA" w:rsidP="0030578B">
            <w:pPr>
              <w:ind w:left="110" w:hanging="110"/>
              <w:jc w:val="right"/>
              <w:rPr>
                <w:rFonts w:ascii="Arial" w:hAnsi="Arial" w:cs="Arial"/>
                <w:b/>
                <w:bCs/>
              </w:rPr>
            </w:pPr>
          </w:p>
          <w:p w14:paraId="5E04E0DB" w14:textId="29C7FCA8" w:rsidR="0030578B" w:rsidRPr="00B46354" w:rsidRDefault="00D234AA" w:rsidP="0030578B">
            <w:pPr>
              <w:ind w:left="110" w:hanging="110"/>
              <w:jc w:val="right"/>
              <w:rPr>
                <w:rFonts w:ascii="Arial" w:hAnsi="Arial" w:cs="Arial"/>
                <w:b/>
                <w:bCs/>
              </w:rPr>
            </w:pPr>
            <w:r>
              <w:rPr>
                <w:rFonts w:ascii="Arial" w:hAnsi="Arial" w:cs="Arial"/>
                <w:b/>
                <w:bCs/>
              </w:rPr>
              <w:t>At 1 Aug 2015</w:t>
            </w:r>
          </w:p>
        </w:tc>
        <w:tc>
          <w:tcPr>
            <w:tcW w:w="692" w:type="pct"/>
          </w:tcPr>
          <w:p w14:paraId="7C331F07" w14:textId="68912A3A" w:rsidR="0030578B" w:rsidRPr="00926779" w:rsidRDefault="0030578B" w:rsidP="0030578B">
            <w:pPr>
              <w:ind w:left="110" w:hanging="110"/>
              <w:jc w:val="right"/>
              <w:rPr>
                <w:rFonts w:ascii="Arial" w:hAnsi="Arial" w:cs="Arial"/>
                <w:b/>
                <w:bCs/>
              </w:rPr>
            </w:pPr>
            <w:r w:rsidRPr="00926779">
              <w:rPr>
                <w:rFonts w:ascii="Arial" w:hAnsi="Arial" w:cs="Arial"/>
                <w:b/>
                <w:bCs/>
              </w:rPr>
              <w:t>S</w:t>
            </w:r>
            <w:r w:rsidR="00376C53" w:rsidRPr="00926779">
              <w:rPr>
                <w:rFonts w:ascii="Arial" w:hAnsi="Arial" w:cs="Arial"/>
                <w:b/>
                <w:bCs/>
              </w:rPr>
              <w:t>ales</w:t>
            </w:r>
            <w:r w:rsidRPr="00926779">
              <w:rPr>
                <w:rFonts w:ascii="Arial" w:hAnsi="Arial" w:cs="Arial"/>
                <w:b/>
                <w:bCs/>
              </w:rPr>
              <w:t xml:space="preserve"> </w:t>
            </w:r>
            <w:r w:rsidR="00376C53" w:rsidRPr="00926779">
              <w:rPr>
                <w:rFonts w:ascii="Arial" w:hAnsi="Arial" w:cs="Arial"/>
                <w:b/>
                <w:bCs/>
              </w:rPr>
              <w:t>area</w:t>
            </w:r>
            <w:r w:rsidR="003A5261" w:rsidRPr="00926779">
              <w:rPr>
                <w:rFonts w:ascii="Arial" w:hAnsi="Arial" w:cs="Arial"/>
                <w:bCs/>
                <w:vertAlign w:val="superscript"/>
              </w:rPr>
              <w:t>(1)</w:t>
            </w:r>
          </w:p>
          <w:p w14:paraId="503A37D8" w14:textId="78933AFE" w:rsidR="0030578B" w:rsidRPr="0030578B" w:rsidRDefault="0030578B" w:rsidP="0030578B">
            <w:pPr>
              <w:ind w:left="110" w:hanging="110"/>
              <w:jc w:val="right"/>
              <w:rPr>
                <w:rFonts w:ascii="Arial" w:hAnsi="Arial" w:cs="Arial"/>
                <w:b/>
                <w:bCs/>
                <w:highlight w:val="yellow"/>
              </w:rPr>
            </w:pPr>
            <w:r w:rsidRPr="00926779">
              <w:rPr>
                <w:rFonts w:ascii="Arial" w:hAnsi="Arial" w:cs="Arial"/>
                <w:b/>
                <w:bCs/>
              </w:rPr>
              <w:t>(000s m</w:t>
            </w:r>
            <w:r w:rsidRPr="00926779">
              <w:rPr>
                <w:rFonts w:ascii="Arial" w:hAnsi="Arial" w:cs="Arial"/>
                <w:b/>
                <w:bCs/>
                <w:vertAlign w:val="superscript"/>
              </w:rPr>
              <w:t>2</w:t>
            </w:r>
            <w:r w:rsidRPr="00926779">
              <w:rPr>
                <w:rFonts w:ascii="Arial" w:hAnsi="Arial" w:cs="Arial"/>
                <w:b/>
                <w:bCs/>
              </w:rPr>
              <w:t>)</w:t>
            </w:r>
            <w:r w:rsidR="00D234AA" w:rsidRPr="00926779">
              <w:rPr>
                <w:rFonts w:ascii="Arial" w:hAnsi="Arial" w:cs="Arial"/>
                <w:b/>
                <w:bCs/>
              </w:rPr>
              <w:t xml:space="preserve"> At 1 Aug 2015</w:t>
            </w:r>
          </w:p>
        </w:tc>
        <w:tc>
          <w:tcPr>
            <w:tcW w:w="770" w:type="pct"/>
          </w:tcPr>
          <w:p w14:paraId="269CEF69" w14:textId="77777777" w:rsidR="00D234AA" w:rsidRPr="00926779" w:rsidRDefault="0030578B" w:rsidP="0030578B">
            <w:pPr>
              <w:ind w:left="110" w:hanging="110"/>
              <w:jc w:val="right"/>
              <w:rPr>
                <w:rFonts w:ascii="Arial" w:hAnsi="Arial" w:cs="Arial"/>
                <w:b/>
                <w:bCs/>
              </w:rPr>
            </w:pPr>
            <w:r w:rsidRPr="00926779">
              <w:rPr>
                <w:rFonts w:ascii="Arial" w:hAnsi="Arial" w:cs="Arial"/>
                <w:b/>
                <w:bCs/>
              </w:rPr>
              <w:t>Net new stores</w:t>
            </w:r>
            <w:r w:rsidR="00D234AA" w:rsidRPr="00926779">
              <w:rPr>
                <w:rFonts w:ascii="Arial" w:hAnsi="Arial" w:cs="Arial"/>
                <w:b/>
                <w:bCs/>
              </w:rPr>
              <w:t xml:space="preserve"> </w:t>
            </w:r>
          </w:p>
          <w:p w14:paraId="1AFA3ECB" w14:textId="77777777" w:rsidR="00D234AA" w:rsidRPr="00926779" w:rsidRDefault="00D234AA" w:rsidP="0030578B">
            <w:pPr>
              <w:ind w:left="110" w:hanging="110"/>
              <w:jc w:val="right"/>
              <w:rPr>
                <w:rFonts w:ascii="Arial" w:hAnsi="Arial" w:cs="Arial"/>
                <w:b/>
                <w:bCs/>
              </w:rPr>
            </w:pPr>
          </w:p>
          <w:p w14:paraId="647D2D50" w14:textId="6D994C6F" w:rsidR="0030578B" w:rsidRPr="00926779" w:rsidRDefault="00D234AA" w:rsidP="0030578B">
            <w:pPr>
              <w:ind w:left="110" w:hanging="110"/>
              <w:jc w:val="right"/>
              <w:rPr>
                <w:rFonts w:ascii="Arial" w:hAnsi="Arial" w:cs="Arial"/>
                <w:b/>
                <w:bCs/>
              </w:rPr>
            </w:pPr>
            <w:r w:rsidRPr="00926779">
              <w:rPr>
                <w:rFonts w:ascii="Arial" w:hAnsi="Arial" w:cs="Arial"/>
                <w:b/>
                <w:bCs/>
              </w:rPr>
              <w:t>FY 2015/16</w:t>
            </w:r>
          </w:p>
        </w:tc>
        <w:tc>
          <w:tcPr>
            <w:tcW w:w="846" w:type="pct"/>
          </w:tcPr>
          <w:p w14:paraId="314039B8" w14:textId="77777777" w:rsidR="0030578B" w:rsidRPr="00926779" w:rsidRDefault="0030578B" w:rsidP="00926779">
            <w:pPr>
              <w:ind w:left="110" w:hanging="110"/>
              <w:jc w:val="right"/>
              <w:rPr>
                <w:rFonts w:ascii="Arial" w:hAnsi="Arial" w:cs="Arial"/>
                <w:b/>
                <w:bCs/>
              </w:rPr>
            </w:pPr>
            <w:r w:rsidRPr="00926779">
              <w:rPr>
                <w:rFonts w:ascii="Arial" w:hAnsi="Arial" w:cs="Arial"/>
                <w:b/>
                <w:bCs/>
              </w:rPr>
              <w:t>Space</w:t>
            </w:r>
          </w:p>
          <w:p w14:paraId="0096A13C" w14:textId="77777777" w:rsidR="00D234AA" w:rsidRPr="00926779" w:rsidRDefault="0030578B" w:rsidP="00926779">
            <w:pPr>
              <w:ind w:left="110" w:hanging="110"/>
              <w:jc w:val="right"/>
              <w:rPr>
                <w:rFonts w:ascii="Arial" w:hAnsi="Arial" w:cs="Arial"/>
                <w:b/>
                <w:bCs/>
              </w:rPr>
            </w:pPr>
            <w:r w:rsidRPr="00926779">
              <w:rPr>
                <w:rFonts w:ascii="Arial" w:hAnsi="Arial" w:cs="Arial"/>
                <w:b/>
                <w:bCs/>
              </w:rPr>
              <w:t>% change</w:t>
            </w:r>
            <w:r w:rsidR="00D234AA" w:rsidRPr="00926779">
              <w:rPr>
                <w:rFonts w:ascii="Arial" w:hAnsi="Arial" w:cs="Arial"/>
                <w:b/>
                <w:bCs/>
              </w:rPr>
              <w:t xml:space="preserve"> </w:t>
            </w:r>
          </w:p>
          <w:p w14:paraId="75151CF4" w14:textId="77777777" w:rsidR="00D234AA" w:rsidRPr="00926779" w:rsidRDefault="00D234AA" w:rsidP="0030578B">
            <w:pPr>
              <w:ind w:left="110" w:hanging="110"/>
              <w:jc w:val="center"/>
              <w:rPr>
                <w:rFonts w:ascii="Arial" w:hAnsi="Arial" w:cs="Arial"/>
                <w:b/>
                <w:bCs/>
              </w:rPr>
            </w:pPr>
          </w:p>
          <w:p w14:paraId="07F311A7" w14:textId="2DB432FF" w:rsidR="0030578B" w:rsidRPr="00926779" w:rsidRDefault="00D234AA" w:rsidP="00926779">
            <w:pPr>
              <w:ind w:left="110" w:hanging="110"/>
              <w:jc w:val="right"/>
              <w:rPr>
                <w:rFonts w:ascii="Arial" w:hAnsi="Arial" w:cs="Arial"/>
                <w:b/>
                <w:bCs/>
              </w:rPr>
            </w:pPr>
            <w:r w:rsidRPr="00926779">
              <w:rPr>
                <w:rFonts w:ascii="Arial" w:hAnsi="Arial" w:cs="Arial"/>
                <w:b/>
                <w:bCs/>
              </w:rPr>
              <w:t>FY 2015/16</w:t>
            </w:r>
          </w:p>
        </w:tc>
      </w:tr>
      <w:tr w:rsidR="005C6D58" w:rsidRPr="0030578B" w14:paraId="272690BE" w14:textId="77777777" w:rsidTr="00E21AA0">
        <w:tc>
          <w:tcPr>
            <w:tcW w:w="1153" w:type="pct"/>
            <w:tcBorders>
              <w:top w:val="single" w:sz="4" w:space="0" w:color="auto"/>
            </w:tcBorders>
          </w:tcPr>
          <w:p w14:paraId="2E4504A0" w14:textId="77777777" w:rsidR="005C6D58" w:rsidRPr="00B46354" w:rsidRDefault="005C6D58" w:rsidP="005C6D58">
            <w:pPr>
              <w:ind w:left="110" w:hanging="110"/>
              <w:jc w:val="left"/>
              <w:rPr>
                <w:rFonts w:ascii="Arial" w:hAnsi="Arial" w:cs="Arial"/>
              </w:rPr>
            </w:pPr>
            <w:proofErr w:type="spellStart"/>
            <w:r w:rsidRPr="00B46354">
              <w:rPr>
                <w:rFonts w:ascii="Arial" w:hAnsi="Arial" w:cs="Arial"/>
              </w:rPr>
              <w:t>Castorama</w:t>
            </w:r>
            <w:proofErr w:type="spellEnd"/>
            <w:r w:rsidRPr="00B46354" w:rsidDel="00CC3AB5">
              <w:rPr>
                <w:rFonts w:ascii="Arial" w:hAnsi="Arial" w:cs="Arial"/>
              </w:rPr>
              <w:t xml:space="preserve"> </w:t>
            </w:r>
          </w:p>
        </w:tc>
        <w:tc>
          <w:tcPr>
            <w:tcW w:w="847" w:type="pct"/>
            <w:tcBorders>
              <w:top w:val="single" w:sz="4" w:space="0" w:color="auto"/>
            </w:tcBorders>
          </w:tcPr>
          <w:p w14:paraId="28CF317D" w14:textId="196AA09B" w:rsidR="005C6D58" w:rsidRPr="00B46354" w:rsidRDefault="005C6D58" w:rsidP="005C6D58">
            <w:pPr>
              <w:ind w:left="110" w:hanging="110"/>
              <w:jc w:val="right"/>
              <w:rPr>
                <w:rFonts w:ascii="Arial" w:hAnsi="Arial" w:cs="Arial"/>
              </w:rPr>
            </w:pPr>
            <w:r w:rsidRPr="00B46354">
              <w:rPr>
                <w:rFonts w:ascii="Arial" w:hAnsi="Arial" w:cs="Arial"/>
              </w:rPr>
              <w:t>12,695</w:t>
            </w:r>
          </w:p>
        </w:tc>
        <w:tc>
          <w:tcPr>
            <w:tcW w:w="692" w:type="pct"/>
            <w:tcBorders>
              <w:top w:val="single" w:sz="4" w:space="0" w:color="auto"/>
            </w:tcBorders>
          </w:tcPr>
          <w:p w14:paraId="2FAA4734" w14:textId="622F53FA" w:rsidR="005C6D58" w:rsidRPr="00B46354" w:rsidRDefault="005C6D58" w:rsidP="005C6D58">
            <w:pPr>
              <w:ind w:left="110" w:hanging="110"/>
              <w:jc w:val="right"/>
              <w:rPr>
                <w:rFonts w:ascii="Arial" w:hAnsi="Arial" w:cs="Arial"/>
              </w:rPr>
            </w:pPr>
            <w:r w:rsidRPr="00B46354">
              <w:rPr>
                <w:rFonts w:ascii="Arial" w:hAnsi="Arial" w:cs="Arial"/>
              </w:rPr>
              <w:t>102</w:t>
            </w:r>
          </w:p>
        </w:tc>
        <w:tc>
          <w:tcPr>
            <w:tcW w:w="692" w:type="pct"/>
            <w:tcBorders>
              <w:top w:val="single" w:sz="4" w:space="0" w:color="auto"/>
            </w:tcBorders>
            <w:shd w:val="clear" w:color="auto" w:fill="auto"/>
          </w:tcPr>
          <w:p w14:paraId="327A519C" w14:textId="3FFD5EC9" w:rsidR="005C6D58" w:rsidRPr="00926779" w:rsidRDefault="005C6D58" w:rsidP="005C6D58">
            <w:pPr>
              <w:ind w:left="110" w:hanging="110"/>
              <w:jc w:val="right"/>
              <w:rPr>
                <w:rFonts w:ascii="Arial" w:hAnsi="Arial" w:cs="Arial"/>
              </w:rPr>
            </w:pPr>
            <w:r w:rsidRPr="00926779">
              <w:rPr>
                <w:rFonts w:ascii="Arial" w:hAnsi="Arial" w:cs="Arial"/>
              </w:rPr>
              <w:t>1,237</w:t>
            </w:r>
          </w:p>
        </w:tc>
        <w:tc>
          <w:tcPr>
            <w:tcW w:w="770" w:type="pct"/>
            <w:tcBorders>
              <w:top w:val="single" w:sz="4" w:space="0" w:color="auto"/>
            </w:tcBorders>
          </w:tcPr>
          <w:p w14:paraId="19999E99" w14:textId="0E0BA604" w:rsidR="005C6D58" w:rsidRPr="006D4243" w:rsidRDefault="005C6D58" w:rsidP="005C6D58">
            <w:pPr>
              <w:ind w:left="110" w:hanging="110"/>
              <w:jc w:val="right"/>
              <w:rPr>
                <w:rFonts w:ascii="Arial" w:hAnsi="Arial" w:cs="Arial"/>
                <w:highlight w:val="yellow"/>
              </w:rPr>
            </w:pPr>
            <w:r w:rsidRPr="006D4243">
              <w:rPr>
                <w:rFonts w:ascii="Arial" w:hAnsi="Arial" w:cs="Arial"/>
              </w:rPr>
              <w:t>(1)</w:t>
            </w:r>
            <w:r w:rsidRPr="006D4243">
              <w:rPr>
                <w:rFonts w:ascii="Arial" w:hAnsi="Arial" w:cs="Arial"/>
                <w:bCs/>
                <w:vertAlign w:val="superscript"/>
              </w:rPr>
              <w:t>(2)</w:t>
            </w:r>
          </w:p>
        </w:tc>
        <w:tc>
          <w:tcPr>
            <w:tcW w:w="846" w:type="pct"/>
            <w:tcBorders>
              <w:top w:val="single" w:sz="4" w:space="0" w:color="auto"/>
            </w:tcBorders>
            <w:vAlign w:val="center"/>
          </w:tcPr>
          <w:p w14:paraId="35660DA7" w14:textId="34F3C119" w:rsidR="005C6D58" w:rsidRPr="006D4243" w:rsidRDefault="007B3341" w:rsidP="005C6D58">
            <w:pPr>
              <w:ind w:left="110" w:hanging="110"/>
              <w:jc w:val="right"/>
              <w:rPr>
                <w:rFonts w:ascii="Arial" w:hAnsi="Arial" w:cs="Arial"/>
                <w:highlight w:val="yellow"/>
              </w:rPr>
            </w:pPr>
            <w:r>
              <w:rPr>
                <w:rFonts w:ascii="Arial" w:hAnsi="Arial" w:cs="Arial"/>
              </w:rPr>
              <w:t>+</w:t>
            </w:r>
            <w:r w:rsidR="005C6D58" w:rsidRPr="00EF42EF">
              <w:rPr>
                <w:rFonts w:ascii="Arial" w:hAnsi="Arial" w:cs="Arial"/>
              </w:rPr>
              <w:t>0.2%</w:t>
            </w:r>
          </w:p>
        </w:tc>
      </w:tr>
      <w:tr w:rsidR="005C6D58" w:rsidRPr="0030578B" w14:paraId="3E4FDB11" w14:textId="77777777" w:rsidTr="00E21AA0">
        <w:tc>
          <w:tcPr>
            <w:tcW w:w="1153" w:type="pct"/>
            <w:tcBorders>
              <w:bottom w:val="single" w:sz="4" w:space="0" w:color="auto"/>
            </w:tcBorders>
          </w:tcPr>
          <w:p w14:paraId="0D8B9108" w14:textId="77777777" w:rsidR="005C6D58" w:rsidRPr="00B46354" w:rsidRDefault="005C6D58" w:rsidP="005C6D58">
            <w:pPr>
              <w:ind w:left="110" w:hanging="110"/>
              <w:jc w:val="left"/>
              <w:rPr>
                <w:rFonts w:ascii="Arial" w:hAnsi="Arial" w:cs="Arial"/>
              </w:rPr>
            </w:pPr>
            <w:proofErr w:type="spellStart"/>
            <w:r w:rsidRPr="00B46354">
              <w:rPr>
                <w:rFonts w:ascii="Arial" w:hAnsi="Arial" w:cs="Arial"/>
              </w:rPr>
              <w:t>Brico</w:t>
            </w:r>
            <w:proofErr w:type="spellEnd"/>
            <w:r w:rsidRPr="00B46354">
              <w:rPr>
                <w:rFonts w:ascii="Arial" w:hAnsi="Arial" w:cs="Arial"/>
              </w:rPr>
              <w:t xml:space="preserve"> </w:t>
            </w:r>
            <w:proofErr w:type="spellStart"/>
            <w:r w:rsidRPr="00B46354">
              <w:rPr>
                <w:rFonts w:ascii="Arial" w:hAnsi="Arial" w:cs="Arial"/>
              </w:rPr>
              <w:t>Dépôt</w:t>
            </w:r>
            <w:proofErr w:type="spellEnd"/>
          </w:p>
        </w:tc>
        <w:tc>
          <w:tcPr>
            <w:tcW w:w="847" w:type="pct"/>
            <w:tcBorders>
              <w:bottom w:val="single" w:sz="4" w:space="0" w:color="auto"/>
            </w:tcBorders>
          </w:tcPr>
          <w:p w14:paraId="3E47A8BD" w14:textId="18561B9C" w:rsidR="005C6D58" w:rsidRPr="00B46354" w:rsidRDefault="005C6D58" w:rsidP="00031E2E">
            <w:pPr>
              <w:ind w:left="110" w:hanging="110"/>
              <w:jc w:val="right"/>
              <w:rPr>
                <w:rFonts w:ascii="Arial" w:hAnsi="Arial" w:cs="Arial"/>
              </w:rPr>
            </w:pPr>
            <w:r w:rsidRPr="00B46354">
              <w:rPr>
                <w:rFonts w:ascii="Arial" w:hAnsi="Arial" w:cs="Arial"/>
              </w:rPr>
              <w:t>7,14</w:t>
            </w:r>
            <w:r w:rsidR="00031E2E">
              <w:rPr>
                <w:rFonts w:ascii="Arial" w:hAnsi="Arial" w:cs="Arial"/>
              </w:rPr>
              <w:t>3</w:t>
            </w:r>
          </w:p>
        </w:tc>
        <w:tc>
          <w:tcPr>
            <w:tcW w:w="692" w:type="pct"/>
            <w:tcBorders>
              <w:bottom w:val="single" w:sz="4" w:space="0" w:color="auto"/>
            </w:tcBorders>
          </w:tcPr>
          <w:p w14:paraId="5E21236A" w14:textId="4CB575C9" w:rsidR="005C6D58" w:rsidRPr="00B46354" w:rsidRDefault="005C6D58" w:rsidP="005C6D58">
            <w:pPr>
              <w:ind w:left="110" w:hanging="110"/>
              <w:jc w:val="right"/>
              <w:rPr>
                <w:rFonts w:ascii="Arial" w:hAnsi="Arial" w:cs="Arial"/>
              </w:rPr>
            </w:pPr>
            <w:r w:rsidRPr="00B46354">
              <w:rPr>
                <w:rFonts w:ascii="Arial" w:hAnsi="Arial" w:cs="Arial"/>
              </w:rPr>
              <w:t>116</w:t>
            </w:r>
          </w:p>
        </w:tc>
        <w:tc>
          <w:tcPr>
            <w:tcW w:w="692" w:type="pct"/>
            <w:tcBorders>
              <w:bottom w:val="single" w:sz="4" w:space="0" w:color="auto"/>
            </w:tcBorders>
            <w:shd w:val="clear" w:color="auto" w:fill="auto"/>
          </w:tcPr>
          <w:p w14:paraId="385881A9" w14:textId="762A10FE" w:rsidR="005C6D58" w:rsidRPr="00926779" w:rsidRDefault="005C6D58" w:rsidP="005C6D58">
            <w:pPr>
              <w:ind w:left="110" w:hanging="110"/>
              <w:jc w:val="right"/>
              <w:rPr>
                <w:rFonts w:ascii="Arial" w:hAnsi="Arial" w:cs="Arial"/>
              </w:rPr>
            </w:pPr>
            <w:r w:rsidRPr="00926779">
              <w:rPr>
                <w:rFonts w:ascii="Arial" w:hAnsi="Arial" w:cs="Arial"/>
              </w:rPr>
              <w:t>810</w:t>
            </w:r>
          </w:p>
        </w:tc>
        <w:tc>
          <w:tcPr>
            <w:tcW w:w="770" w:type="pct"/>
            <w:tcBorders>
              <w:bottom w:val="single" w:sz="4" w:space="0" w:color="auto"/>
            </w:tcBorders>
          </w:tcPr>
          <w:p w14:paraId="3672F64E" w14:textId="66648713" w:rsidR="005C6D58" w:rsidRPr="006D4243" w:rsidRDefault="005C6D58" w:rsidP="005C6D58">
            <w:pPr>
              <w:ind w:left="110" w:hanging="110"/>
              <w:jc w:val="right"/>
              <w:rPr>
                <w:rFonts w:ascii="Arial" w:hAnsi="Arial" w:cs="Arial"/>
                <w:highlight w:val="yellow"/>
              </w:rPr>
            </w:pPr>
            <w:r w:rsidRPr="00EF42EF">
              <w:rPr>
                <w:rFonts w:ascii="Arial" w:hAnsi="Arial" w:cs="Arial"/>
              </w:rPr>
              <w:t>4</w:t>
            </w:r>
          </w:p>
        </w:tc>
        <w:tc>
          <w:tcPr>
            <w:tcW w:w="846" w:type="pct"/>
            <w:tcBorders>
              <w:bottom w:val="single" w:sz="4" w:space="0" w:color="auto"/>
            </w:tcBorders>
            <w:vAlign w:val="center"/>
          </w:tcPr>
          <w:p w14:paraId="735FD3DE" w14:textId="0643B028" w:rsidR="005C6D58" w:rsidRPr="006D4243" w:rsidRDefault="007B3341" w:rsidP="005C6D58">
            <w:pPr>
              <w:ind w:left="110" w:hanging="110"/>
              <w:jc w:val="right"/>
              <w:rPr>
                <w:rFonts w:ascii="Arial" w:hAnsi="Arial" w:cs="Arial"/>
                <w:highlight w:val="yellow"/>
              </w:rPr>
            </w:pPr>
            <w:r>
              <w:rPr>
                <w:rFonts w:ascii="Arial" w:hAnsi="Arial" w:cs="Arial"/>
              </w:rPr>
              <w:t>+</w:t>
            </w:r>
            <w:r w:rsidR="005C6D58" w:rsidRPr="00EF42EF">
              <w:rPr>
                <w:rFonts w:ascii="Arial" w:hAnsi="Arial" w:cs="Arial"/>
              </w:rPr>
              <w:t>2.9%</w:t>
            </w:r>
          </w:p>
        </w:tc>
      </w:tr>
      <w:tr w:rsidR="005C6D58" w:rsidRPr="0030578B" w14:paraId="47F08DDF" w14:textId="77777777" w:rsidTr="00E21AA0">
        <w:tc>
          <w:tcPr>
            <w:tcW w:w="1153" w:type="pct"/>
            <w:tcBorders>
              <w:top w:val="single" w:sz="4" w:space="0" w:color="auto"/>
            </w:tcBorders>
          </w:tcPr>
          <w:p w14:paraId="1893F8EA" w14:textId="77777777" w:rsidR="005C6D58" w:rsidRPr="00B46354" w:rsidRDefault="005C6D58" w:rsidP="005C6D58">
            <w:pPr>
              <w:ind w:left="110" w:hanging="110"/>
              <w:jc w:val="left"/>
              <w:rPr>
                <w:rFonts w:ascii="Arial" w:hAnsi="Arial" w:cs="Arial"/>
                <w:b/>
                <w:bCs/>
              </w:rPr>
            </w:pPr>
            <w:r w:rsidRPr="00B46354">
              <w:rPr>
                <w:rFonts w:ascii="Arial" w:hAnsi="Arial" w:cs="Arial"/>
                <w:b/>
                <w:bCs/>
              </w:rPr>
              <w:t>France</w:t>
            </w:r>
          </w:p>
        </w:tc>
        <w:tc>
          <w:tcPr>
            <w:tcW w:w="847" w:type="pct"/>
            <w:tcBorders>
              <w:top w:val="single" w:sz="4" w:space="0" w:color="auto"/>
            </w:tcBorders>
          </w:tcPr>
          <w:p w14:paraId="7FC0E565" w14:textId="3A6DEB8A" w:rsidR="005C6D58" w:rsidRPr="00B46354" w:rsidRDefault="005C6D58" w:rsidP="00031E2E">
            <w:pPr>
              <w:ind w:left="110" w:hanging="110"/>
              <w:jc w:val="right"/>
              <w:rPr>
                <w:rFonts w:ascii="Arial" w:hAnsi="Arial" w:cs="Arial"/>
                <w:b/>
                <w:bCs/>
              </w:rPr>
            </w:pPr>
            <w:r w:rsidRPr="00B46354">
              <w:rPr>
                <w:rFonts w:ascii="Arial" w:hAnsi="Arial" w:cs="Arial"/>
                <w:b/>
                <w:bCs/>
              </w:rPr>
              <w:t>19,</w:t>
            </w:r>
            <w:r w:rsidR="00031E2E" w:rsidRPr="00B46354">
              <w:rPr>
                <w:rFonts w:ascii="Arial" w:hAnsi="Arial" w:cs="Arial"/>
                <w:b/>
                <w:bCs/>
              </w:rPr>
              <w:t>8</w:t>
            </w:r>
            <w:r w:rsidR="00031E2E">
              <w:rPr>
                <w:rFonts w:ascii="Arial" w:hAnsi="Arial" w:cs="Arial"/>
                <w:b/>
                <w:bCs/>
              </w:rPr>
              <w:t>38</w:t>
            </w:r>
          </w:p>
        </w:tc>
        <w:tc>
          <w:tcPr>
            <w:tcW w:w="692" w:type="pct"/>
            <w:tcBorders>
              <w:top w:val="single" w:sz="4" w:space="0" w:color="auto"/>
            </w:tcBorders>
          </w:tcPr>
          <w:p w14:paraId="262D6355" w14:textId="6874834C" w:rsidR="005C6D58" w:rsidRPr="00B46354" w:rsidRDefault="005C6D58" w:rsidP="005C6D58">
            <w:pPr>
              <w:ind w:left="110" w:hanging="110"/>
              <w:jc w:val="right"/>
              <w:rPr>
                <w:rFonts w:ascii="Arial" w:hAnsi="Arial" w:cs="Arial"/>
                <w:b/>
                <w:bCs/>
              </w:rPr>
            </w:pPr>
            <w:r w:rsidRPr="00B46354">
              <w:rPr>
                <w:rFonts w:ascii="Arial" w:hAnsi="Arial" w:cs="Arial"/>
                <w:b/>
                <w:bCs/>
              </w:rPr>
              <w:t>218</w:t>
            </w:r>
          </w:p>
        </w:tc>
        <w:tc>
          <w:tcPr>
            <w:tcW w:w="692" w:type="pct"/>
            <w:tcBorders>
              <w:top w:val="single" w:sz="4" w:space="0" w:color="auto"/>
            </w:tcBorders>
            <w:shd w:val="clear" w:color="auto" w:fill="auto"/>
          </w:tcPr>
          <w:p w14:paraId="36486F4C" w14:textId="46DAE785" w:rsidR="005C6D58" w:rsidRPr="00926779" w:rsidRDefault="005C6D58" w:rsidP="005C6D58">
            <w:pPr>
              <w:ind w:left="110" w:hanging="110"/>
              <w:jc w:val="right"/>
              <w:rPr>
                <w:rFonts w:ascii="Arial" w:hAnsi="Arial" w:cs="Arial"/>
                <w:b/>
                <w:bCs/>
              </w:rPr>
            </w:pPr>
            <w:r w:rsidRPr="00926779">
              <w:rPr>
                <w:rFonts w:ascii="Arial" w:hAnsi="Arial" w:cs="Arial"/>
                <w:b/>
                <w:bCs/>
              </w:rPr>
              <w:t>2,047</w:t>
            </w:r>
          </w:p>
        </w:tc>
        <w:tc>
          <w:tcPr>
            <w:tcW w:w="770" w:type="pct"/>
            <w:tcBorders>
              <w:top w:val="single" w:sz="4" w:space="0" w:color="auto"/>
            </w:tcBorders>
            <w:vAlign w:val="center"/>
          </w:tcPr>
          <w:p w14:paraId="13E29206" w14:textId="1D06CF7D" w:rsidR="005C6D58" w:rsidRPr="006D4243" w:rsidRDefault="005C6D58" w:rsidP="005C6D58">
            <w:pPr>
              <w:ind w:left="110" w:hanging="110"/>
              <w:jc w:val="right"/>
              <w:rPr>
                <w:rFonts w:ascii="Arial" w:hAnsi="Arial" w:cs="Arial"/>
                <w:b/>
                <w:bCs/>
                <w:highlight w:val="yellow"/>
              </w:rPr>
            </w:pPr>
            <w:r w:rsidRPr="00EF42EF">
              <w:rPr>
                <w:rFonts w:ascii="Arial" w:hAnsi="Arial" w:cs="Arial"/>
                <w:b/>
                <w:bCs/>
              </w:rPr>
              <w:t>3</w:t>
            </w:r>
          </w:p>
        </w:tc>
        <w:tc>
          <w:tcPr>
            <w:tcW w:w="846" w:type="pct"/>
            <w:tcBorders>
              <w:top w:val="single" w:sz="4" w:space="0" w:color="auto"/>
            </w:tcBorders>
            <w:vAlign w:val="center"/>
          </w:tcPr>
          <w:p w14:paraId="7608BABB" w14:textId="6DC99A5D" w:rsidR="005C6D58" w:rsidRPr="006D4243" w:rsidRDefault="007B3341" w:rsidP="005C6D58">
            <w:pPr>
              <w:ind w:left="110" w:hanging="110"/>
              <w:jc w:val="right"/>
              <w:rPr>
                <w:rFonts w:ascii="Arial" w:hAnsi="Arial" w:cs="Arial"/>
                <w:b/>
                <w:bCs/>
                <w:highlight w:val="yellow"/>
              </w:rPr>
            </w:pPr>
            <w:r>
              <w:rPr>
                <w:rFonts w:ascii="Arial" w:hAnsi="Arial" w:cs="Arial"/>
                <w:b/>
                <w:bCs/>
              </w:rPr>
              <w:t>+</w:t>
            </w:r>
            <w:r w:rsidR="005C6D58" w:rsidRPr="00EF42EF">
              <w:rPr>
                <w:rFonts w:ascii="Arial" w:hAnsi="Arial" w:cs="Arial"/>
                <w:b/>
                <w:bCs/>
              </w:rPr>
              <w:t>1.3%</w:t>
            </w:r>
          </w:p>
        </w:tc>
      </w:tr>
      <w:tr w:rsidR="005C6D58" w:rsidRPr="0030578B" w14:paraId="0427255D" w14:textId="77777777" w:rsidTr="00E21AA0">
        <w:tc>
          <w:tcPr>
            <w:tcW w:w="1153" w:type="pct"/>
          </w:tcPr>
          <w:p w14:paraId="727F7A40" w14:textId="77777777" w:rsidR="005C6D58" w:rsidRPr="00B46354" w:rsidRDefault="005C6D58" w:rsidP="005C6D58">
            <w:pPr>
              <w:spacing w:before="60"/>
              <w:jc w:val="left"/>
              <w:rPr>
                <w:rFonts w:ascii="Arial" w:hAnsi="Arial" w:cs="Arial"/>
              </w:rPr>
            </w:pPr>
            <w:r w:rsidRPr="00B46354">
              <w:rPr>
                <w:rFonts w:ascii="Arial" w:hAnsi="Arial" w:cs="Arial"/>
              </w:rPr>
              <w:t>B&amp;Q UK &amp; Ireland</w:t>
            </w:r>
          </w:p>
        </w:tc>
        <w:tc>
          <w:tcPr>
            <w:tcW w:w="847" w:type="pct"/>
          </w:tcPr>
          <w:p w14:paraId="1F81EC14" w14:textId="018D5AD5" w:rsidR="005C6D58" w:rsidRPr="00B46354" w:rsidRDefault="005C6D58" w:rsidP="005C6D58">
            <w:pPr>
              <w:spacing w:before="60"/>
              <w:ind w:left="110" w:hanging="110"/>
              <w:jc w:val="right"/>
              <w:rPr>
                <w:rFonts w:ascii="Arial" w:hAnsi="Arial" w:cs="Arial"/>
              </w:rPr>
            </w:pPr>
            <w:r w:rsidRPr="00B46354">
              <w:rPr>
                <w:rFonts w:ascii="Arial" w:hAnsi="Arial" w:cs="Arial"/>
              </w:rPr>
              <w:t>20,519</w:t>
            </w:r>
          </w:p>
        </w:tc>
        <w:tc>
          <w:tcPr>
            <w:tcW w:w="692" w:type="pct"/>
          </w:tcPr>
          <w:p w14:paraId="564A746F" w14:textId="58DDEE4C" w:rsidR="005C6D58" w:rsidRPr="00B46354" w:rsidRDefault="005C6D58" w:rsidP="005C6D58">
            <w:pPr>
              <w:spacing w:before="60"/>
              <w:ind w:left="110" w:hanging="110"/>
              <w:jc w:val="right"/>
              <w:rPr>
                <w:rFonts w:ascii="Arial" w:hAnsi="Arial" w:cs="Arial"/>
              </w:rPr>
            </w:pPr>
            <w:r w:rsidRPr="00B46354">
              <w:rPr>
                <w:rFonts w:ascii="Arial" w:hAnsi="Arial" w:cs="Arial"/>
              </w:rPr>
              <w:t>355</w:t>
            </w:r>
          </w:p>
        </w:tc>
        <w:tc>
          <w:tcPr>
            <w:tcW w:w="692" w:type="pct"/>
            <w:shd w:val="clear" w:color="auto" w:fill="auto"/>
          </w:tcPr>
          <w:p w14:paraId="0161B6DF" w14:textId="56F0ADE9" w:rsidR="005C6D58" w:rsidRPr="00926779" w:rsidRDefault="005C6D58" w:rsidP="005C6D58">
            <w:pPr>
              <w:spacing w:before="60"/>
              <w:ind w:left="110" w:hanging="110"/>
              <w:jc w:val="right"/>
              <w:rPr>
                <w:rFonts w:ascii="Arial" w:hAnsi="Arial" w:cs="Arial"/>
              </w:rPr>
            </w:pPr>
            <w:r w:rsidRPr="00926779">
              <w:rPr>
                <w:rFonts w:ascii="Arial" w:hAnsi="Arial" w:cs="Arial"/>
              </w:rPr>
              <w:t>2,540</w:t>
            </w:r>
          </w:p>
        </w:tc>
        <w:tc>
          <w:tcPr>
            <w:tcW w:w="770" w:type="pct"/>
            <w:vAlign w:val="center"/>
          </w:tcPr>
          <w:p w14:paraId="1CB135BF" w14:textId="4646C050" w:rsidR="005C6D58" w:rsidRPr="006D4243" w:rsidRDefault="005C6D58">
            <w:pPr>
              <w:spacing w:before="60"/>
              <w:ind w:left="110" w:hanging="110"/>
              <w:jc w:val="right"/>
              <w:rPr>
                <w:rFonts w:ascii="Arial" w:hAnsi="Arial" w:cs="Arial"/>
                <w:highlight w:val="yellow"/>
              </w:rPr>
            </w:pPr>
            <w:r w:rsidRPr="00EF42EF">
              <w:rPr>
                <w:rFonts w:ascii="Arial" w:hAnsi="Arial" w:cs="Arial"/>
              </w:rPr>
              <w:t>(3</w:t>
            </w:r>
            <w:r w:rsidR="005F5CCB">
              <w:rPr>
                <w:rFonts w:ascii="Arial" w:hAnsi="Arial" w:cs="Arial"/>
              </w:rPr>
              <w:t>0</w:t>
            </w:r>
            <w:r w:rsidRPr="00EF42EF">
              <w:rPr>
                <w:rFonts w:ascii="Arial" w:hAnsi="Arial" w:cs="Arial"/>
              </w:rPr>
              <w:t>)</w:t>
            </w:r>
            <w:r w:rsidR="00031E2E" w:rsidRPr="006D4243">
              <w:rPr>
                <w:rFonts w:ascii="Arial" w:hAnsi="Arial" w:cs="Arial"/>
                <w:bCs/>
                <w:vertAlign w:val="superscript"/>
              </w:rPr>
              <w:t>(</w:t>
            </w:r>
            <w:r w:rsidR="00031E2E">
              <w:rPr>
                <w:rFonts w:ascii="Arial" w:hAnsi="Arial" w:cs="Arial"/>
                <w:bCs/>
                <w:vertAlign w:val="superscript"/>
              </w:rPr>
              <w:t>3</w:t>
            </w:r>
            <w:r w:rsidR="00031E2E" w:rsidRPr="006D4243">
              <w:rPr>
                <w:rFonts w:ascii="Arial" w:hAnsi="Arial" w:cs="Arial"/>
                <w:bCs/>
                <w:vertAlign w:val="superscript"/>
              </w:rPr>
              <w:t>)</w:t>
            </w:r>
          </w:p>
        </w:tc>
        <w:tc>
          <w:tcPr>
            <w:tcW w:w="846" w:type="pct"/>
          </w:tcPr>
          <w:p w14:paraId="5567A4B9" w14:textId="58BB4D60" w:rsidR="005C6D58" w:rsidRPr="009325A3" w:rsidRDefault="005C6D58" w:rsidP="009325A3">
            <w:pPr>
              <w:spacing w:before="60"/>
              <w:ind w:left="110" w:hanging="110"/>
              <w:jc w:val="right"/>
              <w:rPr>
                <w:rFonts w:ascii="Arial" w:hAnsi="Arial" w:cs="Arial"/>
              </w:rPr>
            </w:pPr>
            <w:r w:rsidRPr="009325A3">
              <w:rPr>
                <w:rFonts w:ascii="Arial" w:hAnsi="Arial" w:cs="Arial"/>
              </w:rPr>
              <w:t>(</w:t>
            </w:r>
            <w:r w:rsidR="009E776C" w:rsidRPr="009325A3">
              <w:rPr>
                <w:rFonts w:ascii="Arial" w:hAnsi="Arial" w:cs="Arial"/>
              </w:rPr>
              <w:t>6.8</w:t>
            </w:r>
            <w:r w:rsidRPr="009325A3">
              <w:rPr>
                <w:rFonts w:ascii="Arial" w:hAnsi="Arial" w:cs="Arial"/>
              </w:rPr>
              <w:t>)</w:t>
            </w:r>
            <w:r w:rsidR="00031E2E" w:rsidRPr="009325A3">
              <w:rPr>
                <w:rFonts w:ascii="Arial" w:hAnsi="Arial" w:cs="Arial"/>
              </w:rPr>
              <w:t>%</w:t>
            </w:r>
            <w:r w:rsidRPr="009325A3">
              <w:rPr>
                <w:rFonts w:ascii="Arial" w:hAnsi="Arial" w:cs="Arial"/>
                <w:bCs/>
                <w:vertAlign w:val="superscript"/>
              </w:rPr>
              <w:t>(3)</w:t>
            </w:r>
          </w:p>
        </w:tc>
      </w:tr>
      <w:tr w:rsidR="005C6D58" w:rsidRPr="0030578B" w14:paraId="238079F0" w14:textId="77777777" w:rsidTr="00E21AA0">
        <w:tc>
          <w:tcPr>
            <w:tcW w:w="1153" w:type="pct"/>
            <w:tcBorders>
              <w:bottom w:val="single" w:sz="4" w:space="0" w:color="auto"/>
            </w:tcBorders>
          </w:tcPr>
          <w:p w14:paraId="6CD11BFA" w14:textId="77777777" w:rsidR="005C6D58" w:rsidRPr="00B46354" w:rsidRDefault="005C6D58" w:rsidP="005C6D58">
            <w:pPr>
              <w:ind w:left="110" w:hanging="110"/>
              <w:jc w:val="left"/>
              <w:rPr>
                <w:rFonts w:ascii="Arial" w:hAnsi="Arial" w:cs="Arial"/>
              </w:rPr>
            </w:pPr>
            <w:r w:rsidRPr="00B46354">
              <w:rPr>
                <w:rFonts w:ascii="Arial" w:hAnsi="Arial" w:cs="Arial"/>
              </w:rPr>
              <w:t xml:space="preserve">Screwfix </w:t>
            </w:r>
          </w:p>
        </w:tc>
        <w:tc>
          <w:tcPr>
            <w:tcW w:w="847" w:type="pct"/>
            <w:tcBorders>
              <w:bottom w:val="single" w:sz="4" w:space="0" w:color="auto"/>
            </w:tcBorders>
          </w:tcPr>
          <w:p w14:paraId="2D2B32B1" w14:textId="26E25D38" w:rsidR="005C6D58" w:rsidRPr="00B46354" w:rsidRDefault="005C6D58" w:rsidP="005C6D58">
            <w:pPr>
              <w:ind w:left="110" w:hanging="110"/>
              <w:jc w:val="right"/>
              <w:rPr>
                <w:rFonts w:ascii="Arial" w:hAnsi="Arial" w:cs="Arial"/>
              </w:rPr>
            </w:pPr>
            <w:r w:rsidRPr="00B46354">
              <w:rPr>
                <w:rFonts w:ascii="Arial" w:hAnsi="Arial" w:cs="Arial"/>
              </w:rPr>
              <w:t>5,800</w:t>
            </w:r>
          </w:p>
        </w:tc>
        <w:tc>
          <w:tcPr>
            <w:tcW w:w="692" w:type="pct"/>
            <w:tcBorders>
              <w:bottom w:val="single" w:sz="4" w:space="0" w:color="auto"/>
            </w:tcBorders>
          </w:tcPr>
          <w:p w14:paraId="6D44874A" w14:textId="550BC4D5" w:rsidR="005C6D58" w:rsidRPr="00B46354" w:rsidRDefault="005C6D58" w:rsidP="005C6D58">
            <w:pPr>
              <w:ind w:left="110" w:hanging="110"/>
              <w:jc w:val="right"/>
              <w:rPr>
                <w:rFonts w:ascii="Arial" w:hAnsi="Arial" w:cs="Arial"/>
              </w:rPr>
            </w:pPr>
            <w:r w:rsidRPr="00B46354">
              <w:rPr>
                <w:rFonts w:ascii="Arial" w:hAnsi="Arial" w:cs="Arial"/>
              </w:rPr>
              <w:t>412</w:t>
            </w:r>
          </w:p>
        </w:tc>
        <w:tc>
          <w:tcPr>
            <w:tcW w:w="692" w:type="pct"/>
            <w:tcBorders>
              <w:bottom w:val="single" w:sz="4" w:space="0" w:color="auto"/>
            </w:tcBorders>
            <w:shd w:val="clear" w:color="auto" w:fill="auto"/>
          </w:tcPr>
          <w:p w14:paraId="79071DA9" w14:textId="25F1EBFE" w:rsidR="005C6D58" w:rsidRPr="00926779" w:rsidRDefault="005C6D58" w:rsidP="005C6D58">
            <w:pPr>
              <w:ind w:left="110" w:hanging="110"/>
              <w:jc w:val="right"/>
              <w:rPr>
                <w:rFonts w:ascii="Arial" w:hAnsi="Arial" w:cs="Arial"/>
              </w:rPr>
            </w:pPr>
            <w:r w:rsidRPr="00926779">
              <w:rPr>
                <w:rFonts w:ascii="Arial" w:hAnsi="Arial" w:cs="Arial"/>
              </w:rPr>
              <w:t>2</w:t>
            </w:r>
            <w:r w:rsidR="00C815F2">
              <w:rPr>
                <w:rFonts w:ascii="Arial" w:hAnsi="Arial" w:cs="Arial"/>
              </w:rPr>
              <w:t>6</w:t>
            </w:r>
            <w:r w:rsidR="00B8611D" w:rsidRPr="00EF42EF">
              <w:rPr>
                <w:rFonts w:ascii="Arial" w:hAnsi="Arial" w:cs="Arial"/>
                <w:vertAlign w:val="superscript"/>
              </w:rPr>
              <w:t>(4)</w:t>
            </w:r>
          </w:p>
        </w:tc>
        <w:tc>
          <w:tcPr>
            <w:tcW w:w="770" w:type="pct"/>
            <w:tcBorders>
              <w:bottom w:val="single" w:sz="4" w:space="0" w:color="auto"/>
            </w:tcBorders>
            <w:vAlign w:val="center"/>
          </w:tcPr>
          <w:p w14:paraId="2109DF4C" w14:textId="2DA653B5" w:rsidR="005C6D58" w:rsidRPr="006D4243" w:rsidRDefault="005C6D58" w:rsidP="005C6D58">
            <w:pPr>
              <w:ind w:left="110" w:hanging="110"/>
              <w:jc w:val="right"/>
              <w:rPr>
                <w:rFonts w:ascii="Arial" w:hAnsi="Arial" w:cs="Arial"/>
                <w:highlight w:val="yellow"/>
              </w:rPr>
            </w:pPr>
            <w:r w:rsidRPr="00EF42EF">
              <w:rPr>
                <w:rFonts w:ascii="Arial" w:hAnsi="Arial" w:cs="Arial"/>
              </w:rPr>
              <w:t>60</w:t>
            </w:r>
          </w:p>
        </w:tc>
        <w:tc>
          <w:tcPr>
            <w:tcW w:w="846" w:type="pct"/>
            <w:tcBorders>
              <w:bottom w:val="single" w:sz="4" w:space="0" w:color="auto"/>
            </w:tcBorders>
            <w:vAlign w:val="center"/>
          </w:tcPr>
          <w:p w14:paraId="12C826AD" w14:textId="6A33C596" w:rsidR="005C6D58" w:rsidRPr="009325A3" w:rsidRDefault="007B3341" w:rsidP="005C6D58">
            <w:pPr>
              <w:ind w:left="110" w:hanging="110"/>
              <w:jc w:val="right"/>
              <w:rPr>
                <w:rFonts w:ascii="Arial" w:hAnsi="Arial" w:cs="Arial"/>
              </w:rPr>
            </w:pPr>
            <w:r w:rsidRPr="009325A3">
              <w:rPr>
                <w:rFonts w:ascii="Arial" w:hAnsi="Arial" w:cs="Arial"/>
              </w:rPr>
              <w:t>+</w:t>
            </w:r>
            <w:r w:rsidR="005C6D58" w:rsidRPr="009325A3">
              <w:rPr>
                <w:rFonts w:ascii="Arial" w:hAnsi="Arial" w:cs="Arial"/>
              </w:rPr>
              <w:t>1</w:t>
            </w:r>
            <w:r w:rsidR="00DF1D0B" w:rsidRPr="009325A3">
              <w:rPr>
                <w:rFonts w:ascii="Arial" w:hAnsi="Arial" w:cs="Arial"/>
              </w:rPr>
              <w:t>2.0</w:t>
            </w:r>
            <w:r w:rsidR="005C6D58" w:rsidRPr="009325A3">
              <w:rPr>
                <w:rFonts w:ascii="Arial" w:hAnsi="Arial" w:cs="Arial"/>
              </w:rPr>
              <w:t>%</w:t>
            </w:r>
          </w:p>
        </w:tc>
      </w:tr>
      <w:tr w:rsidR="005C6D58" w:rsidRPr="0030578B" w14:paraId="4C828A4C" w14:textId="77777777" w:rsidTr="00E21AA0">
        <w:tc>
          <w:tcPr>
            <w:tcW w:w="1153" w:type="pct"/>
            <w:tcBorders>
              <w:top w:val="single" w:sz="4" w:space="0" w:color="auto"/>
            </w:tcBorders>
          </w:tcPr>
          <w:p w14:paraId="12D2C3C8" w14:textId="77777777" w:rsidR="005C6D58" w:rsidRPr="00B46354" w:rsidRDefault="005C6D58" w:rsidP="005C6D58">
            <w:pPr>
              <w:ind w:left="110" w:hanging="110"/>
              <w:jc w:val="left"/>
              <w:rPr>
                <w:rFonts w:ascii="Arial" w:hAnsi="Arial" w:cs="Arial"/>
                <w:b/>
                <w:bCs/>
              </w:rPr>
            </w:pPr>
            <w:r w:rsidRPr="00B46354">
              <w:rPr>
                <w:rFonts w:ascii="Arial" w:hAnsi="Arial" w:cs="Arial"/>
                <w:b/>
                <w:bCs/>
              </w:rPr>
              <w:t>UK &amp; Ireland</w:t>
            </w:r>
          </w:p>
        </w:tc>
        <w:tc>
          <w:tcPr>
            <w:tcW w:w="847" w:type="pct"/>
            <w:tcBorders>
              <w:top w:val="single" w:sz="4" w:space="0" w:color="auto"/>
            </w:tcBorders>
          </w:tcPr>
          <w:p w14:paraId="3AAD9018" w14:textId="551EFDE4" w:rsidR="005C6D58" w:rsidRPr="00B46354" w:rsidRDefault="005C6D58" w:rsidP="005C6D58">
            <w:pPr>
              <w:ind w:left="110" w:hanging="110"/>
              <w:jc w:val="right"/>
              <w:rPr>
                <w:rFonts w:ascii="Arial" w:hAnsi="Arial" w:cs="Arial"/>
                <w:b/>
                <w:bCs/>
              </w:rPr>
            </w:pPr>
            <w:r w:rsidRPr="00B46354">
              <w:rPr>
                <w:rFonts w:ascii="Arial" w:hAnsi="Arial" w:cs="Arial"/>
                <w:b/>
                <w:bCs/>
              </w:rPr>
              <w:t>26,319</w:t>
            </w:r>
          </w:p>
        </w:tc>
        <w:tc>
          <w:tcPr>
            <w:tcW w:w="692" w:type="pct"/>
            <w:tcBorders>
              <w:top w:val="single" w:sz="4" w:space="0" w:color="auto"/>
            </w:tcBorders>
          </w:tcPr>
          <w:p w14:paraId="2F7DCAA7" w14:textId="3F8AF672" w:rsidR="005C6D58" w:rsidRPr="00B46354" w:rsidRDefault="005C6D58" w:rsidP="005C6D58">
            <w:pPr>
              <w:ind w:left="110" w:hanging="110"/>
              <w:jc w:val="right"/>
              <w:rPr>
                <w:rFonts w:ascii="Arial" w:hAnsi="Arial" w:cs="Arial"/>
                <w:b/>
                <w:bCs/>
              </w:rPr>
            </w:pPr>
            <w:r w:rsidRPr="00B46354">
              <w:rPr>
                <w:rFonts w:ascii="Arial" w:hAnsi="Arial" w:cs="Arial"/>
                <w:b/>
                <w:bCs/>
              </w:rPr>
              <w:t>767</w:t>
            </w:r>
          </w:p>
        </w:tc>
        <w:tc>
          <w:tcPr>
            <w:tcW w:w="692" w:type="pct"/>
            <w:tcBorders>
              <w:top w:val="single" w:sz="4" w:space="0" w:color="auto"/>
            </w:tcBorders>
            <w:shd w:val="clear" w:color="auto" w:fill="auto"/>
          </w:tcPr>
          <w:p w14:paraId="07D42BA8" w14:textId="457D720D" w:rsidR="005C6D58" w:rsidRPr="00926779" w:rsidRDefault="005C6D58" w:rsidP="005C6D58">
            <w:pPr>
              <w:ind w:left="110" w:hanging="110"/>
              <w:jc w:val="right"/>
              <w:rPr>
                <w:rFonts w:ascii="Arial" w:hAnsi="Arial" w:cs="Arial"/>
                <w:b/>
                <w:bCs/>
              </w:rPr>
            </w:pPr>
            <w:r w:rsidRPr="00926779">
              <w:rPr>
                <w:rFonts w:ascii="Arial" w:hAnsi="Arial" w:cs="Arial"/>
                <w:b/>
                <w:bCs/>
              </w:rPr>
              <w:t>2,</w:t>
            </w:r>
            <w:r w:rsidR="00C815F2">
              <w:rPr>
                <w:rFonts w:ascii="Arial" w:hAnsi="Arial" w:cs="Arial"/>
                <w:b/>
                <w:bCs/>
              </w:rPr>
              <w:t>566</w:t>
            </w:r>
          </w:p>
        </w:tc>
        <w:tc>
          <w:tcPr>
            <w:tcW w:w="770" w:type="pct"/>
            <w:tcBorders>
              <w:top w:val="single" w:sz="4" w:space="0" w:color="auto"/>
            </w:tcBorders>
            <w:vAlign w:val="center"/>
          </w:tcPr>
          <w:p w14:paraId="719B8E57" w14:textId="24944EAB" w:rsidR="005C6D58" w:rsidRPr="006D4243" w:rsidRDefault="005F5CCB" w:rsidP="005C6D58">
            <w:pPr>
              <w:ind w:left="110" w:hanging="110"/>
              <w:jc w:val="right"/>
              <w:rPr>
                <w:rFonts w:ascii="Arial" w:hAnsi="Arial" w:cs="Arial"/>
                <w:b/>
                <w:bCs/>
                <w:highlight w:val="yellow"/>
              </w:rPr>
            </w:pPr>
            <w:r>
              <w:rPr>
                <w:rFonts w:ascii="Arial" w:hAnsi="Arial" w:cs="Arial"/>
                <w:b/>
                <w:bCs/>
              </w:rPr>
              <w:t>30</w:t>
            </w:r>
          </w:p>
        </w:tc>
        <w:tc>
          <w:tcPr>
            <w:tcW w:w="846" w:type="pct"/>
            <w:tcBorders>
              <w:top w:val="single" w:sz="4" w:space="0" w:color="auto"/>
            </w:tcBorders>
            <w:vAlign w:val="center"/>
          </w:tcPr>
          <w:p w14:paraId="77B0964A" w14:textId="7B2293B1" w:rsidR="005C6D58" w:rsidRPr="009325A3" w:rsidRDefault="005C6D58" w:rsidP="009325A3">
            <w:pPr>
              <w:ind w:left="110" w:hanging="110"/>
              <w:jc w:val="right"/>
              <w:rPr>
                <w:rFonts w:ascii="Arial" w:hAnsi="Arial" w:cs="Arial"/>
                <w:b/>
                <w:bCs/>
              </w:rPr>
            </w:pPr>
            <w:r w:rsidRPr="009325A3">
              <w:rPr>
                <w:rFonts w:ascii="Arial" w:hAnsi="Arial" w:cs="Arial"/>
                <w:b/>
                <w:bCs/>
              </w:rPr>
              <w:t>(</w:t>
            </w:r>
            <w:r w:rsidR="00DF1D0B" w:rsidRPr="009325A3">
              <w:rPr>
                <w:rFonts w:ascii="Arial" w:hAnsi="Arial" w:cs="Arial"/>
                <w:b/>
                <w:bCs/>
              </w:rPr>
              <w:t>6.</w:t>
            </w:r>
            <w:r w:rsidR="009E776C" w:rsidRPr="009325A3">
              <w:rPr>
                <w:rFonts w:ascii="Arial" w:hAnsi="Arial" w:cs="Arial"/>
                <w:b/>
                <w:bCs/>
              </w:rPr>
              <w:t>7</w:t>
            </w:r>
            <w:r w:rsidRPr="009325A3">
              <w:rPr>
                <w:rFonts w:ascii="Arial" w:hAnsi="Arial" w:cs="Arial"/>
                <w:b/>
                <w:bCs/>
              </w:rPr>
              <w:t>)%</w:t>
            </w:r>
          </w:p>
        </w:tc>
      </w:tr>
      <w:tr w:rsidR="005C6D58" w:rsidRPr="0030578B" w14:paraId="4337FDA4" w14:textId="77777777" w:rsidTr="00E21AA0">
        <w:tc>
          <w:tcPr>
            <w:tcW w:w="1153" w:type="pct"/>
          </w:tcPr>
          <w:p w14:paraId="4700515D" w14:textId="77777777" w:rsidR="005C6D58" w:rsidRPr="00B46354" w:rsidRDefault="005C6D58" w:rsidP="005C6D58">
            <w:pPr>
              <w:spacing w:before="60"/>
              <w:ind w:left="110" w:hanging="110"/>
              <w:jc w:val="left"/>
              <w:rPr>
                <w:rFonts w:ascii="Arial" w:hAnsi="Arial" w:cs="Arial"/>
              </w:rPr>
            </w:pPr>
            <w:r w:rsidRPr="00B46354">
              <w:rPr>
                <w:rFonts w:ascii="Arial" w:hAnsi="Arial" w:cs="Arial"/>
              </w:rPr>
              <w:t>Poland</w:t>
            </w:r>
          </w:p>
        </w:tc>
        <w:tc>
          <w:tcPr>
            <w:tcW w:w="847" w:type="pct"/>
          </w:tcPr>
          <w:p w14:paraId="723E28C2" w14:textId="20FF0349" w:rsidR="005C6D58" w:rsidRPr="00B46354" w:rsidRDefault="005C6D58" w:rsidP="005C6D58">
            <w:pPr>
              <w:spacing w:before="60"/>
              <w:ind w:left="110" w:hanging="110"/>
              <w:jc w:val="right"/>
              <w:rPr>
                <w:rFonts w:ascii="Arial" w:hAnsi="Arial" w:cs="Arial"/>
              </w:rPr>
            </w:pPr>
            <w:r w:rsidRPr="00B46354">
              <w:rPr>
                <w:rFonts w:ascii="Arial" w:hAnsi="Arial" w:cs="Arial"/>
              </w:rPr>
              <w:t>10,589</w:t>
            </w:r>
          </w:p>
        </w:tc>
        <w:tc>
          <w:tcPr>
            <w:tcW w:w="692" w:type="pct"/>
          </w:tcPr>
          <w:p w14:paraId="55AEA1B9" w14:textId="511D4FCD" w:rsidR="005C6D58" w:rsidRPr="00B46354" w:rsidRDefault="005C6D58" w:rsidP="005C6D58">
            <w:pPr>
              <w:spacing w:before="60"/>
              <w:ind w:left="110" w:hanging="110"/>
              <w:jc w:val="right"/>
              <w:rPr>
                <w:rFonts w:ascii="Arial" w:hAnsi="Arial" w:cs="Arial"/>
              </w:rPr>
            </w:pPr>
            <w:r w:rsidRPr="00B46354">
              <w:rPr>
                <w:rFonts w:ascii="Arial" w:hAnsi="Arial" w:cs="Arial"/>
              </w:rPr>
              <w:t>71</w:t>
            </w:r>
          </w:p>
        </w:tc>
        <w:tc>
          <w:tcPr>
            <w:tcW w:w="692" w:type="pct"/>
            <w:shd w:val="clear" w:color="auto" w:fill="auto"/>
          </w:tcPr>
          <w:p w14:paraId="277F0ACE" w14:textId="37F20D30" w:rsidR="005C6D58" w:rsidRPr="00926779" w:rsidRDefault="005C6D58" w:rsidP="005C6D58">
            <w:pPr>
              <w:spacing w:before="60"/>
              <w:ind w:left="110" w:hanging="110"/>
              <w:jc w:val="right"/>
              <w:rPr>
                <w:rFonts w:ascii="Arial" w:hAnsi="Arial" w:cs="Arial"/>
              </w:rPr>
            </w:pPr>
            <w:r w:rsidRPr="00926779">
              <w:rPr>
                <w:rFonts w:ascii="Arial" w:hAnsi="Arial" w:cs="Arial"/>
              </w:rPr>
              <w:t>603</w:t>
            </w:r>
          </w:p>
        </w:tc>
        <w:tc>
          <w:tcPr>
            <w:tcW w:w="770" w:type="pct"/>
            <w:vAlign w:val="center"/>
          </w:tcPr>
          <w:p w14:paraId="4FCE3715" w14:textId="0D5B6FA4" w:rsidR="005C6D58" w:rsidRPr="006D4243" w:rsidRDefault="005C6D58" w:rsidP="005C6D58">
            <w:pPr>
              <w:spacing w:before="60"/>
              <w:ind w:left="110" w:hanging="110"/>
              <w:jc w:val="right"/>
              <w:rPr>
                <w:rFonts w:ascii="Arial" w:hAnsi="Arial" w:cs="Arial"/>
                <w:highlight w:val="yellow"/>
              </w:rPr>
            </w:pPr>
            <w:r w:rsidRPr="00EF42EF">
              <w:rPr>
                <w:rFonts w:ascii="Arial" w:hAnsi="Arial" w:cs="Arial"/>
              </w:rPr>
              <w:t>1</w:t>
            </w:r>
          </w:p>
        </w:tc>
        <w:tc>
          <w:tcPr>
            <w:tcW w:w="846" w:type="pct"/>
            <w:vAlign w:val="center"/>
          </w:tcPr>
          <w:p w14:paraId="35240DF3" w14:textId="5F300998" w:rsidR="005C6D58" w:rsidRPr="009325A3" w:rsidRDefault="007B3341" w:rsidP="005C6D58">
            <w:pPr>
              <w:spacing w:before="60"/>
              <w:ind w:left="110" w:hanging="110"/>
              <w:jc w:val="right"/>
              <w:rPr>
                <w:rFonts w:ascii="Arial" w:hAnsi="Arial" w:cs="Arial"/>
              </w:rPr>
            </w:pPr>
            <w:r w:rsidRPr="009325A3">
              <w:rPr>
                <w:rFonts w:ascii="Arial" w:hAnsi="Arial" w:cs="Arial"/>
              </w:rPr>
              <w:t>+</w:t>
            </w:r>
            <w:r w:rsidR="005C6D58" w:rsidRPr="009325A3">
              <w:rPr>
                <w:rFonts w:ascii="Arial" w:hAnsi="Arial" w:cs="Arial"/>
              </w:rPr>
              <w:t>1.6%</w:t>
            </w:r>
          </w:p>
        </w:tc>
      </w:tr>
      <w:tr w:rsidR="005C6D58" w:rsidRPr="0030578B" w14:paraId="3793E7D9" w14:textId="77777777" w:rsidTr="00E21AA0">
        <w:tc>
          <w:tcPr>
            <w:tcW w:w="1153" w:type="pct"/>
          </w:tcPr>
          <w:p w14:paraId="7C3B894F" w14:textId="77777777" w:rsidR="005C6D58" w:rsidRPr="00B46354" w:rsidRDefault="005C6D58" w:rsidP="005C6D58">
            <w:pPr>
              <w:ind w:left="110" w:hanging="110"/>
              <w:jc w:val="left"/>
              <w:rPr>
                <w:rFonts w:ascii="Arial" w:hAnsi="Arial" w:cs="Arial"/>
                <w:lang w:val="it-IT"/>
              </w:rPr>
            </w:pPr>
            <w:r w:rsidRPr="00B46354">
              <w:rPr>
                <w:rFonts w:ascii="Arial" w:hAnsi="Arial" w:cs="Arial"/>
                <w:lang w:val="it-IT"/>
              </w:rPr>
              <w:t>Portugal</w:t>
            </w:r>
          </w:p>
        </w:tc>
        <w:tc>
          <w:tcPr>
            <w:tcW w:w="847" w:type="pct"/>
          </w:tcPr>
          <w:p w14:paraId="130F9046" w14:textId="32E2DA63" w:rsidR="005C6D58" w:rsidRPr="00B46354" w:rsidRDefault="005C6D58" w:rsidP="005C6D58">
            <w:pPr>
              <w:ind w:left="110" w:hanging="110"/>
              <w:jc w:val="right"/>
              <w:rPr>
                <w:rFonts w:ascii="Arial" w:hAnsi="Arial" w:cs="Arial"/>
              </w:rPr>
            </w:pPr>
            <w:r w:rsidRPr="00B46354">
              <w:rPr>
                <w:rFonts w:ascii="Arial" w:hAnsi="Arial" w:cs="Arial"/>
              </w:rPr>
              <w:t>104</w:t>
            </w:r>
          </w:p>
        </w:tc>
        <w:tc>
          <w:tcPr>
            <w:tcW w:w="692" w:type="pct"/>
          </w:tcPr>
          <w:p w14:paraId="571E7AC3" w14:textId="0F8564AF" w:rsidR="005C6D58" w:rsidRPr="00B46354" w:rsidRDefault="005C6D58" w:rsidP="005C6D58">
            <w:pPr>
              <w:ind w:left="110" w:hanging="110"/>
              <w:jc w:val="right"/>
              <w:rPr>
                <w:rFonts w:ascii="Arial" w:hAnsi="Arial" w:cs="Arial"/>
              </w:rPr>
            </w:pPr>
            <w:r w:rsidRPr="00B46354">
              <w:rPr>
                <w:rFonts w:ascii="Arial" w:hAnsi="Arial" w:cs="Arial"/>
              </w:rPr>
              <w:t>2</w:t>
            </w:r>
          </w:p>
        </w:tc>
        <w:tc>
          <w:tcPr>
            <w:tcW w:w="692" w:type="pct"/>
            <w:shd w:val="clear" w:color="auto" w:fill="auto"/>
          </w:tcPr>
          <w:p w14:paraId="4758608F" w14:textId="3EFCE596" w:rsidR="005C6D58" w:rsidRPr="00926779" w:rsidRDefault="005C6D58" w:rsidP="005C6D58">
            <w:pPr>
              <w:ind w:left="110" w:hanging="110"/>
              <w:jc w:val="right"/>
              <w:rPr>
                <w:rFonts w:ascii="Arial" w:hAnsi="Arial" w:cs="Arial"/>
              </w:rPr>
            </w:pPr>
            <w:r w:rsidRPr="00926779">
              <w:rPr>
                <w:rFonts w:ascii="Arial" w:hAnsi="Arial" w:cs="Arial"/>
              </w:rPr>
              <w:t>12</w:t>
            </w:r>
          </w:p>
        </w:tc>
        <w:tc>
          <w:tcPr>
            <w:tcW w:w="770" w:type="pct"/>
            <w:vAlign w:val="center"/>
          </w:tcPr>
          <w:p w14:paraId="247D1FFF" w14:textId="525ED489" w:rsidR="005C6D58" w:rsidRPr="006D4243" w:rsidRDefault="005C6D58" w:rsidP="005C6D58">
            <w:pPr>
              <w:ind w:left="110" w:hanging="110"/>
              <w:jc w:val="right"/>
              <w:rPr>
                <w:rFonts w:ascii="Arial" w:hAnsi="Arial" w:cs="Arial"/>
                <w:highlight w:val="yellow"/>
              </w:rPr>
            </w:pPr>
            <w:r w:rsidRPr="00EF42EF">
              <w:rPr>
                <w:rFonts w:ascii="Arial" w:hAnsi="Arial" w:cs="Arial"/>
              </w:rPr>
              <w:t>-</w:t>
            </w:r>
          </w:p>
        </w:tc>
        <w:tc>
          <w:tcPr>
            <w:tcW w:w="846" w:type="pct"/>
            <w:vAlign w:val="center"/>
          </w:tcPr>
          <w:p w14:paraId="6F414F81" w14:textId="1B0C7BDD" w:rsidR="005C6D58" w:rsidRPr="009325A3" w:rsidRDefault="005C6D58" w:rsidP="005C6D58">
            <w:pPr>
              <w:ind w:left="110" w:hanging="110"/>
              <w:jc w:val="right"/>
              <w:rPr>
                <w:rFonts w:ascii="Arial" w:hAnsi="Arial" w:cs="Arial"/>
              </w:rPr>
            </w:pPr>
            <w:r w:rsidRPr="009325A3">
              <w:rPr>
                <w:rFonts w:ascii="Arial" w:hAnsi="Arial" w:cs="Arial"/>
              </w:rPr>
              <w:t>-</w:t>
            </w:r>
          </w:p>
        </w:tc>
      </w:tr>
      <w:tr w:rsidR="005C6D58" w:rsidRPr="0030578B" w14:paraId="3FD26105" w14:textId="77777777" w:rsidTr="00E21AA0">
        <w:tc>
          <w:tcPr>
            <w:tcW w:w="1153" w:type="pct"/>
          </w:tcPr>
          <w:p w14:paraId="40323D88" w14:textId="77777777" w:rsidR="005C6D58" w:rsidRPr="00B46354" w:rsidRDefault="005C6D58" w:rsidP="005C6D58">
            <w:pPr>
              <w:ind w:left="110" w:hanging="110"/>
              <w:jc w:val="left"/>
              <w:rPr>
                <w:rFonts w:ascii="Arial" w:hAnsi="Arial" w:cs="Arial"/>
                <w:lang w:val="it-IT"/>
              </w:rPr>
            </w:pPr>
            <w:r w:rsidRPr="00B46354">
              <w:rPr>
                <w:rFonts w:ascii="Arial" w:hAnsi="Arial" w:cs="Arial"/>
                <w:lang w:val="it-IT"/>
              </w:rPr>
              <w:t>Romania</w:t>
            </w:r>
          </w:p>
        </w:tc>
        <w:tc>
          <w:tcPr>
            <w:tcW w:w="847" w:type="pct"/>
          </w:tcPr>
          <w:p w14:paraId="626F721B" w14:textId="43E0D9B6" w:rsidR="005C6D58" w:rsidRPr="00B46354" w:rsidRDefault="005C6D58" w:rsidP="005C6D58">
            <w:pPr>
              <w:ind w:left="110" w:hanging="110"/>
              <w:jc w:val="right"/>
              <w:rPr>
                <w:rFonts w:ascii="Arial" w:hAnsi="Arial" w:cs="Arial"/>
              </w:rPr>
            </w:pPr>
            <w:r w:rsidRPr="00B46354">
              <w:rPr>
                <w:rFonts w:ascii="Arial" w:hAnsi="Arial" w:cs="Arial"/>
              </w:rPr>
              <w:t>915</w:t>
            </w:r>
          </w:p>
        </w:tc>
        <w:tc>
          <w:tcPr>
            <w:tcW w:w="692" w:type="pct"/>
          </w:tcPr>
          <w:p w14:paraId="68795EA2" w14:textId="0B74519D" w:rsidR="005C6D58" w:rsidRPr="00B46354" w:rsidRDefault="005C6D58" w:rsidP="005C6D58">
            <w:pPr>
              <w:ind w:left="110" w:hanging="110"/>
              <w:jc w:val="right"/>
              <w:rPr>
                <w:rFonts w:ascii="Arial" w:hAnsi="Arial" w:cs="Arial"/>
              </w:rPr>
            </w:pPr>
            <w:r w:rsidRPr="00B46354">
              <w:rPr>
                <w:rFonts w:ascii="Arial" w:hAnsi="Arial" w:cs="Arial"/>
              </w:rPr>
              <w:t>15</w:t>
            </w:r>
          </w:p>
        </w:tc>
        <w:tc>
          <w:tcPr>
            <w:tcW w:w="692" w:type="pct"/>
            <w:shd w:val="clear" w:color="auto" w:fill="auto"/>
          </w:tcPr>
          <w:p w14:paraId="13304B1D" w14:textId="07007C58" w:rsidR="005C6D58" w:rsidRPr="00926779" w:rsidRDefault="005C6D58" w:rsidP="005C6D58">
            <w:pPr>
              <w:ind w:left="110" w:hanging="110"/>
              <w:jc w:val="right"/>
              <w:rPr>
                <w:rFonts w:ascii="Arial" w:hAnsi="Arial" w:cs="Arial"/>
              </w:rPr>
            </w:pPr>
            <w:r w:rsidRPr="00926779">
              <w:rPr>
                <w:rFonts w:ascii="Arial" w:hAnsi="Arial" w:cs="Arial"/>
              </w:rPr>
              <w:t>121</w:t>
            </w:r>
          </w:p>
        </w:tc>
        <w:tc>
          <w:tcPr>
            <w:tcW w:w="770" w:type="pct"/>
            <w:vAlign w:val="center"/>
          </w:tcPr>
          <w:p w14:paraId="3EBE5E58" w14:textId="48F89CEF" w:rsidR="005C6D58" w:rsidRPr="006D4243" w:rsidRDefault="005C6D58" w:rsidP="005C6D58">
            <w:pPr>
              <w:ind w:left="110" w:hanging="110"/>
              <w:jc w:val="right"/>
              <w:rPr>
                <w:rFonts w:ascii="Arial" w:hAnsi="Arial" w:cs="Arial"/>
                <w:highlight w:val="yellow"/>
              </w:rPr>
            </w:pPr>
            <w:r w:rsidRPr="00EF42EF">
              <w:rPr>
                <w:rFonts w:ascii="Arial" w:hAnsi="Arial" w:cs="Arial"/>
              </w:rPr>
              <w:t>-</w:t>
            </w:r>
          </w:p>
        </w:tc>
        <w:tc>
          <w:tcPr>
            <w:tcW w:w="846" w:type="pct"/>
            <w:vAlign w:val="center"/>
          </w:tcPr>
          <w:p w14:paraId="28362266" w14:textId="04A959E4" w:rsidR="005C6D58" w:rsidRPr="009325A3" w:rsidRDefault="005C6D58" w:rsidP="005C6D58">
            <w:pPr>
              <w:ind w:left="110" w:hanging="110"/>
              <w:jc w:val="right"/>
              <w:rPr>
                <w:rFonts w:ascii="Arial" w:hAnsi="Arial" w:cs="Arial"/>
              </w:rPr>
            </w:pPr>
            <w:r w:rsidRPr="009325A3">
              <w:rPr>
                <w:rFonts w:ascii="Arial" w:hAnsi="Arial" w:cs="Arial"/>
              </w:rPr>
              <w:t>(12.9)%</w:t>
            </w:r>
          </w:p>
        </w:tc>
      </w:tr>
      <w:tr w:rsidR="005C6D58" w:rsidRPr="0030578B" w14:paraId="1777CFCD" w14:textId="77777777" w:rsidTr="00E21AA0">
        <w:tc>
          <w:tcPr>
            <w:tcW w:w="1153" w:type="pct"/>
          </w:tcPr>
          <w:p w14:paraId="04E0DEFA" w14:textId="77777777" w:rsidR="005C6D58" w:rsidRPr="00B46354" w:rsidRDefault="005C6D58" w:rsidP="005C6D58">
            <w:pPr>
              <w:jc w:val="left"/>
              <w:rPr>
                <w:rFonts w:ascii="Arial" w:hAnsi="Arial" w:cs="Arial"/>
                <w:lang w:val="it-IT"/>
              </w:rPr>
            </w:pPr>
            <w:r w:rsidRPr="00B46354">
              <w:rPr>
                <w:rFonts w:ascii="Arial" w:hAnsi="Arial" w:cs="Arial"/>
                <w:lang w:val="it-IT"/>
              </w:rPr>
              <w:t>Russia</w:t>
            </w:r>
          </w:p>
        </w:tc>
        <w:tc>
          <w:tcPr>
            <w:tcW w:w="847" w:type="pct"/>
          </w:tcPr>
          <w:p w14:paraId="41D6CE59" w14:textId="240CFB7A" w:rsidR="005C6D58" w:rsidRPr="00B46354" w:rsidRDefault="005C6D58" w:rsidP="005C6D58">
            <w:pPr>
              <w:ind w:left="110" w:hanging="110"/>
              <w:jc w:val="right"/>
              <w:rPr>
                <w:rFonts w:ascii="Arial" w:hAnsi="Arial" w:cs="Arial"/>
                <w:lang w:val="it-IT"/>
              </w:rPr>
            </w:pPr>
            <w:r w:rsidRPr="00B46354">
              <w:rPr>
                <w:rFonts w:ascii="Arial" w:hAnsi="Arial" w:cs="Arial"/>
                <w:lang w:val="it-IT"/>
              </w:rPr>
              <w:t>3,280</w:t>
            </w:r>
          </w:p>
        </w:tc>
        <w:tc>
          <w:tcPr>
            <w:tcW w:w="692" w:type="pct"/>
          </w:tcPr>
          <w:p w14:paraId="68B708A4" w14:textId="086BA4D1" w:rsidR="005C6D58" w:rsidRPr="00B46354" w:rsidRDefault="005C6D58" w:rsidP="005C6D58">
            <w:pPr>
              <w:ind w:left="110" w:hanging="110"/>
              <w:jc w:val="right"/>
              <w:rPr>
                <w:rFonts w:ascii="Arial" w:hAnsi="Arial" w:cs="Arial"/>
                <w:lang w:val="it-IT"/>
              </w:rPr>
            </w:pPr>
            <w:r w:rsidRPr="00B46354">
              <w:rPr>
                <w:rFonts w:ascii="Arial" w:hAnsi="Arial" w:cs="Arial"/>
                <w:lang w:val="it-IT"/>
              </w:rPr>
              <w:t>21</w:t>
            </w:r>
          </w:p>
        </w:tc>
        <w:tc>
          <w:tcPr>
            <w:tcW w:w="692" w:type="pct"/>
            <w:shd w:val="clear" w:color="auto" w:fill="auto"/>
          </w:tcPr>
          <w:p w14:paraId="50D37363" w14:textId="38AEEF12" w:rsidR="005C6D58" w:rsidRPr="00926779" w:rsidRDefault="005C6D58" w:rsidP="005C6D58">
            <w:pPr>
              <w:ind w:left="110" w:hanging="110"/>
              <w:jc w:val="right"/>
              <w:rPr>
                <w:rFonts w:ascii="Arial" w:hAnsi="Arial" w:cs="Arial"/>
                <w:lang w:val="it-IT"/>
              </w:rPr>
            </w:pPr>
            <w:r w:rsidRPr="00926779">
              <w:rPr>
                <w:rFonts w:ascii="Arial" w:hAnsi="Arial" w:cs="Arial"/>
                <w:lang w:val="it-IT"/>
              </w:rPr>
              <w:t>207</w:t>
            </w:r>
          </w:p>
        </w:tc>
        <w:tc>
          <w:tcPr>
            <w:tcW w:w="770" w:type="pct"/>
            <w:vAlign w:val="center"/>
          </w:tcPr>
          <w:p w14:paraId="5AFE87D0" w14:textId="6FEA23DE" w:rsidR="005C6D58" w:rsidRPr="006D4243" w:rsidRDefault="005C6D58" w:rsidP="005C6D58">
            <w:pPr>
              <w:ind w:left="110" w:hanging="110"/>
              <w:jc w:val="right"/>
              <w:rPr>
                <w:rFonts w:ascii="Arial" w:hAnsi="Arial" w:cs="Arial"/>
                <w:highlight w:val="yellow"/>
                <w:lang w:val="it-IT"/>
              </w:rPr>
            </w:pPr>
            <w:r w:rsidRPr="00EF42EF">
              <w:rPr>
                <w:rFonts w:ascii="Arial" w:hAnsi="Arial" w:cs="Arial"/>
              </w:rPr>
              <w:t>-</w:t>
            </w:r>
          </w:p>
        </w:tc>
        <w:tc>
          <w:tcPr>
            <w:tcW w:w="846" w:type="pct"/>
            <w:vAlign w:val="center"/>
          </w:tcPr>
          <w:p w14:paraId="71AD1126" w14:textId="50ED00F5" w:rsidR="005C6D58" w:rsidRPr="009325A3" w:rsidRDefault="007B3341" w:rsidP="005C6D58">
            <w:pPr>
              <w:ind w:left="110" w:hanging="110"/>
              <w:jc w:val="right"/>
              <w:rPr>
                <w:rFonts w:ascii="Arial" w:hAnsi="Arial" w:cs="Arial"/>
                <w:lang w:val="it-IT"/>
              </w:rPr>
            </w:pPr>
            <w:r w:rsidRPr="009325A3">
              <w:rPr>
                <w:rFonts w:ascii="Arial" w:hAnsi="Arial" w:cs="Arial"/>
              </w:rPr>
              <w:t>+</w:t>
            </w:r>
            <w:r w:rsidR="005C6D58" w:rsidRPr="009325A3">
              <w:rPr>
                <w:rFonts w:ascii="Arial" w:hAnsi="Arial" w:cs="Arial"/>
              </w:rPr>
              <w:t>0.5%</w:t>
            </w:r>
          </w:p>
        </w:tc>
      </w:tr>
      <w:tr w:rsidR="005C6D58" w:rsidRPr="0030578B" w14:paraId="1228F72F" w14:textId="77777777" w:rsidTr="00E21AA0">
        <w:tc>
          <w:tcPr>
            <w:tcW w:w="1153" w:type="pct"/>
          </w:tcPr>
          <w:p w14:paraId="6A6B9BA6" w14:textId="77777777" w:rsidR="005C6D58" w:rsidRPr="00B46354" w:rsidRDefault="005C6D58" w:rsidP="005C6D58">
            <w:pPr>
              <w:jc w:val="left"/>
              <w:rPr>
                <w:rFonts w:ascii="Arial" w:hAnsi="Arial" w:cs="Arial"/>
                <w:lang w:val="it-IT"/>
              </w:rPr>
            </w:pPr>
            <w:r w:rsidRPr="00B46354">
              <w:rPr>
                <w:rFonts w:ascii="Arial" w:hAnsi="Arial" w:cs="Arial"/>
                <w:lang w:val="it-IT"/>
              </w:rPr>
              <w:t>Spain</w:t>
            </w:r>
          </w:p>
        </w:tc>
        <w:tc>
          <w:tcPr>
            <w:tcW w:w="847" w:type="pct"/>
          </w:tcPr>
          <w:p w14:paraId="3D3F27A4" w14:textId="7888EFF9" w:rsidR="005C6D58" w:rsidRPr="00B46354" w:rsidRDefault="005C6D58">
            <w:pPr>
              <w:ind w:left="110" w:hanging="110"/>
              <w:jc w:val="right"/>
              <w:rPr>
                <w:rFonts w:ascii="Arial" w:hAnsi="Arial" w:cs="Arial"/>
                <w:lang w:val="it-IT"/>
              </w:rPr>
            </w:pPr>
            <w:r w:rsidRPr="00B46354">
              <w:rPr>
                <w:rFonts w:ascii="Arial" w:hAnsi="Arial" w:cs="Arial"/>
                <w:lang w:val="it-IT"/>
              </w:rPr>
              <w:t>1,60</w:t>
            </w:r>
            <w:r w:rsidR="005F5CCB">
              <w:rPr>
                <w:rFonts w:ascii="Arial" w:hAnsi="Arial" w:cs="Arial"/>
                <w:lang w:val="it-IT"/>
              </w:rPr>
              <w:t>2</w:t>
            </w:r>
          </w:p>
        </w:tc>
        <w:tc>
          <w:tcPr>
            <w:tcW w:w="692" w:type="pct"/>
          </w:tcPr>
          <w:p w14:paraId="3AE08D7A" w14:textId="249EA2EB" w:rsidR="005C6D58" w:rsidRPr="00B46354" w:rsidRDefault="005C6D58" w:rsidP="005C6D58">
            <w:pPr>
              <w:ind w:left="110" w:hanging="110"/>
              <w:jc w:val="right"/>
              <w:rPr>
                <w:rFonts w:ascii="Arial" w:hAnsi="Arial" w:cs="Arial"/>
                <w:lang w:val="it-IT"/>
              </w:rPr>
            </w:pPr>
            <w:r w:rsidRPr="00B46354">
              <w:rPr>
                <w:rFonts w:ascii="Arial" w:hAnsi="Arial" w:cs="Arial"/>
                <w:lang w:val="it-IT"/>
              </w:rPr>
              <w:t>28</w:t>
            </w:r>
          </w:p>
        </w:tc>
        <w:tc>
          <w:tcPr>
            <w:tcW w:w="692" w:type="pct"/>
            <w:shd w:val="clear" w:color="auto" w:fill="auto"/>
          </w:tcPr>
          <w:p w14:paraId="53A0656C" w14:textId="2A165ABC" w:rsidR="005C6D58" w:rsidRPr="00926779" w:rsidRDefault="005C6D58" w:rsidP="005C6D58">
            <w:pPr>
              <w:ind w:left="110" w:hanging="110"/>
              <w:jc w:val="right"/>
              <w:rPr>
                <w:rFonts w:ascii="Arial" w:hAnsi="Arial" w:cs="Arial"/>
                <w:lang w:val="it-IT"/>
              </w:rPr>
            </w:pPr>
            <w:r w:rsidRPr="00926779">
              <w:rPr>
                <w:rFonts w:ascii="Arial" w:hAnsi="Arial" w:cs="Arial"/>
                <w:lang w:val="it-IT"/>
              </w:rPr>
              <w:t>168</w:t>
            </w:r>
          </w:p>
        </w:tc>
        <w:tc>
          <w:tcPr>
            <w:tcW w:w="770" w:type="pct"/>
            <w:vAlign w:val="center"/>
          </w:tcPr>
          <w:p w14:paraId="4B5FD3D9" w14:textId="2D2035A4" w:rsidR="005C6D58" w:rsidRPr="006D4243" w:rsidRDefault="005C6D58" w:rsidP="005C6D58">
            <w:pPr>
              <w:ind w:left="110" w:hanging="110"/>
              <w:jc w:val="right"/>
              <w:rPr>
                <w:rFonts w:ascii="Arial" w:hAnsi="Arial" w:cs="Arial"/>
                <w:highlight w:val="yellow"/>
                <w:lang w:val="it-IT"/>
              </w:rPr>
            </w:pPr>
            <w:r w:rsidRPr="00EF42EF">
              <w:rPr>
                <w:rFonts w:ascii="Arial" w:hAnsi="Arial" w:cs="Arial"/>
              </w:rPr>
              <w:t>1</w:t>
            </w:r>
          </w:p>
        </w:tc>
        <w:tc>
          <w:tcPr>
            <w:tcW w:w="846" w:type="pct"/>
            <w:vAlign w:val="center"/>
          </w:tcPr>
          <w:p w14:paraId="364F1016" w14:textId="2F4A90B2" w:rsidR="005C6D58" w:rsidRPr="009325A3" w:rsidRDefault="007B3341" w:rsidP="005C6D58">
            <w:pPr>
              <w:ind w:left="110" w:hanging="110"/>
              <w:jc w:val="right"/>
              <w:rPr>
                <w:rFonts w:ascii="Arial" w:hAnsi="Arial" w:cs="Arial"/>
                <w:lang w:val="it-IT"/>
              </w:rPr>
            </w:pPr>
            <w:r w:rsidRPr="009325A3">
              <w:rPr>
                <w:rFonts w:ascii="Arial" w:hAnsi="Arial" w:cs="Arial"/>
              </w:rPr>
              <w:t>+</w:t>
            </w:r>
            <w:r w:rsidR="005C6D58" w:rsidRPr="009325A3">
              <w:rPr>
                <w:rFonts w:ascii="Arial" w:hAnsi="Arial" w:cs="Arial"/>
              </w:rPr>
              <w:t>3.6%</w:t>
            </w:r>
          </w:p>
        </w:tc>
      </w:tr>
      <w:tr w:rsidR="005C6D58" w:rsidRPr="0030578B" w14:paraId="49C3527D" w14:textId="77777777" w:rsidTr="00E21AA0">
        <w:tc>
          <w:tcPr>
            <w:tcW w:w="1153" w:type="pct"/>
          </w:tcPr>
          <w:p w14:paraId="489F7BB9" w14:textId="77777777" w:rsidR="005C6D58" w:rsidRPr="00B46354" w:rsidRDefault="005C6D58" w:rsidP="005C6D58">
            <w:pPr>
              <w:jc w:val="left"/>
              <w:rPr>
                <w:rFonts w:ascii="Arial" w:hAnsi="Arial" w:cs="Arial"/>
                <w:lang w:val="it-IT"/>
              </w:rPr>
            </w:pPr>
            <w:r w:rsidRPr="00B46354">
              <w:rPr>
                <w:rFonts w:ascii="Arial" w:hAnsi="Arial" w:cs="Arial"/>
                <w:lang w:val="it-IT"/>
              </w:rPr>
              <w:t>Turkey JV</w:t>
            </w:r>
          </w:p>
        </w:tc>
        <w:tc>
          <w:tcPr>
            <w:tcW w:w="847" w:type="pct"/>
          </w:tcPr>
          <w:p w14:paraId="295A4425" w14:textId="3A92BEBA" w:rsidR="005C6D58" w:rsidRPr="00B46354" w:rsidRDefault="005C6D58" w:rsidP="005C6D58">
            <w:pPr>
              <w:ind w:left="110" w:hanging="110"/>
              <w:jc w:val="right"/>
              <w:rPr>
                <w:rFonts w:ascii="Arial" w:hAnsi="Arial" w:cs="Arial"/>
                <w:lang w:val="it-IT"/>
              </w:rPr>
            </w:pPr>
            <w:r w:rsidRPr="00B46354">
              <w:rPr>
                <w:rFonts w:ascii="Arial" w:hAnsi="Arial" w:cs="Arial"/>
                <w:lang w:val="it-IT"/>
              </w:rPr>
              <w:t>3,879</w:t>
            </w:r>
          </w:p>
        </w:tc>
        <w:tc>
          <w:tcPr>
            <w:tcW w:w="692" w:type="pct"/>
          </w:tcPr>
          <w:p w14:paraId="06F5146A" w14:textId="74DCE5AA" w:rsidR="005C6D58" w:rsidRPr="00B46354" w:rsidRDefault="005C6D58" w:rsidP="005C6D58">
            <w:pPr>
              <w:ind w:left="110" w:hanging="110"/>
              <w:jc w:val="right"/>
              <w:rPr>
                <w:rFonts w:ascii="Arial" w:hAnsi="Arial" w:cs="Arial"/>
                <w:lang w:val="it-IT"/>
              </w:rPr>
            </w:pPr>
            <w:r w:rsidRPr="00B46354">
              <w:rPr>
                <w:rFonts w:ascii="Arial" w:hAnsi="Arial" w:cs="Arial"/>
                <w:lang w:val="it-IT"/>
              </w:rPr>
              <w:t>52</w:t>
            </w:r>
          </w:p>
        </w:tc>
        <w:tc>
          <w:tcPr>
            <w:tcW w:w="692" w:type="pct"/>
            <w:shd w:val="clear" w:color="auto" w:fill="auto"/>
          </w:tcPr>
          <w:p w14:paraId="031CD93D" w14:textId="36A3A5EE" w:rsidR="005C6D58" w:rsidRPr="00926779" w:rsidRDefault="005C6D58" w:rsidP="005C6D58">
            <w:pPr>
              <w:ind w:left="110" w:hanging="110"/>
              <w:jc w:val="right"/>
              <w:rPr>
                <w:rFonts w:ascii="Arial" w:hAnsi="Arial" w:cs="Arial"/>
                <w:lang w:val="it-IT"/>
              </w:rPr>
            </w:pPr>
            <w:r w:rsidRPr="00926779">
              <w:rPr>
                <w:rFonts w:ascii="Arial" w:hAnsi="Arial" w:cs="Arial"/>
                <w:lang w:val="it-IT"/>
              </w:rPr>
              <w:t>239</w:t>
            </w:r>
          </w:p>
        </w:tc>
        <w:tc>
          <w:tcPr>
            <w:tcW w:w="770" w:type="pct"/>
            <w:vAlign w:val="center"/>
          </w:tcPr>
          <w:p w14:paraId="04C6AB84" w14:textId="447F455D" w:rsidR="005C6D58" w:rsidRPr="006D4243" w:rsidRDefault="005C6D58" w:rsidP="005C6D58">
            <w:pPr>
              <w:ind w:left="110" w:hanging="110"/>
              <w:jc w:val="right"/>
              <w:rPr>
                <w:rFonts w:ascii="Arial" w:hAnsi="Arial" w:cs="Arial"/>
                <w:highlight w:val="yellow"/>
                <w:lang w:val="it-IT"/>
              </w:rPr>
            </w:pPr>
            <w:r w:rsidRPr="00EF42EF">
              <w:rPr>
                <w:rFonts w:ascii="Arial" w:hAnsi="Arial" w:cs="Arial"/>
              </w:rPr>
              <w:t>11</w:t>
            </w:r>
          </w:p>
        </w:tc>
        <w:tc>
          <w:tcPr>
            <w:tcW w:w="846" w:type="pct"/>
            <w:vAlign w:val="center"/>
          </w:tcPr>
          <w:p w14:paraId="54AE9CD4" w14:textId="5A9DC066" w:rsidR="005C6D58" w:rsidRPr="009325A3" w:rsidRDefault="007B3341" w:rsidP="005C6D58">
            <w:pPr>
              <w:ind w:left="110" w:hanging="110"/>
              <w:jc w:val="right"/>
              <w:rPr>
                <w:rFonts w:ascii="Arial" w:hAnsi="Arial" w:cs="Arial"/>
                <w:lang w:val="it-IT"/>
              </w:rPr>
            </w:pPr>
            <w:r w:rsidRPr="009325A3">
              <w:rPr>
                <w:rFonts w:ascii="Arial" w:hAnsi="Arial" w:cs="Arial"/>
              </w:rPr>
              <w:t>+</w:t>
            </w:r>
            <w:r w:rsidR="005C6D58" w:rsidRPr="009325A3">
              <w:rPr>
                <w:rFonts w:ascii="Arial" w:hAnsi="Arial" w:cs="Arial"/>
              </w:rPr>
              <w:t>9.1%</w:t>
            </w:r>
          </w:p>
        </w:tc>
      </w:tr>
      <w:tr w:rsidR="005C6D58" w:rsidRPr="0030578B" w14:paraId="32DCAF43" w14:textId="77777777" w:rsidTr="00E21AA0">
        <w:tc>
          <w:tcPr>
            <w:tcW w:w="1153" w:type="pct"/>
            <w:tcBorders>
              <w:bottom w:val="single" w:sz="4" w:space="0" w:color="auto"/>
            </w:tcBorders>
          </w:tcPr>
          <w:p w14:paraId="65405C06" w14:textId="77777777" w:rsidR="005C6D58" w:rsidRPr="00B46354" w:rsidRDefault="005C6D58" w:rsidP="005C6D58">
            <w:pPr>
              <w:jc w:val="left"/>
              <w:rPr>
                <w:rFonts w:ascii="Arial" w:hAnsi="Arial" w:cs="Arial"/>
                <w:lang w:val="it-IT"/>
              </w:rPr>
            </w:pPr>
            <w:r w:rsidRPr="00B46354">
              <w:rPr>
                <w:rFonts w:ascii="Arial" w:hAnsi="Arial" w:cs="Arial"/>
                <w:lang w:val="it-IT"/>
              </w:rPr>
              <w:t>Screwfix Germany</w:t>
            </w:r>
          </w:p>
        </w:tc>
        <w:tc>
          <w:tcPr>
            <w:tcW w:w="847" w:type="pct"/>
            <w:tcBorders>
              <w:bottom w:val="single" w:sz="4" w:space="0" w:color="auto"/>
            </w:tcBorders>
          </w:tcPr>
          <w:p w14:paraId="7117517B" w14:textId="2AABAE07" w:rsidR="005C6D58" w:rsidRPr="00B46354" w:rsidRDefault="005C6D58" w:rsidP="005C6D58">
            <w:pPr>
              <w:ind w:left="110" w:hanging="110"/>
              <w:jc w:val="right"/>
              <w:rPr>
                <w:rFonts w:ascii="Arial" w:hAnsi="Arial" w:cs="Arial"/>
                <w:lang w:val="it-IT"/>
              </w:rPr>
            </w:pPr>
            <w:r w:rsidRPr="00B46354">
              <w:rPr>
                <w:rFonts w:ascii="Arial" w:hAnsi="Arial" w:cs="Arial"/>
                <w:lang w:val="it-IT"/>
              </w:rPr>
              <w:t>68</w:t>
            </w:r>
          </w:p>
        </w:tc>
        <w:tc>
          <w:tcPr>
            <w:tcW w:w="692" w:type="pct"/>
            <w:tcBorders>
              <w:bottom w:val="single" w:sz="4" w:space="0" w:color="auto"/>
            </w:tcBorders>
          </w:tcPr>
          <w:p w14:paraId="269DCCD4" w14:textId="17400ED3" w:rsidR="005C6D58" w:rsidRPr="00B46354" w:rsidRDefault="005C6D58" w:rsidP="005C6D58">
            <w:pPr>
              <w:ind w:left="110" w:hanging="110"/>
              <w:jc w:val="right"/>
              <w:rPr>
                <w:rFonts w:ascii="Arial" w:hAnsi="Arial" w:cs="Arial"/>
                <w:lang w:val="it-IT"/>
              </w:rPr>
            </w:pPr>
            <w:r w:rsidRPr="00B46354">
              <w:rPr>
                <w:rFonts w:ascii="Arial" w:hAnsi="Arial" w:cs="Arial"/>
                <w:lang w:val="it-IT"/>
              </w:rPr>
              <w:t>4</w:t>
            </w:r>
          </w:p>
        </w:tc>
        <w:tc>
          <w:tcPr>
            <w:tcW w:w="692" w:type="pct"/>
            <w:tcBorders>
              <w:bottom w:val="single" w:sz="4" w:space="0" w:color="auto"/>
            </w:tcBorders>
            <w:shd w:val="clear" w:color="auto" w:fill="auto"/>
          </w:tcPr>
          <w:p w14:paraId="0EC79F49" w14:textId="5E786CB4" w:rsidR="005C6D58" w:rsidRPr="00926779" w:rsidRDefault="00690777" w:rsidP="005C6D58">
            <w:pPr>
              <w:ind w:left="110" w:hanging="110"/>
              <w:jc w:val="right"/>
              <w:rPr>
                <w:rFonts w:ascii="Arial" w:hAnsi="Arial" w:cs="Arial"/>
                <w:lang w:val="it-IT"/>
              </w:rPr>
            </w:pPr>
            <w:r>
              <w:rPr>
                <w:rFonts w:ascii="Arial" w:hAnsi="Arial" w:cs="Arial"/>
                <w:lang w:val="it-IT"/>
              </w:rPr>
              <w:t>1</w:t>
            </w:r>
            <w:r w:rsidR="00B8611D" w:rsidRPr="00EF42EF">
              <w:rPr>
                <w:rFonts w:ascii="Arial" w:hAnsi="Arial" w:cs="Arial"/>
                <w:vertAlign w:val="superscript"/>
                <w:lang w:val="it-IT"/>
              </w:rPr>
              <w:t>(4)</w:t>
            </w:r>
          </w:p>
        </w:tc>
        <w:tc>
          <w:tcPr>
            <w:tcW w:w="770" w:type="pct"/>
            <w:tcBorders>
              <w:bottom w:val="single" w:sz="4" w:space="0" w:color="auto"/>
            </w:tcBorders>
            <w:vAlign w:val="center"/>
          </w:tcPr>
          <w:p w14:paraId="1B3664D3" w14:textId="2834CB0C" w:rsidR="005C6D58" w:rsidRPr="006D4243" w:rsidRDefault="005C6D58" w:rsidP="005C6D58">
            <w:pPr>
              <w:ind w:left="110" w:hanging="110"/>
              <w:jc w:val="right"/>
              <w:rPr>
                <w:rFonts w:ascii="Arial" w:hAnsi="Arial" w:cs="Arial"/>
                <w:highlight w:val="yellow"/>
                <w:lang w:val="it-IT"/>
              </w:rPr>
            </w:pPr>
            <w:r w:rsidRPr="00EF42EF">
              <w:rPr>
                <w:rFonts w:ascii="Arial" w:hAnsi="Arial" w:cs="Arial"/>
              </w:rPr>
              <w:t>5</w:t>
            </w:r>
          </w:p>
        </w:tc>
        <w:tc>
          <w:tcPr>
            <w:tcW w:w="846" w:type="pct"/>
            <w:tcBorders>
              <w:bottom w:val="single" w:sz="4" w:space="0" w:color="auto"/>
            </w:tcBorders>
            <w:vAlign w:val="center"/>
          </w:tcPr>
          <w:p w14:paraId="10C6BA10" w14:textId="4CEF2868" w:rsidR="005C6D58" w:rsidRPr="009325A3" w:rsidRDefault="00DF1D0B" w:rsidP="005C6D58">
            <w:pPr>
              <w:ind w:left="110" w:hanging="110"/>
              <w:jc w:val="right"/>
              <w:rPr>
                <w:rFonts w:ascii="Arial" w:hAnsi="Arial" w:cs="Arial"/>
                <w:lang w:val="it-IT"/>
              </w:rPr>
            </w:pPr>
            <w:r w:rsidRPr="009325A3">
              <w:rPr>
                <w:rFonts w:ascii="Arial" w:hAnsi="Arial" w:cs="Arial"/>
              </w:rPr>
              <w:t>-</w:t>
            </w:r>
          </w:p>
        </w:tc>
      </w:tr>
      <w:tr w:rsidR="005C6D58" w:rsidRPr="0030578B" w14:paraId="2824DD67" w14:textId="77777777" w:rsidTr="00EF42EF">
        <w:tc>
          <w:tcPr>
            <w:tcW w:w="1153" w:type="pct"/>
            <w:tcBorders>
              <w:top w:val="single" w:sz="4" w:space="0" w:color="auto"/>
              <w:bottom w:val="single" w:sz="4" w:space="0" w:color="auto"/>
            </w:tcBorders>
          </w:tcPr>
          <w:p w14:paraId="573C60B3" w14:textId="77777777" w:rsidR="005C6D58" w:rsidRPr="00B46354" w:rsidRDefault="005C6D58" w:rsidP="005C6D58">
            <w:pPr>
              <w:jc w:val="left"/>
              <w:rPr>
                <w:rFonts w:ascii="Arial" w:hAnsi="Arial" w:cs="Arial"/>
                <w:b/>
                <w:bCs/>
              </w:rPr>
            </w:pPr>
            <w:r w:rsidRPr="00B46354">
              <w:rPr>
                <w:rFonts w:ascii="Arial" w:hAnsi="Arial" w:cs="Arial"/>
                <w:b/>
                <w:bCs/>
              </w:rPr>
              <w:t>Other International</w:t>
            </w:r>
          </w:p>
        </w:tc>
        <w:tc>
          <w:tcPr>
            <w:tcW w:w="847" w:type="pct"/>
            <w:tcBorders>
              <w:top w:val="single" w:sz="4" w:space="0" w:color="auto"/>
              <w:bottom w:val="single" w:sz="4" w:space="0" w:color="auto"/>
            </w:tcBorders>
          </w:tcPr>
          <w:p w14:paraId="4256982E" w14:textId="12F528EA" w:rsidR="005C6D58" w:rsidRPr="00B46354" w:rsidRDefault="005C6D58" w:rsidP="005C6D58">
            <w:pPr>
              <w:ind w:left="110" w:hanging="110"/>
              <w:jc w:val="right"/>
              <w:rPr>
                <w:rFonts w:ascii="Arial" w:hAnsi="Arial" w:cs="Arial"/>
                <w:b/>
                <w:bCs/>
              </w:rPr>
            </w:pPr>
            <w:r w:rsidRPr="00B46354">
              <w:rPr>
                <w:rFonts w:ascii="Arial" w:hAnsi="Arial" w:cs="Arial"/>
                <w:b/>
                <w:bCs/>
              </w:rPr>
              <w:t>20,437</w:t>
            </w:r>
          </w:p>
        </w:tc>
        <w:tc>
          <w:tcPr>
            <w:tcW w:w="692" w:type="pct"/>
            <w:tcBorders>
              <w:top w:val="single" w:sz="4" w:space="0" w:color="auto"/>
              <w:bottom w:val="single" w:sz="4" w:space="0" w:color="auto"/>
            </w:tcBorders>
          </w:tcPr>
          <w:p w14:paraId="0F18FECC" w14:textId="596391DC" w:rsidR="005C6D58" w:rsidRPr="00B46354" w:rsidRDefault="005C6D58" w:rsidP="005C6D58">
            <w:pPr>
              <w:ind w:left="110" w:hanging="110"/>
              <w:jc w:val="right"/>
              <w:rPr>
                <w:rFonts w:ascii="Arial" w:hAnsi="Arial" w:cs="Arial"/>
                <w:b/>
                <w:bCs/>
              </w:rPr>
            </w:pPr>
            <w:r w:rsidRPr="00B46354">
              <w:rPr>
                <w:rFonts w:ascii="Arial" w:hAnsi="Arial" w:cs="Arial"/>
                <w:b/>
                <w:bCs/>
              </w:rPr>
              <w:t>193</w:t>
            </w:r>
          </w:p>
        </w:tc>
        <w:tc>
          <w:tcPr>
            <w:tcW w:w="692" w:type="pct"/>
            <w:tcBorders>
              <w:top w:val="single" w:sz="4" w:space="0" w:color="auto"/>
              <w:bottom w:val="single" w:sz="4" w:space="0" w:color="auto"/>
            </w:tcBorders>
            <w:shd w:val="clear" w:color="auto" w:fill="auto"/>
          </w:tcPr>
          <w:p w14:paraId="4CF382AB" w14:textId="0DEDF0A8" w:rsidR="005C6D58" w:rsidRPr="00926779" w:rsidRDefault="005C6D58" w:rsidP="005C6D58">
            <w:pPr>
              <w:ind w:left="110" w:hanging="110"/>
              <w:jc w:val="right"/>
              <w:rPr>
                <w:rFonts w:ascii="Arial" w:hAnsi="Arial" w:cs="Arial"/>
                <w:b/>
                <w:bCs/>
              </w:rPr>
            </w:pPr>
            <w:r w:rsidRPr="00926779">
              <w:rPr>
                <w:rFonts w:ascii="Arial" w:hAnsi="Arial" w:cs="Arial"/>
                <w:b/>
                <w:bCs/>
              </w:rPr>
              <w:t>1,35</w:t>
            </w:r>
            <w:r w:rsidR="00690777">
              <w:rPr>
                <w:rFonts w:ascii="Arial" w:hAnsi="Arial" w:cs="Arial"/>
                <w:b/>
                <w:bCs/>
              </w:rPr>
              <w:t>1</w:t>
            </w:r>
          </w:p>
        </w:tc>
        <w:tc>
          <w:tcPr>
            <w:tcW w:w="770" w:type="pct"/>
            <w:tcBorders>
              <w:top w:val="single" w:sz="4" w:space="0" w:color="auto"/>
              <w:bottom w:val="single" w:sz="4" w:space="0" w:color="auto"/>
            </w:tcBorders>
          </w:tcPr>
          <w:p w14:paraId="34E8BA8E" w14:textId="18FBEE21" w:rsidR="005C6D58" w:rsidRPr="00EF42EF" w:rsidRDefault="005C6D58">
            <w:pPr>
              <w:ind w:left="110" w:hanging="110"/>
              <w:jc w:val="right"/>
              <w:rPr>
                <w:rFonts w:ascii="Arial" w:hAnsi="Arial" w:cs="Arial"/>
                <w:b/>
                <w:bCs/>
              </w:rPr>
            </w:pPr>
            <w:r w:rsidRPr="00EF42EF">
              <w:rPr>
                <w:rFonts w:ascii="Arial" w:hAnsi="Arial" w:cs="Arial"/>
                <w:b/>
                <w:bCs/>
              </w:rPr>
              <w:t>18</w:t>
            </w:r>
          </w:p>
        </w:tc>
        <w:tc>
          <w:tcPr>
            <w:tcW w:w="846" w:type="pct"/>
            <w:tcBorders>
              <w:top w:val="single" w:sz="4" w:space="0" w:color="auto"/>
              <w:bottom w:val="single" w:sz="4" w:space="0" w:color="auto"/>
            </w:tcBorders>
          </w:tcPr>
          <w:p w14:paraId="5F49AAA8" w14:textId="70EAEAAF" w:rsidR="005C6D58" w:rsidRPr="009325A3" w:rsidRDefault="007B3341" w:rsidP="00EF42EF">
            <w:pPr>
              <w:ind w:firstLine="108"/>
              <w:jc w:val="right"/>
              <w:rPr>
                <w:rFonts w:ascii="Arial" w:hAnsi="Arial" w:cs="Arial"/>
                <w:b/>
                <w:bCs/>
              </w:rPr>
            </w:pPr>
            <w:r w:rsidRPr="009325A3">
              <w:rPr>
                <w:rFonts w:ascii="Arial" w:hAnsi="Arial" w:cs="Arial"/>
                <w:b/>
                <w:bCs/>
              </w:rPr>
              <w:t>+</w:t>
            </w:r>
            <w:r w:rsidR="005C6D58" w:rsidRPr="009325A3">
              <w:rPr>
                <w:rFonts w:ascii="Arial" w:hAnsi="Arial" w:cs="Arial"/>
                <w:b/>
                <w:bCs/>
              </w:rPr>
              <w:t>1.</w:t>
            </w:r>
            <w:r w:rsidR="00DF1D0B" w:rsidRPr="009325A3">
              <w:rPr>
                <w:rFonts w:ascii="Arial" w:hAnsi="Arial" w:cs="Arial"/>
                <w:b/>
                <w:bCs/>
              </w:rPr>
              <w:t>5</w:t>
            </w:r>
            <w:r w:rsidR="005C6D58" w:rsidRPr="009325A3">
              <w:rPr>
                <w:rFonts w:ascii="Arial" w:hAnsi="Arial" w:cs="Arial"/>
                <w:b/>
                <w:bCs/>
              </w:rPr>
              <w:t>%</w:t>
            </w:r>
          </w:p>
        </w:tc>
      </w:tr>
      <w:tr w:rsidR="005C6D58" w:rsidRPr="0030578B" w14:paraId="7C388DA0" w14:textId="77777777" w:rsidTr="00E21AA0">
        <w:tc>
          <w:tcPr>
            <w:tcW w:w="1153" w:type="pct"/>
            <w:tcBorders>
              <w:top w:val="single" w:sz="4" w:space="0" w:color="auto"/>
              <w:bottom w:val="single" w:sz="4" w:space="0" w:color="auto"/>
            </w:tcBorders>
          </w:tcPr>
          <w:p w14:paraId="294E8140" w14:textId="77777777" w:rsidR="005C6D58" w:rsidRPr="00B46354" w:rsidRDefault="005C6D58" w:rsidP="005C6D58">
            <w:pPr>
              <w:spacing w:before="100"/>
              <w:ind w:left="108" w:hanging="108"/>
              <w:jc w:val="left"/>
              <w:rPr>
                <w:rFonts w:ascii="Arial" w:hAnsi="Arial" w:cs="Arial"/>
                <w:b/>
                <w:bCs/>
              </w:rPr>
            </w:pPr>
            <w:r w:rsidRPr="00B46354">
              <w:rPr>
                <w:rFonts w:ascii="Arial" w:hAnsi="Arial" w:cs="Arial"/>
                <w:b/>
                <w:bCs/>
              </w:rPr>
              <w:t>Total Group</w:t>
            </w:r>
          </w:p>
        </w:tc>
        <w:tc>
          <w:tcPr>
            <w:tcW w:w="847" w:type="pct"/>
            <w:tcBorders>
              <w:top w:val="single" w:sz="4" w:space="0" w:color="auto"/>
              <w:bottom w:val="single" w:sz="4" w:space="0" w:color="auto"/>
            </w:tcBorders>
          </w:tcPr>
          <w:p w14:paraId="43C13D01" w14:textId="4088E3E2" w:rsidR="005C6D58" w:rsidRPr="00B46354" w:rsidRDefault="005C6D58" w:rsidP="00031E2E">
            <w:pPr>
              <w:spacing w:before="100"/>
              <w:ind w:left="108" w:hanging="108"/>
              <w:jc w:val="right"/>
              <w:rPr>
                <w:rFonts w:ascii="Arial" w:hAnsi="Arial" w:cs="Arial"/>
                <w:b/>
                <w:bCs/>
              </w:rPr>
            </w:pPr>
            <w:r w:rsidRPr="00B46354">
              <w:rPr>
                <w:rFonts w:ascii="Arial" w:hAnsi="Arial" w:cs="Arial"/>
                <w:b/>
                <w:bCs/>
              </w:rPr>
              <w:t>66,</w:t>
            </w:r>
            <w:r w:rsidR="00031E2E" w:rsidRPr="00B46354">
              <w:rPr>
                <w:rFonts w:ascii="Arial" w:hAnsi="Arial" w:cs="Arial"/>
                <w:b/>
                <w:bCs/>
              </w:rPr>
              <w:t>59</w:t>
            </w:r>
            <w:r w:rsidR="00031E2E">
              <w:rPr>
                <w:rFonts w:ascii="Arial" w:hAnsi="Arial" w:cs="Arial"/>
                <w:b/>
                <w:bCs/>
              </w:rPr>
              <w:t>4</w:t>
            </w:r>
          </w:p>
        </w:tc>
        <w:tc>
          <w:tcPr>
            <w:tcW w:w="692" w:type="pct"/>
            <w:tcBorders>
              <w:top w:val="single" w:sz="4" w:space="0" w:color="auto"/>
              <w:bottom w:val="single" w:sz="4" w:space="0" w:color="auto"/>
            </w:tcBorders>
          </w:tcPr>
          <w:p w14:paraId="674E3783" w14:textId="5BDF7C5D" w:rsidR="005C6D58" w:rsidRPr="00B46354" w:rsidRDefault="005C6D58" w:rsidP="005C6D58">
            <w:pPr>
              <w:spacing w:before="100"/>
              <w:ind w:left="108" w:hanging="108"/>
              <w:jc w:val="right"/>
              <w:rPr>
                <w:rFonts w:ascii="Arial" w:hAnsi="Arial" w:cs="Arial"/>
                <w:b/>
                <w:bCs/>
              </w:rPr>
            </w:pPr>
            <w:r w:rsidRPr="00B46354">
              <w:rPr>
                <w:rFonts w:ascii="Arial" w:hAnsi="Arial" w:cs="Arial"/>
                <w:b/>
                <w:bCs/>
              </w:rPr>
              <w:t>1,178</w:t>
            </w:r>
          </w:p>
        </w:tc>
        <w:tc>
          <w:tcPr>
            <w:tcW w:w="692" w:type="pct"/>
            <w:tcBorders>
              <w:top w:val="single" w:sz="4" w:space="0" w:color="auto"/>
              <w:bottom w:val="single" w:sz="4" w:space="0" w:color="auto"/>
            </w:tcBorders>
            <w:shd w:val="clear" w:color="auto" w:fill="auto"/>
          </w:tcPr>
          <w:p w14:paraId="3EB488DD" w14:textId="5E9B26D9" w:rsidR="005C6D58" w:rsidRPr="00926779" w:rsidRDefault="00690777" w:rsidP="005C6D58">
            <w:pPr>
              <w:spacing w:before="100"/>
              <w:ind w:left="108" w:hanging="108"/>
              <w:jc w:val="right"/>
              <w:rPr>
                <w:rFonts w:ascii="Arial" w:hAnsi="Arial" w:cs="Arial"/>
                <w:b/>
                <w:bCs/>
              </w:rPr>
            </w:pPr>
            <w:r>
              <w:rPr>
                <w:rFonts w:ascii="Arial" w:hAnsi="Arial" w:cs="Arial"/>
                <w:b/>
                <w:bCs/>
              </w:rPr>
              <w:t>5,964</w:t>
            </w:r>
          </w:p>
        </w:tc>
        <w:tc>
          <w:tcPr>
            <w:tcW w:w="770" w:type="pct"/>
            <w:tcBorders>
              <w:top w:val="single" w:sz="4" w:space="0" w:color="auto"/>
              <w:bottom w:val="single" w:sz="4" w:space="0" w:color="auto"/>
            </w:tcBorders>
            <w:vAlign w:val="center"/>
          </w:tcPr>
          <w:p w14:paraId="2EF34BD2" w14:textId="386B1B45" w:rsidR="005C6D58" w:rsidRPr="006D4243" w:rsidRDefault="005F5CCB">
            <w:pPr>
              <w:spacing w:before="100"/>
              <w:ind w:left="108" w:hanging="108"/>
              <w:jc w:val="right"/>
              <w:rPr>
                <w:rFonts w:ascii="Arial" w:hAnsi="Arial" w:cs="Arial"/>
                <w:b/>
                <w:bCs/>
                <w:highlight w:val="yellow"/>
              </w:rPr>
            </w:pPr>
            <w:r>
              <w:rPr>
                <w:rFonts w:ascii="Arial" w:hAnsi="Arial" w:cs="Arial"/>
                <w:b/>
                <w:bCs/>
              </w:rPr>
              <w:t>51</w:t>
            </w:r>
          </w:p>
        </w:tc>
        <w:tc>
          <w:tcPr>
            <w:tcW w:w="846" w:type="pct"/>
            <w:tcBorders>
              <w:top w:val="single" w:sz="4" w:space="0" w:color="auto"/>
              <w:bottom w:val="single" w:sz="4" w:space="0" w:color="auto"/>
            </w:tcBorders>
            <w:vAlign w:val="center"/>
          </w:tcPr>
          <w:p w14:paraId="46B08058" w14:textId="714F4915" w:rsidR="005C6D58" w:rsidRPr="009325A3" w:rsidRDefault="005C6D58" w:rsidP="009325A3">
            <w:pPr>
              <w:spacing w:before="100"/>
              <w:ind w:left="108" w:hanging="108"/>
              <w:jc w:val="right"/>
              <w:rPr>
                <w:rFonts w:ascii="Arial" w:hAnsi="Arial" w:cs="Arial"/>
                <w:b/>
                <w:bCs/>
              </w:rPr>
            </w:pPr>
            <w:r w:rsidRPr="009325A3">
              <w:rPr>
                <w:rFonts w:ascii="Arial" w:hAnsi="Arial" w:cs="Arial"/>
                <w:b/>
                <w:bCs/>
              </w:rPr>
              <w:t>(</w:t>
            </w:r>
            <w:r w:rsidR="00DF1D0B" w:rsidRPr="009325A3">
              <w:rPr>
                <w:rFonts w:ascii="Arial" w:hAnsi="Arial" w:cs="Arial"/>
                <w:b/>
                <w:bCs/>
              </w:rPr>
              <w:t>2.</w:t>
            </w:r>
            <w:r w:rsidR="009E776C" w:rsidRPr="009325A3">
              <w:rPr>
                <w:rFonts w:ascii="Arial" w:hAnsi="Arial" w:cs="Arial"/>
                <w:b/>
                <w:bCs/>
              </w:rPr>
              <w:t>1</w:t>
            </w:r>
            <w:r w:rsidRPr="009325A3">
              <w:rPr>
                <w:rFonts w:ascii="Arial" w:hAnsi="Arial" w:cs="Arial"/>
                <w:b/>
                <w:bCs/>
              </w:rPr>
              <w:t>)%</w:t>
            </w:r>
          </w:p>
        </w:tc>
      </w:tr>
    </w:tbl>
    <w:p w14:paraId="156AFB8F" w14:textId="09C0CDB5" w:rsidR="00781C5B" w:rsidRPr="00926779" w:rsidRDefault="0030578B" w:rsidP="003A5261">
      <w:pPr>
        <w:jc w:val="left"/>
        <w:rPr>
          <w:rFonts w:ascii="Arial" w:hAnsi="Arial" w:cs="Arial"/>
          <w:sz w:val="18"/>
          <w:szCs w:val="18"/>
        </w:rPr>
      </w:pPr>
      <w:bookmarkStart w:id="4" w:name="OLE_LINK1"/>
      <w:bookmarkStart w:id="5" w:name="OLE_LINK2"/>
      <w:r w:rsidRPr="00926779">
        <w:rPr>
          <w:rFonts w:ascii="Arial" w:hAnsi="Arial" w:cs="Arial"/>
          <w:bCs/>
          <w:vertAlign w:val="superscript"/>
        </w:rPr>
        <w:t>(1)</w:t>
      </w:r>
      <w:r w:rsidR="003A5261" w:rsidRPr="00926779">
        <w:rPr>
          <w:rFonts w:ascii="Arial" w:hAnsi="Arial" w:cs="Arial"/>
          <w:bCs/>
          <w:vertAlign w:val="superscript"/>
        </w:rPr>
        <w:t xml:space="preserve"> </w:t>
      </w:r>
      <w:r w:rsidR="003A5261" w:rsidRPr="00926779">
        <w:rPr>
          <w:rFonts w:ascii="Arial" w:hAnsi="Arial" w:cs="Arial"/>
          <w:sz w:val="18"/>
          <w:szCs w:val="18"/>
        </w:rPr>
        <w:t>As part of ‘O</w:t>
      </w:r>
      <w:r w:rsidR="009A7B49" w:rsidRPr="00926779">
        <w:rPr>
          <w:rFonts w:ascii="Arial" w:hAnsi="Arial" w:cs="Arial"/>
          <w:sz w:val="18"/>
          <w:szCs w:val="18"/>
        </w:rPr>
        <w:t>NE</w:t>
      </w:r>
      <w:r w:rsidR="003A5261" w:rsidRPr="00926779">
        <w:rPr>
          <w:rFonts w:ascii="Arial" w:hAnsi="Arial" w:cs="Arial"/>
          <w:sz w:val="18"/>
          <w:szCs w:val="18"/>
        </w:rPr>
        <w:t>’ Kingfisher a review of sales area reporting</w:t>
      </w:r>
      <w:r w:rsidR="009A7B49">
        <w:rPr>
          <w:rFonts w:ascii="Arial" w:hAnsi="Arial" w:cs="Arial"/>
          <w:sz w:val="18"/>
          <w:szCs w:val="18"/>
        </w:rPr>
        <w:t xml:space="preserve"> has been undertaken</w:t>
      </w:r>
      <w:r w:rsidR="003A5261" w:rsidRPr="00926779">
        <w:rPr>
          <w:rFonts w:ascii="Arial" w:hAnsi="Arial" w:cs="Arial"/>
          <w:sz w:val="18"/>
          <w:szCs w:val="18"/>
        </w:rPr>
        <w:t xml:space="preserve"> to ensure consistency across our operating companies. Restatements of Kingfisher’s quarterly space for the previous 3 years are available in data tables at: </w:t>
      </w:r>
      <w:hyperlink r:id="rId10" w:history="1">
        <w:r w:rsidR="00781C5B" w:rsidRPr="00781C5B">
          <w:rPr>
            <w:rStyle w:val="Hyperlink"/>
            <w:rFonts w:ascii="Arial" w:hAnsi="Arial" w:cs="Arial"/>
            <w:iCs/>
            <w:sz w:val="18"/>
            <w:szCs w:val="18"/>
          </w:rPr>
          <w:t>www.kingfisher.com/index.asp?pageid=59</w:t>
        </w:r>
      </w:hyperlink>
    </w:p>
    <w:p w14:paraId="209E3547" w14:textId="1A0D432E" w:rsidR="0030578B" w:rsidRPr="00926779" w:rsidRDefault="003A5261" w:rsidP="0030578B">
      <w:pPr>
        <w:jc w:val="left"/>
        <w:rPr>
          <w:rFonts w:ascii="Arial" w:hAnsi="Arial" w:cs="Arial"/>
          <w:bCs/>
          <w:vertAlign w:val="superscript"/>
        </w:rPr>
      </w:pPr>
      <w:r w:rsidRPr="00926779">
        <w:rPr>
          <w:rFonts w:ascii="Arial" w:hAnsi="Arial" w:cs="Arial"/>
          <w:bCs/>
          <w:vertAlign w:val="superscript"/>
        </w:rPr>
        <w:t>(2)</w:t>
      </w:r>
      <w:r w:rsidRPr="00926779">
        <w:rPr>
          <w:rFonts w:ascii="Arial" w:hAnsi="Arial" w:cs="Arial"/>
          <w:bCs/>
          <w:sz w:val="18"/>
          <w:szCs w:val="18"/>
          <w:vertAlign w:val="superscript"/>
        </w:rPr>
        <w:t xml:space="preserve"> </w:t>
      </w:r>
      <w:proofErr w:type="spellStart"/>
      <w:r w:rsidR="0030578B" w:rsidRPr="00926779">
        <w:rPr>
          <w:rFonts w:ascii="Arial" w:hAnsi="Arial" w:cs="Arial"/>
          <w:sz w:val="18"/>
          <w:szCs w:val="18"/>
        </w:rPr>
        <w:t>Castorama</w:t>
      </w:r>
      <w:proofErr w:type="spellEnd"/>
      <w:r w:rsidR="0030578B" w:rsidRPr="00926779">
        <w:rPr>
          <w:rFonts w:ascii="Arial" w:hAnsi="Arial" w:cs="Arial"/>
          <w:sz w:val="18"/>
          <w:szCs w:val="18"/>
        </w:rPr>
        <w:t xml:space="preserve"> France store transfer to </w:t>
      </w:r>
      <w:proofErr w:type="spellStart"/>
      <w:r w:rsidR="0030578B" w:rsidRPr="00926779">
        <w:rPr>
          <w:rFonts w:ascii="Arial" w:hAnsi="Arial" w:cs="Arial"/>
          <w:sz w:val="18"/>
          <w:szCs w:val="18"/>
        </w:rPr>
        <w:t>Brico</w:t>
      </w:r>
      <w:proofErr w:type="spellEnd"/>
      <w:r w:rsidR="0030578B" w:rsidRPr="00926779">
        <w:rPr>
          <w:rFonts w:ascii="Arial" w:hAnsi="Arial" w:cs="Arial"/>
          <w:sz w:val="18"/>
          <w:szCs w:val="18"/>
        </w:rPr>
        <w:t xml:space="preserve"> </w:t>
      </w:r>
      <w:proofErr w:type="spellStart"/>
      <w:r w:rsidR="0030578B" w:rsidRPr="00926779">
        <w:rPr>
          <w:rFonts w:ascii="Arial" w:hAnsi="Arial" w:cs="Arial"/>
          <w:sz w:val="18"/>
          <w:szCs w:val="18"/>
        </w:rPr>
        <w:t>Dépôt</w:t>
      </w:r>
      <w:proofErr w:type="spellEnd"/>
      <w:r w:rsidR="00833B9B">
        <w:rPr>
          <w:rFonts w:ascii="Arial" w:hAnsi="Arial" w:cs="Arial"/>
          <w:sz w:val="18"/>
          <w:szCs w:val="18"/>
        </w:rPr>
        <w:t>, announced closures will not take place in FY 2015/16</w:t>
      </w:r>
      <w:r w:rsidRPr="00926779">
        <w:rPr>
          <w:rFonts w:ascii="Arial" w:hAnsi="Arial" w:cs="Arial"/>
          <w:sz w:val="18"/>
          <w:szCs w:val="18"/>
        </w:rPr>
        <w:t xml:space="preserve"> </w:t>
      </w:r>
    </w:p>
    <w:p w14:paraId="708F254D" w14:textId="3E96DC74" w:rsidR="00B8611D" w:rsidRDefault="003A5261" w:rsidP="0030578B">
      <w:pPr>
        <w:jc w:val="left"/>
        <w:rPr>
          <w:rFonts w:ascii="Arial" w:hAnsi="Arial" w:cs="Arial"/>
          <w:sz w:val="18"/>
          <w:szCs w:val="18"/>
        </w:rPr>
      </w:pPr>
      <w:r w:rsidRPr="00926779">
        <w:rPr>
          <w:rFonts w:ascii="Arial" w:hAnsi="Arial" w:cs="Arial"/>
          <w:bCs/>
          <w:vertAlign w:val="superscript"/>
        </w:rPr>
        <w:t xml:space="preserve">(3) </w:t>
      </w:r>
      <w:r w:rsidR="0030578B" w:rsidRPr="00926779">
        <w:rPr>
          <w:rFonts w:ascii="Arial" w:hAnsi="Arial" w:cs="Arial"/>
          <w:sz w:val="18"/>
          <w:szCs w:val="18"/>
        </w:rPr>
        <w:t>Store closures expected to take place towards the end of FY 2015/16</w:t>
      </w:r>
      <w:r>
        <w:rPr>
          <w:rFonts w:ascii="Arial" w:hAnsi="Arial" w:cs="Arial"/>
          <w:sz w:val="18"/>
          <w:szCs w:val="18"/>
        </w:rPr>
        <w:t xml:space="preserve"> </w:t>
      </w:r>
    </w:p>
    <w:p w14:paraId="4B80423C" w14:textId="66688813" w:rsidR="00B8611D" w:rsidRPr="00EF42EF" w:rsidRDefault="00B8611D" w:rsidP="0030578B">
      <w:pPr>
        <w:jc w:val="left"/>
        <w:rPr>
          <w:rFonts w:ascii="Arial" w:hAnsi="Arial" w:cs="Arial"/>
          <w:sz w:val="18"/>
          <w:szCs w:val="18"/>
        </w:rPr>
      </w:pPr>
      <w:r>
        <w:rPr>
          <w:rFonts w:ascii="Arial" w:hAnsi="Arial" w:cs="Arial"/>
          <w:bCs/>
          <w:vertAlign w:val="superscript"/>
        </w:rPr>
        <w:t>(4</w:t>
      </w:r>
      <w:r w:rsidRPr="00926779">
        <w:rPr>
          <w:rFonts w:ascii="Arial" w:hAnsi="Arial" w:cs="Arial"/>
          <w:bCs/>
          <w:vertAlign w:val="superscript"/>
        </w:rPr>
        <w:t xml:space="preserve">) </w:t>
      </w:r>
      <w:r>
        <w:rPr>
          <w:rFonts w:ascii="Arial" w:hAnsi="Arial" w:cs="Arial"/>
          <w:sz w:val="18"/>
          <w:szCs w:val="18"/>
        </w:rPr>
        <w:t>Screwfix sales area relates to the front of counter area of an outlet</w:t>
      </w:r>
    </w:p>
    <w:p w14:paraId="60C57EDA" w14:textId="77777777" w:rsidR="0030578B" w:rsidRDefault="0030578B" w:rsidP="0030578B">
      <w:pPr>
        <w:pStyle w:val="ListParagraph"/>
        <w:jc w:val="left"/>
        <w:rPr>
          <w:rFonts w:ascii="Arial" w:hAnsi="Arial" w:cs="Arial"/>
          <w:bCs/>
          <w:sz w:val="24"/>
          <w:szCs w:val="24"/>
        </w:rPr>
      </w:pPr>
    </w:p>
    <w:p w14:paraId="13A06B68" w14:textId="77777777" w:rsidR="0030578B" w:rsidRDefault="0030578B" w:rsidP="0030578B">
      <w:pPr>
        <w:pStyle w:val="ListParagraph"/>
        <w:numPr>
          <w:ilvl w:val="0"/>
          <w:numId w:val="4"/>
        </w:numPr>
        <w:jc w:val="left"/>
        <w:rPr>
          <w:rFonts w:ascii="Arial" w:hAnsi="Arial" w:cs="Arial"/>
          <w:bCs/>
          <w:sz w:val="24"/>
          <w:szCs w:val="24"/>
        </w:rPr>
      </w:pPr>
      <w:r>
        <w:rPr>
          <w:rFonts w:ascii="Arial" w:hAnsi="Arial" w:cs="Arial"/>
          <w:bCs/>
          <w:sz w:val="24"/>
          <w:szCs w:val="24"/>
        </w:rPr>
        <w:t>Income statement:</w:t>
      </w:r>
    </w:p>
    <w:p w14:paraId="0C453213" w14:textId="77777777" w:rsidR="0030578B" w:rsidRDefault="0030578B" w:rsidP="0030578B">
      <w:pPr>
        <w:pStyle w:val="ListParagraph"/>
        <w:jc w:val="left"/>
        <w:rPr>
          <w:rFonts w:ascii="Arial" w:hAnsi="Arial" w:cs="Arial"/>
          <w:bCs/>
          <w:sz w:val="24"/>
          <w:szCs w:val="24"/>
        </w:rPr>
      </w:pPr>
    </w:p>
    <w:p w14:paraId="559ECCB5" w14:textId="2193C38F" w:rsidR="0030578B" w:rsidRPr="00EF42EF" w:rsidRDefault="0030578B" w:rsidP="0030578B">
      <w:pPr>
        <w:pStyle w:val="ListParagraph"/>
        <w:numPr>
          <w:ilvl w:val="1"/>
          <w:numId w:val="4"/>
        </w:numPr>
        <w:jc w:val="left"/>
        <w:rPr>
          <w:rFonts w:ascii="Arial" w:hAnsi="Arial" w:cs="Arial"/>
          <w:bCs/>
          <w:sz w:val="24"/>
          <w:szCs w:val="24"/>
        </w:rPr>
      </w:pPr>
      <w:r w:rsidRPr="00EF42EF">
        <w:rPr>
          <w:rFonts w:ascii="Arial" w:hAnsi="Arial" w:cs="Arial"/>
          <w:bCs/>
          <w:sz w:val="24"/>
          <w:szCs w:val="24"/>
        </w:rPr>
        <w:t>Retail losses from new country development activity expected to be aro</w:t>
      </w:r>
      <w:r w:rsidR="00722862" w:rsidRPr="00EF42EF">
        <w:rPr>
          <w:rFonts w:ascii="Arial" w:hAnsi="Arial" w:cs="Arial"/>
          <w:bCs/>
          <w:sz w:val="24"/>
          <w:szCs w:val="24"/>
        </w:rPr>
        <w:t xml:space="preserve">und </w:t>
      </w:r>
      <w:r w:rsidRPr="00EF42EF">
        <w:rPr>
          <w:rFonts w:ascii="Arial" w:hAnsi="Arial" w:cs="Arial"/>
          <w:bCs/>
          <w:sz w:val="24"/>
          <w:szCs w:val="24"/>
        </w:rPr>
        <w:t>£</w:t>
      </w:r>
      <w:r w:rsidR="00722862" w:rsidRPr="00EF42EF">
        <w:rPr>
          <w:rFonts w:ascii="Arial" w:hAnsi="Arial" w:cs="Arial"/>
          <w:bCs/>
          <w:sz w:val="24"/>
          <w:szCs w:val="24"/>
        </w:rPr>
        <w:t>17</w:t>
      </w:r>
      <w:r w:rsidRPr="00EF42EF">
        <w:rPr>
          <w:rFonts w:ascii="Arial" w:hAnsi="Arial" w:cs="Arial"/>
          <w:bCs/>
          <w:sz w:val="24"/>
          <w:szCs w:val="24"/>
        </w:rPr>
        <w:t xml:space="preserve"> million</w:t>
      </w:r>
      <w:r w:rsidR="00722862" w:rsidRPr="00EF42EF">
        <w:rPr>
          <w:rFonts w:ascii="Arial" w:hAnsi="Arial" w:cs="Arial"/>
          <w:bCs/>
          <w:sz w:val="24"/>
          <w:szCs w:val="24"/>
        </w:rPr>
        <w:t xml:space="preserve"> </w:t>
      </w:r>
    </w:p>
    <w:p w14:paraId="75DBE585" w14:textId="6ABEB47F" w:rsidR="00E24F38" w:rsidRDefault="00E24F38" w:rsidP="0030578B">
      <w:pPr>
        <w:pStyle w:val="ListParagraph"/>
        <w:numPr>
          <w:ilvl w:val="1"/>
          <w:numId w:val="4"/>
        </w:numPr>
        <w:jc w:val="left"/>
        <w:rPr>
          <w:rFonts w:ascii="Arial" w:hAnsi="Arial" w:cs="Arial"/>
          <w:bCs/>
          <w:sz w:val="24"/>
          <w:szCs w:val="24"/>
        </w:rPr>
      </w:pPr>
      <w:r>
        <w:rPr>
          <w:rFonts w:ascii="Arial" w:hAnsi="Arial" w:cs="Arial"/>
          <w:bCs/>
          <w:sz w:val="24"/>
          <w:szCs w:val="24"/>
        </w:rPr>
        <w:t xml:space="preserve">Central costs </w:t>
      </w:r>
      <w:r w:rsidR="002600D2">
        <w:rPr>
          <w:rFonts w:ascii="Arial" w:hAnsi="Arial" w:cs="Arial"/>
          <w:bCs/>
          <w:sz w:val="24"/>
          <w:szCs w:val="24"/>
        </w:rPr>
        <w:t xml:space="preserve">are expected to be </w:t>
      </w:r>
      <w:r w:rsidR="00F01A4E">
        <w:rPr>
          <w:rFonts w:ascii="Arial" w:hAnsi="Arial" w:cs="Arial"/>
          <w:bCs/>
          <w:sz w:val="24"/>
          <w:szCs w:val="24"/>
        </w:rPr>
        <w:t xml:space="preserve">around </w:t>
      </w:r>
      <w:r w:rsidR="002600D2" w:rsidRPr="005D6E0A">
        <w:rPr>
          <w:rFonts w:ascii="Arial" w:hAnsi="Arial" w:cs="Arial"/>
          <w:bCs/>
          <w:sz w:val="24"/>
          <w:szCs w:val="24"/>
        </w:rPr>
        <w:t>£45</w:t>
      </w:r>
      <w:r w:rsidR="008536C9">
        <w:rPr>
          <w:rFonts w:ascii="Arial" w:hAnsi="Arial" w:cs="Arial"/>
          <w:bCs/>
          <w:sz w:val="24"/>
          <w:szCs w:val="24"/>
        </w:rPr>
        <w:t xml:space="preserve"> </w:t>
      </w:r>
      <w:r w:rsidR="002600D2" w:rsidRPr="005D6E0A">
        <w:rPr>
          <w:rFonts w:ascii="Arial" w:hAnsi="Arial" w:cs="Arial"/>
          <w:bCs/>
          <w:sz w:val="24"/>
          <w:szCs w:val="24"/>
        </w:rPr>
        <w:t>m</w:t>
      </w:r>
      <w:r w:rsidR="008536C9">
        <w:rPr>
          <w:rFonts w:ascii="Arial" w:hAnsi="Arial" w:cs="Arial"/>
          <w:bCs/>
          <w:sz w:val="24"/>
          <w:szCs w:val="24"/>
        </w:rPr>
        <w:t>illion</w:t>
      </w:r>
    </w:p>
    <w:p w14:paraId="4820125F" w14:textId="77777777" w:rsidR="0030578B" w:rsidRDefault="0030578B" w:rsidP="0030578B">
      <w:pPr>
        <w:pStyle w:val="ListParagraph"/>
        <w:numPr>
          <w:ilvl w:val="1"/>
          <w:numId w:val="4"/>
        </w:numPr>
        <w:jc w:val="left"/>
        <w:rPr>
          <w:rFonts w:ascii="Arial" w:hAnsi="Arial" w:cs="Arial"/>
          <w:bCs/>
          <w:sz w:val="24"/>
          <w:szCs w:val="24"/>
        </w:rPr>
      </w:pPr>
      <w:r>
        <w:rPr>
          <w:rFonts w:ascii="Arial" w:hAnsi="Arial" w:cs="Arial"/>
          <w:bCs/>
          <w:sz w:val="24"/>
          <w:szCs w:val="24"/>
        </w:rPr>
        <w:t xml:space="preserve">Group interest </w:t>
      </w:r>
      <w:r w:rsidRPr="00657B3E">
        <w:rPr>
          <w:rFonts w:ascii="Arial" w:hAnsi="Arial" w:cs="Arial"/>
          <w:bCs/>
          <w:sz w:val="24"/>
          <w:szCs w:val="24"/>
          <w:vertAlign w:val="superscript"/>
        </w:rPr>
        <w:t>(1)</w:t>
      </w:r>
      <w:r>
        <w:rPr>
          <w:rFonts w:ascii="Arial" w:hAnsi="Arial" w:cs="Arial"/>
          <w:bCs/>
          <w:sz w:val="24"/>
          <w:szCs w:val="24"/>
        </w:rPr>
        <w:t xml:space="preserve"> charge is expected to </w:t>
      </w:r>
      <w:r w:rsidRPr="004C3893">
        <w:rPr>
          <w:rFonts w:ascii="Arial" w:hAnsi="Arial" w:cs="Arial"/>
          <w:bCs/>
          <w:sz w:val="24"/>
          <w:szCs w:val="24"/>
        </w:rPr>
        <w:t>be around £</w:t>
      </w:r>
      <w:r>
        <w:rPr>
          <w:rFonts w:ascii="Arial" w:hAnsi="Arial" w:cs="Arial"/>
          <w:bCs/>
          <w:sz w:val="24"/>
          <w:szCs w:val="24"/>
        </w:rPr>
        <w:t>10</w:t>
      </w:r>
      <w:r w:rsidRPr="004C3893">
        <w:rPr>
          <w:rFonts w:ascii="Arial" w:hAnsi="Arial" w:cs="Arial"/>
          <w:bCs/>
          <w:sz w:val="24"/>
          <w:szCs w:val="24"/>
        </w:rPr>
        <w:t xml:space="preserve"> million</w:t>
      </w:r>
      <w:r>
        <w:rPr>
          <w:rFonts w:ascii="Arial" w:hAnsi="Arial" w:cs="Arial"/>
          <w:bCs/>
          <w:sz w:val="24"/>
          <w:szCs w:val="24"/>
        </w:rPr>
        <w:t xml:space="preserve"> </w:t>
      </w:r>
    </w:p>
    <w:p w14:paraId="358AEFEC" w14:textId="2D832FCF" w:rsidR="0030578B" w:rsidRPr="006C2C39" w:rsidRDefault="0030578B" w:rsidP="0030578B">
      <w:pPr>
        <w:pStyle w:val="ListParagraph"/>
        <w:numPr>
          <w:ilvl w:val="1"/>
          <w:numId w:val="4"/>
        </w:numPr>
        <w:jc w:val="left"/>
        <w:rPr>
          <w:rFonts w:ascii="Arial" w:hAnsi="Arial" w:cs="Arial"/>
          <w:bCs/>
          <w:sz w:val="24"/>
          <w:szCs w:val="24"/>
        </w:rPr>
      </w:pPr>
      <w:r>
        <w:rPr>
          <w:rFonts w:ascii="Arial" w:hAnsi="Arial" w:cs="Arial"/>
          <w:bCs/>
          <w:sz w:val="24"/>
          <w:szCs w:val="24"/>
        </w:rPr>
        <w:t xml:space="preserve">Corporation tax rate is expected to </w:t>
      </w:r>
      <w:r w:rsidRPr="005C3C80">
        <w:rPr>
          <w:rFonts w:ascii="Arial" w:hAnsi="Arial" w:cs="Arial"/>
          <w:bCs/>
          <w:sz w:val="24"/>
          <w:szCs w:val="24"/>
        </w:rPr>
        <w:t>be</w:t>
      </w:r>
      <w:r w:rsidR="00322474">
        <w:rPr>
          <w:rFonts w:ascii="Arial" w:hAnsi="Arial" w:cs="Arial"/>
          <w:bCs/>
          <w:sz w:val="24"/>
          <w:szCs w:val="24"/>
        </w:rPr>
        <w:t xml:space="preserve"> around </w:t>
      </w:r>
      <w:r>
        <w:rPr>
          <w:rFonts w:ascii="Arial" w:hAnsi="Arial" w:cs="Arial"/>
          <w:bCs/>
          <w:sz w:val="24"/>
          <w:szCs w:val="24"/>
        </w:rPr>
        <w:t>26</w:t>
      </w:r>
      <w:r w:rsidRPr="005C3C80">
        <w:rPr>
          <w:rFonts w:ascii="Arial" w:hAnsi="Arial" w:cs="Arial"/>
          <w:bCs/>
          <w:sz w:val="24"/>
          <w:szCs w:val="24"/>
        </w:rPr>
        <w:t>%,</w:t>
      </w:r>
      <w:r>
        <w:rPr>
          <w:rFonts w:ascii="Arial" w:hAnsi="Arial" w:cs="Arial"/>
          <w:bCs/>
          <w:sz w:val="24"/>
          <w:szCs w:val="24"/>
        </w:rPr>
        <w:t xml:space="preserve"> subject to the blend of profit within the companies various jurisdictions </w:t>
      </w:r>
    </w:p>
    <w:p w14:paraId="2E22EEDA" w14:textId="311B8143" w:rsidR="0030578B" w:rsidRPr="00BC7493" w:rsidRDefault="0030578B" w:rsidP="0030578B">
      <w:pPr>
        <w:pStyle w:val="ListParagraph"/>
        <w:numPr>
          <w:ilvl w:val="1"/>
          <w:numId w:val="4"/>
        </w:numPr>
        <w:jc w:val="left"/>
        <w:rPr>
          <w:rFonts w:ascii="Arial" w:hAnsi="Arial" w:cs="Arial"/>
          <w:bCs/>
          <w:sz w:val="24"/>
          <w:szCs w:val="24"/>
        </w:rPr>
      </w:pPr>
      <w:r w:rsidRPr="00506D26">
        <w:rPr>
          <w:rFonts w:ascii="Arial" w:hAnsi="Arial" w:cs="Arial"/>
          <w:bCs/>
          <w:sz w:val="24"/>
          <w:szCs w:val="24"/>
        </w:rPr>
        <w:t xml:space="preserve">IFRIC </w:t>
      </w:r>
      <w:r>
        <w:rPr>
          <w:rFonts w:ascii="Arial" w:hAnsi="Arial" w:cs="Arial"/>
          <w:bCs/>
          <w:sz w:val="24"/>
          <w:szCs w:val="24"/>
        </w:rPr>
        <w:t xml:space="preserve">21 will impact phasing of certain French levies </w:t>
      </w:r>
      <w:r w:rsidRPr="00BC7493">
        <w:rPr>
          <w:rFonts w:ascii="Arial" w:hAnsi="Arial" w:cs="Arial"/>
          <w:sz w:val="24"/>
          <w:szCs w:val="24"/>
        </w:rPr>
        <w:t>resulting in a year</w:t>
      </w:r>
      <w:r>
        <w:rPr>
          <w:rFonts w:ascii="Arial" w:hAnsi="Arial" w:cs="Arial"/>
          <w:sz w:val="24"/>
          <w:szCs w:val="24"/>
        </w:rPr>
        <w:t xml:space="preserve"> </w:t>
      </w:r>
      <w:r w:rsidRPr="00BC7493">
        <w:rPr>
          <w:rFonts w:ascii="Arial" w:hAnsi="Arial" w:cs="Arial"/>
          <w:sz w:val="24"/>
          <w:szCs w:val="24"/>
        </w:rPr>
        <w:t>on</w:t>
      </w:r>
      <w:r>
        <w:rPr>
          <w:rFonts w:ascii="Arial" w:hAnsi="Arial" w:cs="Arial"/>
          <w:sz w:val="24"/>
          <w:szCs w:val="24"/>
        </w:rPr>
        <w:t xml:space="preserve"> </w:t>
      </w:r>
      <w:r w:rsidRPr="00BC7493">
        <w:rPr>
          <w:rFonts w:ascii="Arial" w:hAnsi="Arial" w:cs="Arial"/>
          <w:sz w:val="24"/>
          <w:szCs w:val="24"/>
        </w:rPr>
        <w:t xml:space="preserve">year reduction in operating costs in Q1 to Q3 of </w:t>
      </w:r>
      <w:r>
        <w:rPr>
          <w:rFonts w:ascii="Arial" w:hAnsi="Arial" w:cs="Arial"/>
          <w:sz w:val="24"/>
          <w:szCs w:val="24"/>
        </w:rPr>
        <w:t xml:space="preserve">around </w:t>
      </w:r>
      <w:r w:rsidRPr="00BC7493">
        <w:rPr>
          <w:rFonts w:ascii="Arial" w:hAnsi="Arial" w:cs="Arial"/>
          <w:sz w:val="24"/>
          <w:szCs w:val="24"/>
        </w:rPr>
        <w:t>£9</w:t>
      </w:r>
      <w:r>
        <w:rPr>
          <w:rFonts w:ascii="Arial" w:hAnsi="Arial" w:cs="Arial"/>
          <w:sz w:val="24"/>
          <w:szCs w:val="24"/>
        </w:rPr>
        <w:t xml:space="preserve"> </w:t>
      </w:r>
      <w:r w:rsidRPr="00BC7493">
        <w:rPr>
          <w:rFonts w:ascii="Arial" w:hAnsi="Arial" w:cs="Arial"/>
          <w:sz w:val="24"/>
          <w:szCs w:val="24"/>
        </w:rPr>
        <w:t>m</w:t>
      </w:r>
      <w:r>
        <w:rPr>
          <w:rFonts w:ascii="Arial" w:hAnsi="Arial" w:cs="Arial"/>
          <w:sz w:val="24"/>
          <w:szCs w:val="24"/>
        </w:rPr>
        <w:t>illion</w:t>
      </w:r>
      <w:r w:rsidRPr="00BC7493">
        <w:rPr>
          <w:rFonts w:ascii="Arial" w:hAnsi="Arial" w:cs="Arial"/>
          <w:sz w:val="24"/>
          <w:szCs w:val="24"/>
        </w:rPr>
        <w:t xml:space="preserve"> per quarter and an increase in Q4 of </w:t>
      </w:r>
      <w:r>
        <w:rPr>
          <w:rFonts w:ascii="Arial" w:hAnsi="Arial" w:cs="Arial"/>
          <w:sz w:val="24"/>
          <w:szCs w:val="24"/>
        </w:rPr>
        <w:t xml:space="preserve">around </w:t>
      </w:r>
      <w:r w:rsidRPr="00BC7493">
        <w:rPr>
          <w:rFonts w:ascii="Arial" w:hAnsi="Arial" w:cs="Arial"/>
          <w:sz w:val="24"/>
          <w:szCs w:val="24"/>
        </w:rPr>
        <w:t>£27</w:t>
      </w:r>
      <w:r>
        <w:rPr>
          <w:rFonts w:ascii="Arial" w:hAnsi="Arial" w:cs="Arial"/>
          <w:sz w:val="24"/>
          <w:szCs w:val="24"/>
        </w:rPr>
        <w:t xml:space="preserve"> million</w:t>
      </w:r>
      <w:r w:rsidRPr="00BC7493">
        <w:rPr>
          <w:rFonts w:ascii="Arial" w:hAnsi="Arial" w:cs="Arial"/>
          <w:bCs/>
          <w:sz w:val="24"/>
          <w:szCs w:val="24"/>
        </w:rPr>
        <w:t xml:space="preserve"> </w:t>
      </w:r>
      <w:r w:rsidRPr="00BC7493">
        <w:rPr>
          <w:rFonts w:ascii="Arial" w:hAnsi="Arial" w:cs="Arial"/>
          <w:bCs/>
          <w:sz w:val="24"/>
          <w:szCs w:val="24"/>
          <w:vertAlign w:val="superscript"/>
        </w:rPr>
        <w:t>(2&amp;3)</w:t>
      </w:r>
    </w:p>
    <w:p w14:paraId="4F0E55BF" w14:textId="512AA34A" w:rsidR="0030578B" w:rsidRPr="00956FAD" w:rsidRDefault="0030578B" w:rsidP="000A14C5">
      <w:pPr>
        <w:pStyle w:val="ListParagraph"/>
        <w:numPr>
          <w:ilvl w:val="1"/>
          <w:numId w:val="4"/>
        </w:numPr>
        <w:jc w:val="left"/>
        <w:rPr>
          <w:rFonts w:ascii="Arial" w:hAnsi="Arial" w:cs="Arial"/>
          <w:bCs/>
          <w:sz w:val="24"/>
          <w:szCs w:val="24"/>
        </w:rPr>
      </w:pPr>
      <w:r w:rsidRPr="00956FAD">
        <w:rPr>
          <w:rFonts w:ascii="Arial" w:hAnsi="Arial" w:cs="Arial"/>
          <w:bCs/>
          <w:sz w:val="24"/>
          <w:szCs w:val="24"/>
        </w:rPr>
        <w:t>B&amp;Q closures</w:t>
      </w:r>
      <w:r w:rsidR="00956FAD" w:rsidRPr="00956FAD">
        <w:rPr>
          <w:rFonts w:ascii="Arial" w:hAnsi="Arial" w:cs="Arial"/>
          <w:bCs/>
          <w:sz w:val="24"/>
          <w:szCs w:val="24"/>
        </w:rPr>
        <w:t xml:space="preserve"> - </w:t>
      </w:r>
      <w:r w:rsidR="00956FAD">
        <w:rPr>
          <w:rFonts w:ascii="Arial" w:hAnsi="Arial" w:cs="Arial"/>
          <w:bCs/>
          <w:sz w:val="24"/>
          <w:szCs w:val="24"/>
        </w:rPr>
        <w:t>i</w:t>
      </w:r>
      <w:r w:rsidRPr="00956FAD">
        <w:rPr>
          <w:rFonts w:ascii="Arial" w:hAnsi="Arial" w:cs="Arial"/>
          <w:bCs/>
          <w:sz w:val="24"/>
          <w:szCs w:val="24"/>
        </w:rPr>
        <w:t>ncome statement impact expected to be broadly neutral assuming on average that up to a third of sales transfer</w:t>
      </w:r>
    </w:p>
    <w:p w14:paraId="73FC5D72" w14:textId="73E05343" w:rsidR="0030578B" w:rsidRPr="000E792C" w:rsidRDefault="00956FAD" w:rsidP="00E70614">
      <w:pPr>
        <w:pStyle w:val="ListParagraph"/>
        <w:numPr>
          <w:ilvl w:val="1"/>
          <w:numId w:val="4"/>
        </w:numPr>
        <w:jc w:val="left"/>
        <w:rPr>
          <w:rFonts w:ascii="Arial" w:hAnsi="Arial" w:cs="Arial"/>
          <w:bCs/>
          <w:sz w:val="24"/>
          <w:szCs w:val="24"/>
        </w:rPr>
      </w:pPr>
      <w:r>
        <w:rPr>
          <w:rFonts w:ascii="Arial" w:hAnsi="Arial" w:cs="Arial"/>
          <w:bCs/>
          <w:sz w:val="24"/>
          <w:szCs w:val="24"/>
        </w:rPr>
        <w:t>Space restructuring UK &amp; Ireland and Europe - e</w:t>
      </w:r>
      <w:r w:rsidR="0030578B" w:rsidRPr="000E792C">
        <w:rPr>
          <w:rFonts w:ascii="Arial" w:hAnsi="Arial" w:cs="Arial"/>
          <w:bCs/>
          <w:sz w:val="24"/>
          <w:szCs w:val="24"/>
        </w:rPr>
        <w:t>xceptional charge of around £350</w:t>
      </w:r>
      <w:r w:rsidR="0030578B">
        <w:rPr>
          <w:rFonts w:ascii="Arial" w:hAnsi="Arial" w:cs="Arial"/>
          <w:bCs/>
          <w:sz w:val="24"/>
          <w:szCs w:val="24"/>
        </w:rPr>
        <w:t xml:space="preserve"> </w:t>
      </w:r>
      <w:r w:rsidR="0030578B" w:rsidRPr="000E792C">
        <w:rPr>
          <w:rFonts w:ascii="Arial" w:hAnsi="Arial" w:cs="Arial"/>
          <w:bCs/>
          <w:sz w:val="24"/>
          <w:szCs w:val="24"/>
        </w:rPr>
        <w:t>m</w:t>
      </w:r>
      <w:r w:rsidR="0030578B">
        <w:rPr>
          <w:rFonts w:ascii="Arial" w:hAnsi="Arial" w:cs="Arial"/>
          <w:bCs/>
          <w:sz w:val="24"/>
          <w:szCs w:val="24"/>
        </w:rPr>
        <w:t>illion over 2 years</w:t>
      </w:r>
      <w:r w:rsidR="003B6486">
        <w:rPr>
          <w:rFonts w:ascii="Arial" w:hAnsi="Arial" w:cs="Arial"/>
          <w:bCs/>
          <w:sz w:val="24"/>
          <w:szCs w:val="24"/>
        </w:rPr>
        <w:t xml:space="preserve"> to FY</w:t>
      </w:r>
      <w:r w:rsidR="003C3EAC">
        <w:rPr>
          <w:rFonts w:ascii="Arial" w:hAnsi="Arial" w:cs="Arial"/>
          <w:bCs/>
          <w:sz w:val="24"/>
          <w:szCs w:val="24"/>
        </w:rPr>
        <w:t xml:space="preserve"> </w:t>
      </w:r>
      <w:r w:rsidR="003B6486">
        <w:rPr>
          <w:rFonts w:ascii="Arial" w:hAnsi="Arial" w:cs="Arial"/>
          <w:bCs/>
          <w:sz w:val="24"/>
          <w:szCs w:val="24"/>
        </w:rPr>
        <w:t>2016/17</w:t>
      </w:r>
    </w:p>
    <w:bookmarkEnd w:id="4"/>
    <w:bookmarkEnd w:id="5"/>
    <w:p w14:paraId="3931E4CF" w14:textId="77777777" w:rsidR="0030578B" w:rsidRPr="00926779" w:rsidRDefault="0030578B" w:rsidP="0030578B">
      <w:pPr>
        <w:pStyle w:val="ListParagraph"/>
        <w:ind w:left="1440"/>
        <w:jc w:val="left"/>
        <w:rPr>
          <w:rFonts w:ascii="Arial" w:hAnsi="Arial" w:cs="Arial"/>
          <w:bCs/>
          <w:sz w:val="24"/>
          <w:szCs w:val="24"/>
        </w:rPr>
      </w:pPr>
    </w:p>
    <w:p w14:paraId="4A23A1E1" w14:textId="19EE6536" w:rsidR="0030578B" w:rsidRPr="00926779" w:rsidRDefault="0030578B" w:rsidP="0030578B">
      <w:pPr>
        <w:jc w:val="left"/>
        <w:rPr>
          <w:rFonts w:ascii="Arial" w:hAnsi="Arial" w:cs="Arial"/>
          <w:bCs/>
          <w:sz w:val="18"/>
          <w:szCs w:val="18"/>
        </w:rPr>
      </w:pPr>
      <w:r w:rsidRPr="00926779">
        <w:rPr>
          <w:rFonts w:ascii="Arial" w:hAnsi="Arial" w:cs="Arial"/>
          <w:bCs/>
          <w:vertAlign w:val="superscript"/>
        </w:rPr>
        <w:t>(1)</w:t>
      </w:r>
      <w:r w:rsidRPr="00926779">
        <w:rPr>
          <w:rFonts w:ascii="Arial" w:hAnsi="Arial" w:cs="Arial"/>
          <w:bCs/>
          <w:sz w:val="18"/>
          <w:szCs w:val="18"/>
        </w:rPr>
        <w:t xml:space="preserve"> Interest charge excludes FFVR</w:t>
      </w:r>
      <w:r w:rsidR="00C21029">
        <w:rPr>
          <w:rFonts w:ascii="Arial" w:hAnsi="Arial" w:cs="Arial"/>
          <w:bCs/>
          <w:sz w:val="18"/>
          <w:szCs w:val="18"/>
        </w:rPr>
        <w:t>*</w:t>
      </w:r>
      <w:r w:rsidRPr="00926779">
        <w:rPr>
          <w:rFonts w:ascii="Arial" w:hAnsi="Arial" w:cs="Arial"/>
          <w:bCs/>
          <w:sz w:val="18"/>
          <w:szCs w:val="18"/>
        </w:rPr>
        <w:t xml:space="preserve"> </w:t>
      </w:r>
      <w:r w:rsidRPr="00926779">
        <w:rPr>
          <w:rFonts w:ascii="Arial" w:hAnsi="Arial" w:cs="Arial"/>
          <w:iCs/>
          <w:sz w:val="18"/>
          <w:szCs w:val="18"/>
        </w:rPr>
        <w:t xml:space="preserve">(financing fair value </w:t>
      </w:r>
      <w:proofErr w:type="spellStart"/>
      <w:r w:rsidRPr="00926779">
        <w:rPr>
          <w:rFonts w:ascii="Arial" w:hAnsi="Arial" w:cs="Arial"/>
          <w:iCs/>
          <w:sz w:val="18"/>
          <w:szCs w:val="18"/>
        </w:rPr>
        <w:t>remeasurements</w:t>
      </w:r>
      <w:proofErr w:type="spellEnd"/>
      <w:r w:rsidRPr="00926779">
        <w:rPr>
          <w:rFonts w:ascii="Arial" w:hAnsi="Arial" w:cs="Arial"/>
          <w:iCs/>
          <w:sz w:val="18"/>
          <w:szCs w:val="18"/>
        </w:rPr>
        <w:t>)</w:t>
      </w:r>
      <w:r w:rsidRPr="00926779">
        <w:rPr>
          <w:rFonts w:ascii="Arial" w:hAnsi="Arial" w:cs="Arial"/>
          <w:b/>
          <w:iCs/>
          <w:sz w:val="18"/>
          <w:szCs w:val="18"/>
        </w:rPr>
        <w:t xml:space="preserve"> </w:t>
      </w:r>
      <w:r w:rsidRPr="00926779">
        <w:rPr>
          <w:rFonts w:ascii="Arial" w:hAnsi="Arial" w:cs="Arial"/>
          <w:bCs/>
          <w:sz w:val="18"/>
          <w:szCs w:val="18"/>
        </w:rPr>
        <w:t xml:space="preserve"> </w:t>
      </w:r>
    </w:p>
    <w:p w14:paraId="540615EB" w14:textId="39695793" w:rsidR="0030578B" w:rsidRPr="00926779" w:rsidRDefault="0030578B" w:rsidP="0030578B">
      <w:pPr>
        <w:tabs>
          <w:tab w:val="left" w:pos="357"/>
        </w:tabs>
        <w:ind w:right="-282"/>
        <w:jc w:val="left"/>
        <w:rPr>
          <w:rFonts w:ascii="Arial" w:hAnsi="Arial" w:cs="Arial"/>
          <w:iCs/>
          <w:sz w:val="18"/>
          <w:szCs w:val="18"/>
        </w:rPr>
      </w:pPr>
      <w:r w:rsidRPr="00926779">
        <w:rPr>
          <w:rFonts w:ascii="Arial" w:hAnsi="Arial" w:cs="Arial"/>
          <w:bCs/>
          <w:vertAlign w:val="superscript"/>
        </w:rPr>
        <w:t>(2)</w:t>
      </w:r>
      <w:r w:rsidRPr="00926779">
        <w:rPr>
          <w:rFonts w:ascii="Arial" w:hAnsi="Arial" w:cs="Arial"/>
          <w:bCs/>
          <w:sz w:val="18"/>
          <w:szCs w:val="18"/>
        </w:rPr>
        <w:t xml:space="preserve"> Data tables</w:t>
      </w:r>
      <w:r w:rsidRPr="00926779">
        <w:rPr>
          <w:rFonts w:ascii="Arial" w:hAnsi="Arial" w:cs="Arial"/>
          <w:iCs/>
          <w:sz w:val="18"/>
          <w:szCs w:val="18"/>
        </w:rPr>
        <w:t xml:space="preserve"> for FY 201</w:t>
      </w:r>
      <w:r w:rsidR="00BC12F1" w:rsidRPr="00926779">
        <w:rPr>
          <w:rFonts w:ascii="Arial" w:hAnsi="Arial" w:cs="Arial"/>
          <w:iCs/>
          <w:sz w:val="18"/>
          <w:szCs w:val="18"/>
        </w:rPr>
        <w:t>4</w:t>
      </w:r>
      <w:r w:rsidRPr="00926779">
        <w:rPr>
          <w:rFonts w:ascii="Arial" w:hAnsi="Arial" w:cs="Arial"/>
          <w:iCs/>
          <w:sz w:val="18"/>
          <w:szCs w:val="18"/>
        </w:rPr>
        <w:t>/1</w:t>
      </w:r>
      <w:r w:rsidR="00BC12F1" w:rsidRPr="00926779">
        <w:rPr>
          <w:rFonts w:ascii="Arial" w:hAnsi="Arial" w:cs="Arial"/>
          <w:iCs/>
          <w:sz w:val="18"/>
          <w:szCs w:val="18"/>
        </w:rPr>
        <w:t>5</w:t>
      </w:r>
      <w:r w:rsidRPr="00926779">
        <w:rPr>
          <w:rFonts w:ascii="Arial" w:hAnsi="Arial" w:cs="Arial"/>
          <w:iCs/>
          <w:sz w:val="18"/>
          <w:szCs w:val="18"/>
        </w:rPr>
        <w:t xml:space="preserve"> (Q1, Q2, H1, Q3, </w:t>
      </w:r>
      <w:r w:rsidRPr="00926779">
        <w:rPr>
          <w:rFonts w:ascii="Arial" w:hAnsi="Arial" w:cs="Arial"/>
          <w:sz w:val="18"/>
          <w:szCs w:val="18"/>
        </w:rPr>
        <w:t>Q3 YTD</w:t>
      </w:r>
      <w:r w:rsidRPr="00926779">
        <w:rPr>
          <w:rFonts w:ascii="Arial" w:hAnsi="Arial" w:cs="Arial"/>
          <w:iCs/>
          <w:sz w:val="18"/>
          <w:szCs w:val="18"/>
        </w:rPr>
        <w:t xml:space="preserve">, Q4 and the full year) are available for download in excel format at </w:t>
      </w:r>
      <w:hyperlink r:id="rId11" w:history="1">
        <w:r w:rsidR="00781C5B" w:rsidRPr="00781C5B">
          <w:rPr>
            <w:rStyle w:val="Hyperlink"/>
            <w:rFonts w:ascii="Arial" w:hAnsi="Arial" w:cs="Arial"/>
            <w:iCs/>
            <w:sz w:val="18"/>
            <w:szCs w:val="18"/>
          </w:rPr>
          <w:t>www.kingfisher.com/index.asp?pageid=59</w:t>
        </w:r>
      </w:hyperlink>
      <w:r w:rsidRPr="00926779">
        <w:rPr>
          <w:rFonts w:ascii="Arial" w:hAnsi="Arial" w:cs="Arial"/>
          <w:iCs/>
          <w:sz w:val="18"/>
          <w:szCs w:val="18"/>
        </w:rPr>
        <w:t xml:space="preserve">. </w:t>
      </w:r>
      <w:r w:rsidRPr="00926779">
        <w:rPr>
          <w:rFonts w:ascii="Arial" w:hAnsi="Arial" w:cs="Arial"/>
          <w:sz w:val="18"/>
          <w:szCs w:val="18"/>
        </w:rPr>
        <w:t>They include a restatement schedule for these impacts</w:t>
      </w:r>
    </w:p>
    <w:p w14:paraId="0883C8C4" w14:textId="03207F4D" w:rsidR="0030578B" w:rsidRPr="00657B3E" w:rsidRDefault="0030578B" w:rsidP="0030578B">
      <w:pPr>
        <w:tabs>
          <w:tab w:val="left" w:pos="357"/>
        </w:tabs>
        <w:ind w:right="-282"/>
        <w:jc w:val="left"/>
        <w:rPr>
          <w:rFonts w:ascii="Arial" w:hAnsi="Arial" w:cs="Arial"/>
          <w:bCs/>
          <w:sz w:val="18"/>
          <w:szCs w:val="18"/>
        </w:rPr>
      </w:pPr>
      <w:r w:rsidRPr="00926779">
        <w:rPr>
          <w:rFonts w:ascii="Arial" w:hAnsi="Arial" w:cs="Arial"/>
          <w:bCs/>
          <w:vertAlign w:val="superscript"/>
        </w:rPr>
        <w:t>(3)</w:t>
      </w:r>
      <w:r w:rsidRPr="00926779">
        <w:rPr>
          <w:rFonts w:ascii="Arial" w:hAnsi="Arial" w:cs="Arial"/>
          <w:bCs/>
          <w:sz w:val="18"/>
          <w:szCs w:val="18"/>
        </w:rPr>
        <w:t xml:space="preserve"> Certain French  levies were previously recognised on an accruals basis across the year. Going forward, they will be accounted </w:t>
      </w:r>
      <w:r w:rsidR="00031E2E">
        <w:rPr>
          <w:rFonts w:ascii="Arial" w:hAnsi="Arial" w:cs="Arial"/>
          <w:bCs/>
          <w:sz w:val="18"/>
          <w:szCs w:val="18"/>
        </w:rPr>
        <w:t>in Q4</w:t>
      </w:r>
      <w:r w:rsidRPr="00926779">
        <w:rPr>
          <w:rFonts w:ascii="Arial" w:hAnsi="Arial" w:cs="Arial"/>
          <w:bCs/>
          <w:sz w:val="18"/>
          <w:szCs w:val="18"/>
        </w:rPr>
        <w:t xml:space="preserve"> when the liability is triggered, hence impacting quarterly phasing of French retail profit</w:t>
      </w:r>
      <w:r w:rsidRPr="00657B3E">
        <w:rPr>
          <w:rFonts w:ascii="Arial" w:hAnsi="Arial" w:cs="Arial"/>
          <w:bCs/>
          <w:sz w:val="18"/>
          <w:szCs w:val="18"/>
        </w:rPr>
        <w:t xml:space="preserve"> </w:t>
      </w:r>
    </w:p>
    <w:p w14:paraId="76FBE735" w14:textId="77777777" w:rsidR="00376C53" w:rsidRDefault="00376C53" w:rsidP="0030578B">
      <w:pPr>
        <w:pStyle w:val="ListParagraph"/>
        <w:ind w:left="1440"/>
        <w:jc w:val="left"/>
        <w:rPr>
          <w:rFonts w:ascii="Arial" w:hAnsi="Arial" w:cs="Arial"/>
          <w:bCs/>
          <w:sz w:val="24"/>
          <w:szCs w:val="24"/>
          <w:highlight w:val="yellow"/>
        </w:rPr>
      </w:pPr>
    </w:p>
    <w:p w14:paraId="6CE1D85C" w14:textId="77777777" w:rsidR="0030578B" w:rsidRDefault="0030578B" w:rsidP="0030578B">
      <w:pPr>
        <w:pStyle w:val="ListParagraph"/>
        <w:numPr>
          <w:ilvl w:val="0"/>
          <w:numId w:val="4"/>
        </w:numPr>
        <w:jc w:val="left"/>
        <w:rPr>
          <w:rFonts w:ascii="Arial" w:hAnsi="Arial" w:cs="Arial"/>
          <w:bCs/>
          <w:sz w:val="24"/>
          <w:szCs w:val="24"/>
        </w:rPr>
      </w:pPr>
      <w:r>
        <w:rPr>
          <w:rFonts w:ascii="Arial" w:hAnsi="Arial" w:cs="Arial"/>
          <w:bCs/>
          <w:sz w:val="24"/>
          <w:szCs w:val="24"/>
        </w:rPr>
        <w:lastRenderedPageBreak/>
        <w:t>Cash flow:</w:t>
      </w:r>
    </w:p>
    <w:p w14:paraId="2F3633B0" w14:textId="77777777" w:rsidR="0030578B" w:rsidRDefault="0030578B" w:rsidP="0030578B">
      <w:pPr>
        <w:pStyle w:val="ListParagraph"/>
        <w:numPr>
          <w:ilvl w:val="1"/>
          <w:numId w:val="4"/>
        </w:numPr>
        <w:jc w:val="left"/>
        <w:rPr>
          <w:rFonts w:ascii="Arial" w:hAnsi="Arial" w:cs="Arial"/>
          <w:bCs/>
          <w:sz w:val="24"/>
          <w:szCs w:val="24"/>
        </w:rPr>
      </w:pPr>
      <w:r>
        <w:rPr>
          <w:rFonts w:ascii="Arial" w:hAnsi="Arial" w:cs="Arial"/>
          <w:bCs/>
          <w:sz w:val="24"/>
          <w:szCs w:val="24"/>
        </w:rPr>
        <w:t>Investing £350-400 million in capital expenditure</w:t>
      </w:r>
    </w:p>
    <w:p w14:paraId="4D69C0ED" w14:textId="409CF288" w:rsidR="0030578B" w:rsidRDefault="00B8611D" w:rsidP="0030578B">
      <w:pPr>
        <w:pStyle w:val="ListParagraph"/>
        <w:numPr>
          <w:ilvl w:val="1"/>
          <w:numId w:val="4"/>
        </w:numPr>
        <w:jc w:val="left"/>
        <w:rPr>
          <w:rFonts w:ascii="Arial" w:hAnsi="Arial" w:cs="Arial"/>
          <w:bCs/>
          <w:sz w:val="24"/>
          <w:szCs w:val="24"/>
        </w:rPr>
      </w:pPr>
      <w:r>
        <w:rPr>
          <w:rFonts w:ascii="Arial" w:hAnsi="Arial" w:cs="Arial"/>
          <w:bCs/>
          <w:sz w:val="24"/>
          <w:szCs w:val="24"/>
        </w:rPr>
        <w:t>Full year d</w:t>
      </w:r>
      <w:r w:rsidR="0030578B">
        <w:rPr>
          <w:rFonts w:ascii="Arial" w:hAnsi="Arial" w:cs="Arial"/>
          <w:bCs/>
          <w:sz w:val="24"/>
          <w:szCs w:val="24"/>
        </w:rPr>
        <w:t xml:space="preserve">ividend to be covered 2.0-2.5 times by adjusted earnings </w:t>
      </w:r>
    </w:p>
    <w:p w14:paraId="6D1B23B4" w14:textId="6A0307D6" w:rsidR="0030578B" w:rsidRDefault="0030578B" w:rsidP="0030578B">
      <w:pPr>
        <w:pStyle w:val="ListParagraph"/>
        <w:numPr>
          <w:ilvl w:val="1"/>
          <w:numId w:val="4"/>
        </w:numPr>
        <w:jc w:val="left"/>
        <w:rPr>
          <w:rFonts w:ascii="Arial" w:hAnsi="Arial" w:cs="Arial"/>
          <w:bCs/>
          <w:sz w:val="24"/>
          <w:szCs w:val="24"/>
        </w:rPr>
      </w:pPr>
      <w:r>
        <w:rPr>
          <w:rFonts w:ascii="Arial" w:hAnsi="Arial" w:cs="Arial"/>
          <w:bCs/>
          <w:sz w:val="24"/>
          <w:szCs w:val="24"/>
        </w:rPr>
        <w:t xml:space="preserve">Capital return of £200 million </w:t>
      </w:r>
      <w:r w:rsidRPr="001D2341">
        <w:rPr>
          <w:rFonts w:ascii="Arial" w:hAnsi="Arial" w:cs="Arial"/>
          <w:bCs/>
          <w:sz w:val="24"/>
          <w:szCs w:val="24"/>
        </w:rPr>
        <w:t>to be via</w:t>
      </w:r>
      <w:r w:rsidRPr="00657B3E">
        <w:rPr>
          <w:rFonts w:ascii="Arial" w:hAnsi="Arial" w:cs="Arial"/>
          <w:bCs/>
          <w:sz w:val="24"/>
          <w:szCs w:val="24"/>
        </w:rPr>
        <w:t xml:space="preserve"> share buyback</w:t>
      </w:r>
    </w:p>
    <w:p w14:paraId="367717F8" w14:textId="77777777" w:rsidR="0030578B" w:rsidRDefault="0030578B" w:rsidP="0030578B">
      <w:pPr>
        <w:pStyle w:val="ListParagraph"/>
        <w:numPr>
          <w:ilvl w:val="1"/>
          <w:numId w:val="4"/>
        </w:numPr>
        <w:jc w:val="left"/>
        <w:rPr>
          <w:rFonts w:ascii="Arial" w:hAnsi="Arial" w:cs="Arial"/>
          <w:bCs/>
          <w:sz w:val="24"/>
          <w:szCs w:val="24"/>
        </w:rPr>
      </w:pPr>
      <w:r>
        <w:rPr>
          <w:rFonts w:ascii="Arial" w:hAnsi="Arial" w:cs="Arial"/>
          <w:bCs/>
          <w:sz w:val="24"/>
          <w:szCs w:val="24"/>
        </w:rPr>
        <w:t xml:space="preserve">No material incremental </w:t>
      </w:r>
      <w:r w:rsidRPr="000E792C">
        <w:rPr>
          <w:rFonts w:ascii="Arial" w:hAnsi="Arial" w:cs="Arial"/>
          <w:bCs/>
          <w:sz w:val="24"/>
          <w:szCs w:val="24"/>
        </w:rPr>
        <w:t>cash outflow resulting from the</w:t>
      </w:r>
      <w:r>
        <w:rPr>
          <w:rFonts w:ascii="Arial" w:hAnsi="Arial" w:cs="Arial"/>
          <w:bCs/>
          <w:sz w:val="24"/>
          <w:szCs w:val="24"/>
        </w:rPr>
        <w:t xml:space="preserve"> B&amp;Q closures</w:t>
      </w:r>
      <w:r w:rsidRPr="000E792C">
        <w:rPr>
          <w:rFonts w:ascii="Arial" w:hAnsi="Arial" w:cs="Arial"/>
          <w:bCs/>
          <w:sz w:val="24"/>
          <w:szCs w:val="24"/>
        </w:rPr>
        <w:t xml:space="preserve"> exceptional item</w:t>
      </w:r>
      <w:r>
        <w:rPr>
          <w:rFonts w:ascii="Arial" w:hAnsi="Arial" w:cs="Arial"/>
          <w:bCs/>
          <w:sz w:val="24"/>
          <w:szCs w:val="24"/>
        </w:rPr>
        <w:t>, as principally relates to onerous lease provision</w:t>
      </w:r>
    </w:p>
    <w:p w14:paraId="11DF50C6" w14:textId="77777777" w:rsidR="0030578B" w:rsidRDefault="0030578B" w:rsidP="0030578B">
      <w:pPr>
        <w:tabs>
          <w:tab w:val="left" w:pos="357"/>
        </w:tabs>
        <w:ind w:right="-282"/>
        <w:jc w:val="left"/>
        <w:rPr>
          <w:rFonts w:ascii="Arial" w:hAnsi="Arial" w:cs="Arial"/>
          <w:bCs/>
          <w:vertAlign w:val="superscript"/>
        </w:rPr>
      </w:pPr>
    </w:p>
    <w:p w14:paraId="5CA15C30" w14:textId="47915AB8" w:rsidR="0030578B" w:rsidRPr="00376C53" w:rsidRDefault="0030578B">
      <w:pPr>
        <w:jc w:val="left"/>
        <w:rPr>
          <w:rFonts w:ascii="Arial" w:hAnsi="Arial" w:cs="Arial"/>
          <w:b/>
          <w:bCs/>
          <w:color w:val="FF0000"/>
          <w:sz w:val="24"/>
          <w:szCs w:val="24"/>
        </w:rPr>
      </w:pPr>
      <w:r w:rsidRPr="00376C53">
        <w:rPr>
          <w:rFonts w:ascii="Arial" w:hAnsi="Arial" w:cs="Arial"/>
          <w:b/>
          <w:bCs/>
          <w:color w:val="FF0000"/>
          <w:sz w:val="24"/>
          <w:szCs w:val="24"/>
        </w:rPr>
        <w:br w:type="page"/>
      </w:r>
    </w:p>
    <w:p w14:paraId="52AAD5F1" w14:textId="066E2900" w:rsidR="003A298D" w:rsidRPr="000971B9" w:rsidRDefault="003A298D" w:rsidP="003A298D">
      <w:pPr>
        <w:jc w:val="left"/>
        <w:rPr>
          <w:rFonts w:ascii="Arial" w:hAnsi="Arial" w:cs="Arial"/>
          <w:sz w:val="24"/>
          <w:szCs w:val="24"/>
        </w:rPr>
      </w:pPr>
      <w:r w:rsidRPr="000971B9">
        <w:rPr>
          <w:rFonts w:ascii="Arial" w:hAnsi="Arial" w:cs="Arial"/>
          <w:b/>
          <w:bCs/>
          <w:sz w:val="24"/>
          <w:szCs w:val="24"/>
        </w:rPr>
        <w:lastRenderedPageBreak/>
        <w:t xml:space="preserve">Section </w:t>
      </w:r>
      <w:r>
        <w:rPr>
          <w:rFonts w:ascii="Arial" w:hAnsi="Arial" w:cs="Arial"/>
          <w:b/>
          <w:bCs/>
          <w:sz w:val="24"/>
          <w:szCs w:val="24"/>
        </w:rPr>
        <w:t>4</w:t>
      </w:r>
      <w:r w:rsidRPr="000971B9">
        <w:rPr>
          <w:rFonts w:ascii="Arial" w:hAnsi="Arial" w:cs="Arial"/>
          <w:b/>
          <w:bCs/>
          <w:sz w:val="24"/>
          <w:szCs w:val="24"/>
        </w:rPr>
        <w:t xml:space="preserve">: </w:t>
      </w:r>
      <w:r>
        <w:rPr>
          <w:rFonts w:ascii="Arial" w:hAnsi="Arial" w:cs="Arial"/>
          <w:b/>
          <w:bCs/>
          <w:sz w:val="24"/>
          <w:szCs w:val="24"/>
        </w:rPr>
        <w:t xml:space="preserve">2015/16 </w:t>
      </w:r>
      <w:r w:rsidRPr="000971B9">
        <w:rPr>
          <w:rFonts w:ascii="Arial" w:hAnsi="Arial" w:cs="Arial"/>
          <w:b/>
          <w:bCs/>
          <w:sz w:val="24"/>
          <w:szCs w:val="24"/>
        </w:rPr>
        <w:t>F</w:t>
      </w:r>
      <w:r w:rsidR="00DD4F01">
        <w:rPr>
          <w:rFonts w:ascii="Arial" w:hAnsi="Arial" w:cs="Arial"/>
          <w:b/>
          <w:bCs/>
          <w:sz w:val="24"/>
          <w:szCs w:val="24"/>
        </w:rPr>
        <w:t xml:space="preserve">inancial Review </w:t>
      </w:r>
    </w:p>
    <w:p w14:paraId="7EDE5384" w14:textId="77777777" w:rsidR="003A298D" w:rsidRPr="000971B9" w:rsidRDefault="003A298D" w:rsidP="003A298D">
      <w:pPr>
        <w:tabs>
          <w:tab w:val="right" w:pos="9356"/>
        </w:tabs>
        <w:rPr>
          <w:rFonts w:ascii="Arial" w:hAnsi="Arial" w:cs="Arial"/>
          <w:b/>
          <w:i/>
          <w:sz w:val="24"/>
          <w:szCs w:val="24"/>
        </w:rPr>
      </w:pPr>
    </w:p>
    <w:p w14:paraId="3616226A" w14:textId="4B278871" w:rsidR="00091980" w:rsidRDefault="003A298D" w:rsidP="00091980">
      <w:pPr>
        <w:jc w:val="left"/>
        <w:rPr>
          <w:rFonts w:ascii="Arial" w:hAnsi="Arial" w:cs="Arial"/>
          <w:sz w:val="24"/>
          <w:szCs w:val="24"/>
        </w:rPr>
      </w:pPr>
      <w:r w:rsidRPr="00C82F88">
        <w:rPr>
          <w:rFonts w:ascii="Arial" w:hAnsi="Arial" w:cs="Arial" w:hint="eastAsia"/>
          <w:sz w:val="24"/>
          <w:szCs w:val="24"/>
        </w:rPr>
        <w:t xml:space="preserve">A summary of the reported financial results for the </w:t>
      </w:r>
      <w:r>
        <w:rPr>
          <w:rFonts w:ascii="Arial" w:hAnsi="Arial" w:cs="Arial"/>
          <w:sz w:val="24"/>
          <w:szCs w:val="24"/>
        </w:rPr>
        <w:t>six months</w:t>
      </w:r>
      <w:r w:rsidRPr="00C82F88">
        <w:rPr>
          <w:rFonts w:ascii="Arial" w:hAnsi="Arial" w:cs="Arial" w:hint="eastAsia"/>
          <w:sz w:val="24"/>
          <w:szCs w:val="24"/>
        </w:rPr>
        <w:t xml:space="preserve"> ended </w:t>
      </w:r>
      <w:r>
        <w:rPr>
          <w:rFonts w:ascii="Arial" w:hAnsi="Arial" w:cs="Arial"/>
          <w:sz w:val="24"/>
          <w:szCs w:val="24"/>
        </w:rPr>
        <w:t>1 August</w:t>
      </w:r>
      <w:r w:rsidRPr="00C82F88">
        <w:rPr>
          <w:rFonts w:ascii="Arial" w:hAnsi="Arial" w:cs="Arial" w:hint="eastAsia"/>
          <w:sz w:val="24"/>
          <w:szCs w:val="24"/>
        </w:rPr>
        <w:t xml:space="preserve"> 201</w:t>
      </w:r>
      <w:r>
        <w:rPr>
          <w:rFonts w:ascii="Arial" w:hAnsi="Arial" w:cs="Arial"/>
          <w:sz w:val="24"/>
          <w:szCs w:val="24"/>
        </w:rPr>
        <w:t>5</w:t>
      </w:r>
      <w:r w:rsidRPr="00C82F88">
        <w:rPr>
          <w:rFonts w:ascii="Arial" w:hAnsi="Arial" w:cs="Arial" w:hint="eastAsia"/>
          <w:sz w:val="24"/>
          <w:szCs w:val="24"/>
        </w:rPr>
        <w:t xml:space="preserve"> is set out below:</w:t>
      </w:r>
    </w:p>
    <w:tbl>
      <w:tblPr>
        <w:tblW w:w="5088" w:type="pct"/>
        <w:tblLayout w:type="fixed"/>
        <w:tblLook w:val="01E0" w:firstRow="1" w:lastRow="1" w:firstColumn="1" w:lastColumn="1" w:noHBand="0" w:noVBand="0"/>
      </w:tblPr>
      <w:tblGrid>
        <w:gridCol w:w="3972"/>
        <w:gridCol w:w="1699"/>
        <w:gridCol w:w="1417"/>
        <w:gridCol w:w="1277"/>
        <w:gridCol w:w="1446"/>
      </w:tblGrid>
      <w:tr w:rsidR="00091980" w:rsidRPr="00587A5B" w14:paraId="60D5EF27" w14:textId="77777777" w:rsidTr="00926779">
        <w:tc>
          <w:tcPr>
            <w:tcW w:w="2024" w:type="pct"/>
            <w:tcBorders>
              <w:bottom w:val="single" w:sz="4" w:space="0" w:color="auto"/>
            </w:tcBorders>
            <w:shd w:val="clear" w:color="auto" w:fill="auto"/>
          </w:tcPr>
          <w:p w14:paraId="0A331BF8" w14:textId="77777777" w:rsidR="00091980" w:rsidRPr="003419F1" w:rsidRDefault="00091980" w:rsidP="00926779">
            <w:pPr>
              <w:rPr>
                <w:rFonts w:ascii="Arial" w:hAnsi="Arial" w:cs="Arial"/>
                <w:sz w:val="24"/>
                <w:szCs w:val="24"/>
              </w:rPr>
            </w:pPr>
          </w:p>
        </w:tc>
        <w:tc>
          <w:tcPr>
            <w:tcW w:w="866" w:type="pct"/>
            <w:tcBorders>
              <w:bottom w:val="single" w:sz="4" w:space="0" w:color="auto"/>
            </w:tcBorders>
            <w:shd w:val="clear" w:color="auto" w:fill="auto"/>
          </w:tcPr>
          <w:p w14:paraId="65C4BC4D" w14:textId="77777777" w:rsidR="00091980" w:rsidRPr="009E29D6" w:rsidRDefault="00091980" w:rsidP="00B66BBE">
            <w:pPr>
              <w:jc w:val="right"/>
              <w:rPr>
                <w:rFonts w:ascii="Arial" w:hAnsi="Arial" w:cs="Arial"/>
                <w:b/>
                <w:sz w:val="24"/>
                <w:szCs w:val="24"/>
              </w:rPr>
            </w:pPr>
            <w:r>
              <w:rPr>
                <w:rFonts w:ascii="Arial" w:hAnsi="Arial" w:cs="Arial"/>
                <w:b/>
                <w:sz w:val="24"/>
                <w:szCs w:val="24"/>
              </w:rPr>
              <w:t>2015/16</w:t>
            </w:r>
          </w:p>
          <w:p w14:paraId="4778D38D" w14:textId="77777777" w:rsidR="00091980" w:rsidRPr="009F642E" w:rsidRDefault="00091980" w:rsidP="00B66BBE">
            <w:pPr>
              <w:jc w:val="right"/>
              <w:rPr>
                <w:rFonts w:ascii="Arial" w:hAnsi="Arial" w:cs="Arial"/>
                <w:b/>
                <w:sz w:val="24"/>
                <w:szCs w:val="24"/>
              </w:rPr>
            </w:pPr>
          </w:p>
        </w:tc>
        <w:tc>
          <w:tcPr>
            <w:tcW w:w="722" w:type="pct"/>
            <w:tcBorders>
              <w:bottom w:val="single" w:sz="4" w:space="0" w:color="auto"/>
            </w:tcBorders>
            <w:shd w:val="clear" w:color="auto" w:fill="auto"/>
          </w:tcPr>
          <w:p w14:paraId="0158B28D" w14:textId="77777777" w:rsidR="00091980" w:rsidRPr="00AA4E8D" w:rsidRDefault="00091980" w:rsidP="00B66BBE">
            <w:pPr>
              <w:jc w:val="right"/>
              <w:rPr>
                <w:rFonts w:ascii="Arial" w:hAnsi="Arial" w:cs="Arial"/>
                <w:sz w:val="24"/>
                <w:szCs w:val="24"/>
              </w:rPr>
            </w:pPr>
            <w:r>
              <w:rPr>
                <w:rFonts w:ascii="Arial" w:hAnsi="Arial" w:cs="Arial"/>
                <w:sz w:val="24"/>
                <w:szCs w:val="24"/>
              </w:rPr>
              <w:t>2014/15</w:t>
            </w:r>
          </w:p>
          <w:p w14:paraId="42C67508" w14:textId="77777777" w:rsidR="00091980" w:rsidRPr="006C57F4" w:rsidRDefault="00091980" w:rsidP="00B66BBE">
            <w:pPr>
              <w:tabs>
                <w:tab w:val="center" w:pos="434"/>
                <w:tab w:val="right" w:pos="869"/>
              </w:tabs>
              <w:jc w:val="right"/>
              <w:rPr>
                <w:rFonts w:ascii="Arial" w:hAnsi="Arial" w:cs="Arial"/>
                <w:sz w:val="24"/>
                <w:szCs w:val="24"/>
              </w:rPr>
            </w:pPr>
          </w:p>
        </w:tc>
        <w:tc>
          <w:tcPr>
            <w:tcW w:w="651" w:type="pct"/>
            <w:tcBorders>
              <w:bottom w:val="single" w:sz="4" w:space="0" w:color="auto"/>
            </w:tcBorders>
          </w:tcPr>
          <w:p w14:paraId="52849B62" w14:textId="46AA2DAB" w:rsidR="00091980" w:rsidRDefault="00ED731D" w:rsidP="00B66BBE">
            <w:pPr>
              <w:jc w:val="right"/>
              <w:rPr>
                <w:rFonts w:ascii="Arial" w:hAnsi="Arial" w:cs="Arial"/>
                <w:sz w:val="24"/>
                <w:szCs w:val="24"/>
              </w:rPr>
            </w:pPr>
            <w:r>
              <w:rPr>
                <w:rFonts w:ascii="Arial" w:hAnsi="Arial" w:cs="Arial"/>
                <w:sz w:val="24"/>
                <w:szCs w:val="24"/>
              </w:rPr>
              <w:t xml:space="preserve">% </w:t>
            </w:r>
            <w:r w:rsidR="00091980">
              <w:rPr>
                <w:rFonts w:ascii="Arial" w:hAnsi="Arial" w:cs="Arial"/>
                <w:sz w:val="24"/>
                <w:szCs w:val="24"/>
              </w:rPr>
              <w:t>Reported Change</w:t>
            </w:r>
          </w:p>
        </w:tc>
        <w:tc>
          <w:tcPr>
            <w:tcW w:w="737" w:type="pct"/>
            <w:tcBorders>
              <w:bottom w:val="single" w:sz="4" w:space="0" w:color="auto"/>
            </w:tcBorders>
            <w:shd w:val="clear" w:color="auto" w:fill="auto"/>
          </w:tcPr>
          <w:p w14:paraId="4449DDFC" w14:textId="09A6D211" w:rsidR="00091980" w:rsidRPr="0008479A" w:rsidRDefault="00ED731D" w:rsidP="00B66BBE">
            <w:pPr>
              <w:jc w:val="right"/>
              <w:rPr>
                <w:rFonts w:ascii="Arial" w:hAnsi="Arial" w:cs="Arial"/>
                <w:sz w:val="24"/>
                <w:szCs w:val="24"/>
              </w:rPr>
            </w:pPr>
            <w:r>
              <w:rPr>
                <w:rFonts w:ascii="Arial" w:hAnsi="Arial" w:cs="Arial"/>
                <w:sz w:val="24"/>
                <w:szCs w:val="24"/>
              </w:rPr>
              <w:t xml:space="preserve">% </w:t>
            </w:r>
            <w:r w:rsidR="00091980">
              <w:rPr>
                <w:rFonts w:ascii="Arial" w:hAnsi="Arial" w:cs="Arial"/>
                <w:sz w:val="24"/>
                <w:szCs w:val="24"/>
              </w:rPr>
              <w:t>Constant Currency Change</w:t>
            </w:r>
          </w:p>
        </w:tc>
      </w:tr>
      <w:tr w:rsidR="00091980" w:rsidRPr="00587A5B" w14:paraId="45444248" w14:textId="77777777" w:rsidTr="00926779">
        <w:trPr>
          <w:trHeight w:val="80"/>
        </w:trPr>
        <w:tc>
          <w:tcPr>
            <w:tcW w:w="2024" w:type="pct"/>
            <w:tcBorders>
              <w:top w:val="single" w:sz="4" w:space="0" w:color="auto"/>
            </w:tcBorders>
            <w:shd w:val="clear" w:color="auto" w:fill="auto"/>
          </w:tcPr>
          <w:p w14:paraId="0A448682" w14:textId="77777777" w:rsidR="00091980" w:rsidRPr="003419F1" w:rsidRDefault="00091980" w:rsidP="00B66BBE">
            <w:pPr>
              <w:rPr>
                <w:rFonts w:ascii="Arial" w:hAnsi="Arial" w:cs="Arial"/>
                <w:sz w:val="2"/>
                <w:szCs w:val="2"/>
              </w:rPr>
            </w:pPr>
          </w:p>
        </w:tc>
        <w:tc>
          <w:tcPr>
            <w:tcW w:w="866" w:type="pct"/>
            <w:tcBorders>
              <w:top w:val="single" w:sz="4" w:space="0" w:color="auto"/>
            </w:tcBorders>
            <w:shd w:val="clear" w:color="auto" w:fill="auto"/>
          </w:tcPr>
          <w:p w14:paraId="01E8ECD1" w14:textId="77777777" w:rsidR="00091980" w:rsidRPr="009E29D6" w:rsidRDefault="00091980" w:rsidP="00B66BBE">
            <w:pPr>
              <w:jc w:val="right"/>
              <w:rPr>
                <w:rFonts w:ascii="Arial" w:hAnsi="Arial" w:cs="Arial"/>
                <w:b/>
                <w:sz w:val="2"/>
                <w:szCs w:val="2"/>
              </w:rPr>
            </w:pPr>
          </w:p>
        </w:tc>
        <w:tc>
          <w:tcPr>
            <w:tcW w:w="722" w:type="pct"/>
            <w:tcBorders>
              <w:top w:val="single" w:sz="4" w:space="0" w:color="auto"/>
            </w:tcBorders>
            <w:shd w:val="clear" w:color="auto" w:fill="auto"/>
          </w:tcPr>
          <w:p w14:paraId="5FD1BB41" w14:textId="77777777" w:rsidR="00091980" w:rsidRPr="009F642E" w:rsidRDefault="00091980" w:rsidP="00B66BBE">
            <w:pPr>
              <w:jc w:val="right"/>
              <w:rPr>
                <w:rFonts w:ascii="Arial" w:hAnsi="Arial" w:cs="Arial"/>
                <w:sz w:val="2"/>
                <w:szCs w:val="2"/>
              </w:rPr>
            </w:pPr>
          </w:p>
        </w:tc>
        <w:tc>
          <w:tcPr>
            <w:tcW w:w="651" w:type="pct"/>
            <w:tcBorders>
              <w:top w:val="single" w:sz="4" w:space="0" w:color="auto"/>
            </w:tcBorders>
          </w:tcPr>
          <w:p w14:paraId="0C09A8B3" w14:textId="77777777" w:rsidR="00091980" w:rsidRPr="00EF42EF" w:rsidRDefault="00091980" w:rsidP="00B66BBE">
            <w:pPr>
              <w:jc w:val="right"/>
              <w:rPr>
                <w:rFonts w:ascii="Arial" w:hAnsi="Arial" w:cs="Arial"/>
                <w:sz w:val="2"/>
                <w:szCs w:val="2"/>
              </w:rPr>
            </w:pPr>
          </w:p>
        </w:tc>
        <w:tc>
          <w:tcPr>
            <w:tcW w:w="737" w:type="pct"/>
            <w:tcBorders>
              <w:top w:val="single" w:sz="4" w:space="0" w:color="auto"/>
            </w:tcBorders>
            <w:shd w:val="clear" w:color="auto" w:fill="auto"/>
          </w:tcPr>
          <w:p w14:paraId="69999DB6" w14:textId="77777777" w:rsidR="00091980" w:rsidRPr="00EF42EF" w:rsidRDefault="00091980" w:rsidP="00B66BBE">
            <w:pPr>
              <w:jc w:val="right"/>
              <w:rPr>
                <w:rFonts w:ascii="Arial" w:hAnsi="Arial" w:cs="Arial"/>
                <w:sz w:val="2"/>
                <w:szCs w:val="2"/>
              </w:rPr>
            </w:pPr>
          </w:p>
        </w:tc>
      </w:tr>
      <w:tr w:rsidR="00091980" w:rsidRPr="00D91ED7" w14:paraId="31FDA04F" w14:textId="77777777" w:rsidTr="00926779">
        <w:tc>
          <w:tcPr>
            <w:tcW w:w="2024" w:type="pct"/>
            <w:shd w:val="clear" w:color="auto" w:fill="auto"/>
          </w:tcPr>
          <w:p w14:paraId="66AFA4F6" w14:textId="60112E29" w:rsidR="00091980" w:rsidRPr="006F320D" w:rsidRDefault="00623CA6" w:rsidP="00623CA6">
            <w:pPr>
              <w:rPr>
                <w:rFonts w:ascii="Arial" w:hAnsi="Arial" w:cs="Arial"/>
                <w:sz w:val="24"/>
                <w:szCs w:val="24"/>
              </w:rPr>
            </w:pPr>
            <w:r w:rsidRPr="00EF42EF">
              <w:rPr>
                <w:rFonts w:ascii="Arial" w:hAnsi="Arial" w:cs="Arial"/>
                <w:sz w:val="24"/>
                <w:szCs w:val="24"/>
              </w:rPr>
              <w:t>Adjusted s</w:t>
            </w:r>
            <w:r w:rsidR="00091980" w:rsidRPr="00623CA6">
              <w:rPr>
                <w:rFonts w:ascii="Arial" w:hAnsi="Arial" w:cs="Arial"/>
                <w:sz w:val="24"/>
                <w:szCs w:val="24"/>
              </w:rPr>
              <w:t>ales</w:t>
            </w:r>
          </w:p>
        </w:tc>
        <w:tc>
          <w:tcPr>
            <w:tcW w:w="866" w:type="pct"/>
            <w:shd w:val="clear" w:color="auto" w:fill="auto"/>
          </w:tcPr>
          <w:p w14:paraId="7B586547" w14:textId="77777777" w:rsidR="00091980" w:rsidRPr="006F320D" w:rsidRDefault="00091980" w:rsidP="00B66BBE">
            <w:pPr>
              <w:jc w:val="right"/>
              <w:rPr>
                <w:rFonts w:ascii="Arial" w:hAnsi="Arial" w:cs="Arial"/>
                <w:b/>
                <w:sz w:val="24"/>
                <w:szCs w:val="24"/>
              </w:rPr>
            </w:pPr>
            <w:r w:rsidRPr="006F320D">
              <w:rPr>
                <w:rFonts w:ascii="Arial" w:hAnsi="Arial" w:cs="Arial"/>
                <w:b/>
                <w:sz w:val="24"/>
                <w:szCs w:val="24"/>
              </w:rPr>
              <w:t>£5,382m</w:t>
            </w:r>
          </w:p>
        </w:tc>
        <w:tc>
          <w:tcPr>
            <w:tcW w:w="722" w:type="pct"/>
            <w:shd w:val="clear" w:color="auto" w:fill="auto"/>
          </w:tcPr>
          <w:p w14:paraId="093254ED" w14:textId="77777777" w:rsidR="00091980" w:rsidRPr="008808D8" w:rsidRDefault="00091980" w:rsidP="00B66BBE">
            <w:pPr>
              <w:jc w:val="right"/>
              <w:rPr>
                <w:rFonts w:ascii="Arial" w:hAnsi="Arial" w:cs="Arial"/>
                <w:sz w:val="24"/>
                <w:szCs w:val="24"/>
              </w:rPr>
            </w:pPr>
            <w:r w:rsidRPr="008808D8">
              <w:rPr>
                <w:rFonts w:ascii="Arial" w:hAnsi="Arial" w:cs="Arial"/>
                <w:sz w:val="24"/>
                <w:szCs w:val="24"/>
              </w:rPr>
              <w:t xml:space="preserve">£5,605m </w:t>
            </w:r>
          </w:p>
        </w:tc>
        <w:tc>
          <w:tcPr>
            <w:tcW w:w="651" w:type="pct"/>
          </w:tcPr>
          <w:p w14:paraId="6AF0AC96" w14:textId="77777777" w:rsidR="00091980" w:rsidRPr="00031E2E" w:rsidRDefault="00091980" w:rsidP="00B66BBE">
            <w:pPr>
              <w:jc w:val="right"/>
              <w:rPr>
                <w:rFonts w:ascii="Arial" w:hAnsi="Arial" w:cs="Arial"/>
                <w:sz w:val="24"/>
                <w:szCs w:val="24"/>
              </w:rPr>
            </w:pPr>
            <w:r w:rsidRPr="00031E2E">
              <w:rPr>
                <w:rFonts w:ascii="Arial" w:hAnsi="Arial" w:cs="Arial"/>
                <w:sz w:val="24"/>
                <w:szCs w:val="24"/>
              </w:rPr>
              <w:t>(4.0)%</w:t>
            </w:r>
          </w:p>
        </w:tc>
        <w:tc>
          <w:tcPr>
            <w:tcW w:w="737" w:type="pct"/>
            <w:shd w:val="clear" w:color="auto" w:fill="auto"/>
          </w:tcPr>
          <w:p w14:paraId="2E19E1F1" w14:textId="3F7107DC" w:rsidR="00091980" w:rsidRPr="00657B3E" w:rsidRDefault="00ED731D" w:rsidP="00B66BBE">
            <w:pPr>
              <w:jc w:val="right"/>
              <w:rPr>
                <w:rFonts w:ascii="Arial" w:hAnsi="Arial" w:cs="Arial"/>
                <w:sz w:val="24"/>
                <w:szCs w:val="24"/>
              </w:rPr>
            </w:pPr>
            <w:r w:rsidRPr="001545E7">
              <w:rPr>
                <w:rFonts w:ascii="Arial" w:hAnsi="Arial" w:cs="Arial"/>
                <w:sz w:val="24"/>
                <w:szCs w:val="24"/>
              </w:rPr>
              <w:t>+</w:t>
            </w:r>
            <w:r w:rsidR="00091980" w:rsidRPr="001545E7">
              <w:rPr>
                <w:rFonts w:ascii="Arial" w:hAnsi="Arial" w:cs="Arial"/>
                <w:sz w:val="24"/>
                <w:szCs w:val="24"/>
              </w:rPr>
              <w:t>3.5%</w:t>
            </w:r>
          </w:p>
        </w:tc>
      </w:tr>
      <w:tr w:rsidR="00091980" w:rsidRPr="00926779" w14:paraId="3E689C7D" w14:textId="77777777" w:rsidTr="00926779">
        <w:tc>
          <w:tcPr>
            <w:tcW w:w="2024" w:type="pct"/>
            <w:shd w:val="clear" w:color="auto" w:fill="auto"/>
          </w:tcPr>
          <w:p w14:paraId="69FBD4A8" w14:textId="77F0D878" w:rsidR="00091980" w:rsidRPr="00657B3E" w:rsidRDefault="00091980" w:rsidP="00B66BBE">
            <w:pPr>
              <w:rPr>
                <w:rFonts w:ascii="Arial" w:hAnsi="Arial" w:cs="Arial"/>
                <w:sz w:val="24"/>
                <w:szCs w:val="24"/>
              </w:rPr>
            </w:pPr>
            <w:r>
              <w:rPr>
                <w:rFonts w:ascii="Arial" w:hAnsi="Arial" w:cs="Arial"/>
                <w:sz w:val="24"/>
                <w:szCs w:val="24"/>
              </w:rPr>
              <w:t>Statutory sales</w:t>
            </w:r>
            <w:r w:rsidR="0057796F" w:rsidRPr="00506D26">
              <w:rPr>
                <w:rFonts w:ascii="Arial" w:hAnsi="Arial" w:cs="Arial"/>
                <w:sz w:val="24"/>
                <w:szCs w:val="24"/>
                <w:vertAlign w:val="superscript"/>
              </w:rPr>
              <w:t>(1</w:t>
            </w:r>
            <w:r w:rsidR="0057796F" w:rsidRPr="007C47AE">
              <w:rPr>
                <w:rFonts w:ascii="Arial" w:hAnsi="Arial" w:cs="Arial"/>
                <w:sz w:val="24"/>
                <w:szCs w:val="24"/>
                <w:vertAlign w:val="superscript"/>
              </w:rPr>
              <w:t>)</w:t>
            </w:r>
          </w:p>
        </w:tc>
        <w:tc>
          <w:tcPr>
            <w:tcW w:w="866" w:type="pct"/>
            <w:shd w:val="clear" w:color="auto" w:fill="auto"/>
          </w:tcPr>
          <w:p w14:paraId="7D1A28B0" w14:textId="77777777" w:rsidR="00091980" w:rsidRPr="00657B3E" w:rsidRDefault="00091980" w:rsidP="00B66BBE">
            <w:pPr>
              <w:jc w:val="right"/>
              <w:rPr>
                <w:rFonts w:ascii="Arial" w:hAnsi="Arial" w:cs="Arial"/>
                <w:b/>
                <w:sz w:val="24"/>
                <w:szCs w:val="24"/>
              </w:rPr>
            </w:pPr>
            <w:r>
              <w:rPr>
                <w:rFonts w:ascii="Arial" w:hAnsi="Arial" w:cs="Arial"/>
                <w:b/>
                <w:sz w:val="24"/>
                <w:szCs w:val="24"/>
              </w:rPr>
              <w:t>£5,492m</w:t>
            </w:r>
          </w:p>
        </w:tc>
        <w:tc>
          <w:tcPr>
            <w:tcW w:w="722" w:type="pct"/>
            <w:shd w:val="clear" w:color="auto" w:fill="auto"/>
          </w:tcPr>
          <w:p w14:paraId="6F97EB36" w14:textId="77777777" w:rsidR="00091980" w:rsidRPr="005E60A5" w:rsidRDefault="00091980" w:rsidP="00B66BBE">
            <w:pPr>
              <w:jc w:val="right"/>
              <w:rPr>
                <w:rFonts w:ascii="Arial" w:hAnsi="Arial" w:cs="Arial"/>
                <w:sz w:val="24"/>
                <w:szCs w:val="24"/>
              </w:rPr>
            </w:pPr>
            <w:r>
              <w:rPr>
                <w:rFonts w:ascii="Arial" w:hAnsi="Arial" w:cs="Arial"/>
                <w:sz w:val="24"/>
                <w:szCs w:val="24"/>
              </w:rPr>
              <w:t>£5,768m</w:t>
            </w:r>
          </w:p>
        </w:tc>
        <w:tc>
          <w:tcPr>
            <w:tcW w:w="651" w:type="pct"/>
          </w:tcPr>
          <w:p w14:paraId="32275973" w14:textId="01EAAF1D" w:rsidR="00091980" w:rsidRDefault="0046215A" w:rsidP="00B66BBE">
            <w:pPr>
              <w:jc w:val="right"/>
              <w:rPr>
                <w:rFonts w:ascii="Arial" w:hAnsi="Arial" w:cs="Arial"/>
                <w:sz w:val="24"/>
                <w:szCs w:val="24"/>
              </w:rPr>
            </w:pPr>
            <w:r>
              <w:rPr>
                <w:rFonts w:ascii="Arial" w:hAnsi="Arial" w:cs="Arial"/>
                <w:sz w:val="24"/>
                <w:szCs w:val="24"/>
              </w:rPr>
              <w:t>(4.8)%</w:t>
            </w:r>
          </w:p>
        </w:tc>
        <w:tc>
          <w:tcPr>
            <w:tcW w:w="737" w:type="pct"/>
            <w:shd w:val="clear" w:color="auto" w:fill="auto"/>
          </w:tcPr>
          <w:p w14:paraId="2A9F5ABC" w14:textId="5FD57A97" w:rsidR="00091980" w:rsidRPr="00926779" w:rsidRDefault="00ED731D" w:rsidP="00B66BBE">
            <w:pPr>
              <w:jc w:val="right"/>
              <w:rPr>
                <w:rFonts w:ascii="Arial" w:hAnsi="Arial" w:cs="Arial"/>
                <w:sz w:val="24"/>
                <w:szCs w:val="24"/>
              </w:rPr>
            </w:pPr>
            <w:r w:rsidRPr="00926779">
              <w:rPr>
                <w:rFonts w:ascii="Arial" w:hAnsi="Arial" w:cs="Arial"/>
                <w:sz w:val="24"/>
                <w:szCs w:val="24"/>
              </w:rPr>
              <w:t>+</w:t>
            </w:r>
            <w:r w:rsidR="00EB07C1" w:rsidRPr="00926779">
              <w:rPr>
                <w:rFonts w:ascii="Arial" w:hAnsi="Arial" w:cs="Arial"/>
                <w:sz w:val="24"/>
                <w:szCs w:val="24"/>
              </w:rPr>
              <w:t>2.0</w:t>
            </w:r>
            <w:r w:rsidR="0046215A" w:rsidRPr="00926779">
              <w:rPr>
                <w:rFonts w:ascii="Arial" w:hAnsi="Arial" w:cs="Arial"/>
                <w:sz w:val="24"/>
                <w:szCs w:val="24"/>
              </w:rPr>
              <w:t>%</w:t>
            </w:r>
          </w:p>
        </w:tc>
      </w:tr>
      <w:tr w:rsidR="00091980" w:rsidRPr="00D91ED7" w14:paraId="7EEF7AAA" w14:textId="77777777" w:rsidTr="00926779">
        <w:tc>
          <w:tcPr>
            <w:tcW w:w="2024" w:type="pct"/>
            <w:shd w:val="clear" w:color="auto" w:fill="auto"/>
          </w:tcPr>
          <w:p w14:paraId="4E48381B" w14:textId="77777777" w:rsidR="00091980" w:rsidRPr="00657B3E" w:rsidRDefault="00091980" w:rsidP="00B66BBE">
            <w:pPr>
              <w:rPr>
                <w:rFonts w:ascii="Arial" w:hAnsi="Arial" w:cs="Arial"/>
                <w:sz w:val="24"/>
                <w:szCs w:val="24"/>
              </w:rPr>
            </w:pPr>
            <w:r w:rsidRPr="00657B3E">
              <w:rPr>
                <w:rFonts w:ascii="Arial" w:hAnsi="Arial" w:cs="Arial"/>
                <w:sz w:val="24"/>
                <w:szCs w:val="24"/>
              </w:rPr>
              <w:t xml:space="preserve">Retail profit </w:t>
            </w:r>
          </w:p>
        </w:tc>
        <w:tc>
          <w:tcPr>
            <w:tcW w:w="866" w:type="pct"/>
            <w:shd w:val="clear" w:color="auto" w:fill="auto"/>
          </w:tcPr>
          <w:p w14:paraId="439D55B3" w14:textId="77777777" w:rsidR="00091980" w:rsidRPr="00657B3E" w:rsidRDefault="00091980" w:rsidP="00B66BBE">
            <w:pPr>
              <w:jc w:val="right"/>
              <w:rPr>
                <w:rFonts w:ascii="Arial" w:hAnsi="Arial" w:cs="Arial"/>
                <w:b/>
                <w:sz w:val="24"/>
                <w:szCs w:val="24"/>
              </w:rPr>
            </w:pPr>
            <w:r w:rsidRPr="00657B3E">
              <w:rPr>
                <w:rFonts w:ascii="Arial" w:hAnsi="Arial" w:cs="Arial"/>
                <w:b/>
                <w:sz w:val="24"/>
                <w:szCs w:val="24"/>
              </w:rPr>
              <w:t>£</w:t>
            </w:r>
            <w:r>
              <w:rPr>
                <w:rFonts w:ascii="Arial" w:hAnsi="Arial" w:cs="Arial"/>
                <w:b/>
                <w:sz w:val="24"/>
                <w:szCs w:val="24"/>
              </w:rPr>
              <w:t>410</w:t>
            </w:r>
            <w:r w:rsidRPr="00657B3E">
              <w:rPr>
                <w:rFonts w:ascii="Arial" w:hAnsi="Arial" w:cs="Arial"/>
                <w:b/>
                <w:sz w:val="24"/>
                <w:szCs w:val="24"/>
              </w:rPr>
              <w:t>m</w:t>
            </w:r>
          </w:p>
        </w:tc>
        <w:tc>
          <w:tcPr>
            <w:tcW w:w="722" w:type="pct"/>
            <w:shd w:val="clear" w:color="auto" w:fill="auto"/>
          </w:tcPr>
          <w:p w14:paraId="05ED9177" w14:textId="77777777" w:rsidR="00091980" w:rsidRPr="00D0562E" w:rsidRDefault="00091980" w:rsidP="00B66BBE">
            <w:pPr>
              <w:jc w:val="right"/>
              <w:rPr>
                <w:rFonts w:ascii="Arial" w:hAnsi="Arial" w:cs="Arial"/>
                <w:sz w:val="24"/>
                <w:szCs w:val="24"/>
                <w:highlight w:val="yellow"/>
              </w:rPr>
            </w:pPr>
            <w:r w:rsidRPr="005E60A5">
              <w:rPr>
                <w:rFonts w:ascii="Arial" w:hAnsi="Arial" w:cs="Arial"/>
                <w:sz w:val="24"/>
                <w:szCs w:val="24"/>
              </w:rPr>
              <w:t>£419m</w:t>
            </w:r>
          </w:p>
        </w:tc>
        <w:tc>
          <w:tcPr>
            <w:tcW w:w="651" w:type="pct"/>
          </w:tcPr>
          <w:p w14:paraId="05F2491E" w14:textId="77777777" w:rsidR="00091980" w:rsidRPr="00657B3E" w:rsidRDefault="00091980" w:rsidP="00B66BBE">
            <w:pPr>
              <w:jc w:val="right"/>
              <w:rPr>
                <w:rFonts w:ascii="Arial" w:hAnsi="Arial" w:cs="Arial"/>
                <w:sz w:val="24"/>
                <w:szCs w:val="24"/>
              </w:rPr>
            </w:pPr>
            <w:r>
              <w:rPr>
                <w:rFonts w:ascii="Arial" w:hAnsi="Arial" w:cs="Arial"/>
                <w:sz w:val="24"/>
                <w:szCs w:val="24"/>
              </w:rPr>
              <w:t>(2.2)%</w:t>
            </w:r>
          </w:p>
        </w:tc>
        <w:tc>
          <w:tcPr>
            <w:tcW w:w="737" w:type="pct"/>
            <w:shd w:val="clear" w:color="auto" w:fill="auto"/>
          </w:tcPr>
          <w:p w14:paraId="3AEBB0EE" w14:textId="6E475783" w:rsidR="00091980" w:rsidRPr="00657B3E" w:rsidRDefault="00ED731D" w:rsidP="00B66BBE">
            <w:pPr>
              <w:jc w:val="right"/>
              <w:rPr>
                <w:rFonts w:ascii="Arial" w:hAnsi="Arial" w:cs="Arial"/>
                <w:sz w:val="24"/>
                <w:szCs w:val="24"/>
              </w:rPr>
            </w:pPr>
            <w:r>
              <w:rPr>
                <w:rFonts w:ascii="Arial" w:hAnsi="Arial" w:cs="Arial"/>
                <w:sz w:val="24"/>
                <w:szCs w:val="24"/>
              </w:rPr>
              <w:t>+</w:t>
            </w:r>
            <w:r w:rsidR="00091980">
              <w:rPr>
                <w:rFonts w:ascii="Arial" w:hAnsi="Arial" w:cs="Arial"/>
                <w:sz w:val="24"/>
                <w:szCs w:val="24"/>
              </w:rPr>
              <w:t>5.0%</w:t>
            </w:r>
          </w:p>
        </w:tc>
      </w:tr>
      <w:tr w:rsidR="00091980" w:rsidRPr="00D91ED7" w14:paraId="4C3C7822" w14:textId="77777777" w:rsidTr="00926779">
        <w:tc>
          <w:tcPr>
            <w:tcW w:w="2024" w:type="pct"/>
            <w:shd w:val="clear" w:color="auto" w:fill="auto"/>
          </w:tcPr>
          <w:p w14:paraId="4441D4A7" w14:textId="77777777" w:rsidR="00091980" w:rsidRPr="00657B3E" w:rsidRDefault="00091980" w:rsidP="00B66BBE">
            <w:pPr>
              <w:rPr>
                <w:rFonts w:ascii="Arial" w:hAnsi="Arial" w:cs="Arial"/>
                <w:sz w:val="24"/>
                <w:szCs w:val="24"/>
              </w:rPr>
            </w:pPr>
            <w:r w:rsidRPr="00657B3E">
              <w:rPr>
                <w:rFonts w:ascii="Arial" w:hAnsi="Arial" w:cs="Arial"/>
                <w:sz w:val="24"/>
                <w:szCs w:val="24"/>
              </w:rPr>
              <w:t xml:space="preserve">Adjusted pre-tax profit </w:t>
            </w:r>
          </w:p>
        </w:tc>
        <w:tc>
          <w:tcPr>
            <w:tcW w:w="866" w:type="pct"/>
            <w:shd w:val="clear" w:color="auto" w:fill="auto"/>
          </w:tcPr>
          <w:p w14:paraId="2C87DF1D" w14:textId="77777777" w:rsidR="00091980" w:rsidRPr="00CA4D98" w:rsidRDefault="00091980" w:rsidP="00B66BBE">
            <w:pPr>
              <w:jc w:val="right"/>
              <w:rPr>
                <w:rFonts w:ascii="Arial" w:hAnsi="Arial" w:cs="Arial"/>
                <w:b/>
                <w:sz w:val="24"/>
                <w:szCs w:val="24"/>
              </w:rPr>
            </w:pPr>
            <w:r w:rsidRPr="00CA4D98">
              <w:rPr>
                <w:rFonts w:ascii="Arial" w:hAnsi="Arial" w:cs="Arial"/>
                <w:b/>
                <w:sz w:val="24"/>
                <w:szCs w:val="24"/>
              </w:rPr>
              <w:t>£384m</w:t>
            </w:r>
          </w:p>
        </w:tc>
        <w:tc>
          <w:tcPr>
            <w:tcW w:w="722" w:type="pct"/>
            <w:shd w:val="clear" w:color="auto" w:fill="auto"/>
          </w:tcPr>
          <w:p w14:paraId="73872A35" w14:textId="77777777" w:rsidR="00091980" w:rsidRPr="00CA4D98" w:rsidRDefault="00091980" w:rsidP="00B66BBE">
            <w:pPr>
              <w:jc w:val="right"/>
              <w:rPr>
                <w:rFonts w:ascii="Arial" w:hAnsi="Arial" w:cs="Arial"/>
                <w:sz w:val="24"/>
                <w:szCs w:val="24"/>
              </w:rPr>
            </w:pPr>
            <w:r w:rsidRPr="00CA4D98">
              <w:rPr>
                <w:rFonts w:ascii="Arial" w:hAnsi="Arial" w:cs="Arial"/>
                <w:sz w:val="24"/>
                <w:szCs w:val="24"/>
              </w:rPr>
              <w:t>£393m</w:t>
            </w:r>
          </w:p>
        </w:tc>
        <w:tc>
          <w:tcPr>
            <w:tcW w:w="651" w:type="pct"/>
          </w:tcPr>
          <w:p w14:paraId="236B28D2" w14:textId="05258268" w:rsidR="00091980" w:rsidRPr="00657B3E" w:rsidRDefault="0046215A" w:rsidP="00B66BBE">
            <w:pPr>
              <w:jc w:val="right"/>
              <w:rPr>
                <w:rFonts w:ascii="Arial" w:hAnsi="Arial" w:cs="Arial"/>
                <w:sz w:val="24"/>
                <w:szCs w:val="24"/>
              </w:rPr>
            </w:pPr>
            <w:r>
              <w:rPr>
                <w:rFonts w:ascii="Arial" w:hAnsi="Arial" w:cs="Arial"/>
                <w:sz w:val="24"/>
                <w:szCs w:val="24"/>
              </w:rPr>
              <w:t>(2.3)%</w:t>
            </w:r>
          </w:p>
        </w:tc>
        <w:tc>
          <w:tcPr>
            <w:tcW w:w="737" w:type="pct"/>
            <w:shd w:val="clear" w:color="auto" w:fill="auto"/>
          </w:tcPr>
          <w:p w14:paraId="6109B39D" w14:textId="77777777" w:rsidR="00091980" w:rsidRPr="00657B3E" w:rsidRDefault="00091980" w:rsidP="00B66BBE">
            <w:pPr>
              <w:jc w:val="right"/>
              <w:rPr>
                <w:rFonts w:ascii="Arial" w:hAnsi="Arial" w:cs="Arial"/>
                <w:sz w:val="24"/>
                <w:szCs w:val="24"/>
              </w:rPr>
            </w:pPr>
          </w:p>
        </w:tc>
      </w:tr>
      <w:tr w:rsidR="00091980" w:rsidRPr="00D91ED7" w14:paraId="7E160EA2" w14:textId="77777777" w:rsidTr="00926779">
        <w:tc>
          <w:tcPr>
            <w:tcW w:w="2024" w:type="pct"/>
            <w:shd w:val="clear" w:color="auto" w:fill="auto"/>
          </w:tcPr>
          <w:p w14:paraId="46D991FC" w14:textId="77777777" w:rsidR="00091980" w:rsidRPr="00657B3E" w:rsidRDefault="00091980" w:rsidP="00B66BBE">
            <w:pPr>
              <w:rPr>
                <w:rFonts w:ascii="Arial" w:hAnsi="Arial" w:cs="Arial"/>
                <w:sz w:val="24"/>
                <w:szCs w:val="24"/>
              </w:rPr>
            </w:pPr>
            <w:r w:rsidRPr="00657B3E">
              <w:rPr>
                <w:rFonts w:ascii="Arial" w:hAnsi="Arial" w:cs="Arial"/>
                <w:sz w:val="24"/>
                <w:szCs w:val="24"/>
              </w:rPr>
              <w:t>Statutory pre-tax profit</w:t>
            </w:r>
          </w:p>
        </w:tc>
        <w:tc>
          <w:tcPr>
            <w:tcW w:w="866" w:type="pct"/>
            <w:shd w:val="clear" w:color="auto" w:fill="auto"/>
          </w:tcPr>
          <w:p w14:paraId="23C23E06" w14:textId="6705F136" w:rsidR="00091980" w:rsidRPr="00E11421" w:rsidRDefault="009C546D" w:rsidP="00B66BBE">
            <w:pPr>
              <w:jc w:val="right"/>
              <w:rPr>
                <w:rFonts w:ascii="Arial" w:hAnsi="Arial" w:cs="Arial"/>
                <w:b/>
                <w:sz w:val="24"/>
                <w:szCs w:val="24"/>
                <w:highlight w:val="yellow"/>
              </w:rPr>
            </w:pPr>
            <w:r>
              <w:rPr>
                <w:rFonts w:ascii="Arial" w:hAnsi="Arial" w:cs="Arial"/>
                <w:b/>
                <w:sz w:val="24"/>
                <w:szCs w:val="24"/>
              </w:rPr>
              <w:t>£386</w:t>
            </w:r>
            <w:r w:rsidR="00091980" w:rsidRPr="00CA4D98">
              <w:rPr>
                <w:rFonts w:ascii="Arial" w:hAnsi="Arial" w:cs="Arial"/>
                <w:b/>
                <w:sz w:val="24"/>
                <w:szCs w:val="24"/>
              </w:rPr>
              <w:t>m</w:t>
            </w:r>
          </w:p>
        </w:tc>
        <w:tc>
          <w:tcPr>
            <w:tcW w:w="722" w:type="pct"/>
            <w:shd w:val="clear" w:color="auto" w:fill="auto"/>
          </w:tcPr>
          <w:p w14:paraId="6DD23EF9" w14:textId="77777777" w:rsidR="00091980" w:rsidRPr="00E11421" w:rsidRDefault="00091980" w:rsidP="00B66BBE">
            <w:pPr>
              <w:jc w:val="right"/>
              <w:rPr>
                <w:rFonts w:ascii="Arial" w:hAnsi="Arial" w:cs="Arial"/>
                <w:sz w:val="24"/>
                <w:szCs w:val="24"/>
                <w:highlight w:val="yellow"/>
              </w:rPr>
            </w:pPr>
            <w:r w:rsidRPr="00CA4D98">
              <w:rPr>
                <w:rFonts w:ascii="Arial" w:hAnsi="Arial" w:cs="Arial"/>
                <w:sz w:val="24"/>
                <w:szCs w:val="24"/>
              </w:rPr>
              <w:t>£393m</w:t>
            </w:r>
          </w:p>
        </w:tc>
        <w:tc>
          <w:tcPr>
            <w:tcW w:w="651" w:type="pct"/>
          </w:tcPr>
          <w:p w14:paraId="35C6CBA5" w14:textId="46C471D2" w:rsidR="00091980" w:rsidRPr="00657B3E" w:rsidRDefault="009C546D" w:rsidP="00B66BBE">
            <w:pPr>
              <w:jc w:val="right"/>
              <w:rPr>
                <w:rFonts w:ascii="Arial" w:hAnsi="Arial" w:cs="Arial"/>
                <w:sz w:val="24"/>
                <w:szCs w:val="24"/>
              </w:rPr>
            </w:pPr>
            <w:r>
              <w:rPr>
                <w:rFonts w:ascii="Arial" w:hAnsi="Arial" w:cs="Arial"/>
                <w:sz w:val="24"/>
                <w:szCs w:val="24"/>
              </w:rPr>
              <w:t>(1.8</w:t>
            </w:r>
            <w:r w:rsidR="0046215A">
              <w:rPr>
                <w:rFonts w:ascii="Arial" w:hAnsi="Arial" w:cs="Arial"/>
                <w:sz w:val="24"/>
                <w:szCs w:val="24"/>
              </w:rPr>
              <w:t>)%</w:t>
            </w:r>
          </w:p>
        </w:tc>
        <w:tc>
          <w:tcPr>
            <w:tcW w:w="737" w:type="pct"/>
            <w:shd w:val="clear" w:color="auto" w:fill="auto"/>
          </w:tcPr>
          <w:p w14:paraId="267F5614" w14:textId="77777777" w:rsidR="00091980" w:rsidRPr="00657B3E" w:rsidRDefault="00091980" w:rsidP="00B66BBE">
            <w:pPr>
              <w:jc w:val="right"/>
              <w:rPr>
                <w:rFonts w:ascii="Arial" w:hAnsi="Arial" w:cs="Arial"/>
                <w:sz w:val="24"/>
                <w:szCs w:val="24"/>
              </w:rPr>
            </w:pPr>
          </w:p>
        </w:tc>
      </w:tr>
      <w:tr w:rsidR="00091980" w:rsidRPr="00D91ED7" w14:paraId="26403FF3" w14:textId="77777777" w:rsidTr="00926779">
        <w:tc>
          <w:tcPr>
            <w:tcW w:w="2024" w:type="pct"/>
            <w:shd w:val="clear" w:color="auto" w:fill="auto"/>
          </w:tcPr>
          <w:p w14:paraId="2F3C6718" w14:textId="77777777" w:rsidR="00091980" w:rsidRPr="00657B3E" w:rsidRDefault="00091980" w:rsidP="00B66BBE">
            <w:pPr>
              <w:rPr>
                <w:rFonts w:ascii="Arial" w:hAnsi="Arial" w:cs="Arial"/>
                <w:sz w:val="24"/>
                <w:szCs w:val="24"/>
              </w:rPr>
            </w:pPr>
            <w:r w:rsidRPr="00657B3E">
              <w:rPr>
                <w:rFonts w:ascii="Arial" w:hAnsi="Arial" w:cs="Arial"/>
                <w:sz w:val="24"/>
                <w:szCs w:val="24"/>
              </w:rPr>
              <w:t>Exceptional items (post-tax)</w:t>
            </w:r>
          </w:p>
        </w:tc>
        <w:tc>
          <w:tcPr>
            <w:tcW w:w="866" w:type="pct"/>
            <w:shd w:val="clear" w:color="auto" w:fill="auto"/>
          </w:tcPr>
          <w:p w14:paraId="3B4BE281" w14:textId="2613BDC7" w:rsidR="00091980" w:rsidRPr="008F2B27" w:rsidRDefault="009C546D" w:rsidP="00B66BBE">
            <w:pPr>
              <w:jc w:val="right"/>
              <w:rPr>
                <w:rFonts w:ascii="Arial" w:hAnsi="Arial" w:cs="Arial"/>
                <w:b/>
                <w:sz w:val="24"/>
                <w:szCs w:val="24"/>
              </w:rPr>
            </w:pPr>
            <w:r>
              <w:rPr>
                <w:rFonts w:ascii="Arial" w:hAnsi="Arial" w:cs="Arial"/>
                <w:b/>
                <w:sz w:val="24"/>
                <w:szCs w:val="24"/>
              </w:rPr>
              <w:t>£38</w:t>
            </w:r>
            <w:r w:rsidR="00091980" w:rsidRPr="00CA4D98">
              <w:rPr>
                <w:rFonts w:ascii="Arial" w:hAnsi="Arial" w:cs="Arial"/>
                <w:b/>
                <w:sz w:val="24"/>
                <w:szCs w:val="24"/>
              </w:rPr>
              <w:t>m</w:t>
            </w:r>
          </w:p>
        </w:tc>
        <w:tc>
          <w:tcPr>
            <w:tcW w:w="722" w:type="pct"/>
            <w:shd w:val="clear" w:color="auto" w:fill="auto"/>
          </w:tcPr>
          <w:p w14:paraId="693D4015" w14:textId="77777777" w:rsidR="00091980" w:rsidRPr="008F2B27" w:rsidRDefault="00091980" w:rsidP="00B66BBE">
            <w:pPr>
              <w:jc w:val="right"/>
              <w:rPr>
                <w:rFonts w:ascii="Arial" w:hAnsi="Arial" w:cs="Arial"/>
                <w:sz w:val="24"/>
                <w:szCs w:val="24"/>
              </w:rPr>
            </w:pPr>
            <w:r w:rsidRPr="00CA4D98">
              <w:rPr>
                <w:rFonts w:ascii="Arial" w:hAnsi="Arial" w:cs="Arial"/>
                <w:sz w:val="24"/>
                <w:szCs w:val="24"/>
              </w:rPr>
              <w:t>£11m</w:t>
            </w:r>
          </w:p>
        </w:tc>
        <w:tc>
          <w:tcPr>
            <w:tcW w:w="651" w:type="pct"/>
          </w:tcPr>
          <w:p w14:paraId="6DD061EF" w14:textId="1C6DC7F9" w:rsidR="00091980" w:rsidRPr="00657B3E" w:rsidRDefault="00ED731D" w:rsidP="00B66BBE">
            <w:pPr>
              <w:jc w:val="right"/>
              <w:rPr>
                <w:rFonts w:ascii="Arial" w:hAnsi="Arial" w:cs="Arial"/>
                <w:sz w:val="24"/>
                <w:szCs w:val="24"/>
              </w:rPr>
            </w:pPr>
            <w:r>
              <w:rPr>
                <w:rFonts w:ascii="Arial" w:hAnsi="Arial" w:cs="Arial"/>
                <w:sz w:val="24"/>
                <w:szCs w:val="24"/>
              </w:rPr>
              <w:t>n/a</w:t>
            </w:r>
          </w:p>
        </w:tc>
        <w:tc>
          <w:tcPr>
            <w:tcW w:w="737" w:type="pct"/>
            <w:shd w:val="clear" w:color="auto" w:fill="auto"/>
          </w:tcPr>
          <w:p w14:paraId="6E49F4C6" w14:textId="77777777" w:rsidR="00091980" w:rsidRPr="00657B3E" w:rsidRDefault="00091980" w:rsidP="00B66BBE">
            <w:pPr>
              <w:jc w:val="right"/>
              <w:rPr>
                <w:rFonts w:ascii="Arial" w:hAnsi="Arial" w:cs="Arial"/>
                <w:sz w:val="24"/>
                <w:szCs w:val="24"/>
              </w:rPr>
            </w:pPr>
          </w:p>
        </w:tc>
      </w:tr>
      <w:tr w:rsidR="00091980" w:rsidRPr="00D91ED7" w14:paraId="51C49D2F" w14:textId="77777777" w:rsidTr="00926779">
        <w:tc>
          <w:tcPr>
            <w:tcW w:w="2024" w:type="pct"/>
            <w:shd w:val="clear" w:color="auto" w:fill="auto"/>
          </w:tcPr>
          <w:p w14:paraId="09E21609" w14:textId="77777777" w:rsidR="00091980" w:rsidRPr="00657B3E" w:rsidRDefault="00091980" w:rsidP="00B66BBE">
            <w:pPr>
              <w:rPr>
                <w:rFonts w:ascii="Arial" w:hAnsi="Arial" w:cs="Arial"/>
                <w:sz w:val="24"/>
                <w:szCs w:val="24"/>
              </w:rPr>
            </w:pPr>
            <w:r w:rsidRPr="00657B3E">
              <w:rPr>
                <w:rFonts w:ascii="Arial" w:hAnsi="Arial" w:cs="Arial"/>
                <w:sz w:val="24"/>
                <w:szCs w:val="24"/>
              </w:rPr>
              <w:t xml:space="preserve">Adjusted basic earnings per share </w:t>
            </w:r>
          </w:p>
        </w:tc>
        <w:tc>
          <w:tcPr>
            <w:tcW w:w="866" w:type="pct"/>
            <w:shd w:val="clear" w:color="auto" w:fill="auto"/>
          </w:tcPr>
          <w:p w14:paraId="4174190F" w14:textId="77777777" w:rsidR="00091980" w:rsidRPr="008F2B27" w:rsidRDefault="00091980" w:rsidP="00B66BBE">
            <w:pPr>
              <w:jc w:val="right"/>
              <w:rPr>
                <w:rFonts w:ascii="Arial" w:hAnsi="Arial" w:cs="Arial"/>
                <w:b/>
                <w:sz w:val="24"/>
                <w:szCs w:val="24"/>
              </w:rPr>
            </w:pPr>
            <w:r w:rsidRPr="00CA4D98">
              <w:rPr>
                <w:rFonts w:ascii="Arial" w:hAnsi="Arial" w:cs="Arial"/>
                <w:b/>
                <w:sz w:val="24"/>
                <w:szCs w:val="24"/>
              </w:rPr>
              <w:t>12.3p</w:t>
            </w:r>
          </w:p>
        </w:tc>
        <w:tc>
          <w:tcPr>
            <w:tcW w:w="722" w:type="pct"/>
            <w:shd w:val="clear" w:color="auto" w:fill="auto"/>
          </w:tcPr>
          <w:p w14:paraId="1DF21A5C" w14:textId="77777777" w:rsidR="00091980" w:rsidRPr="005649F6" w:rsidRDefault="00091980" w:rsidP="00B66BBE">
            <w:pPr>
              <w:jc w:val="right"/>
              <w:rPr>
                <w:rFonts w:ascii="Arial" w:hAnsi="Arial" w:cs="Arial"/>
                <w:sz w:val="24"/>
                <w:szCs w:val="24"/>
              </w:rPr>
            </w:pPr>
            <w:r w:rsidRPr="005649F6">
              <w:rPr>
                <w:rFonts w:ascii="Arial" w:hAnsi="Arial" w:cs="Arial"/>
                <w:sz w:val="24"/>
                <w:szCs w:val="24"/>
              </w:rPr>
              <w:t>12.3p</w:t>
            </w:r>
          </w:p>
        </w:tc>
        <w:tc>
          <w:tcPr>
            <w:tcW w:w="651" w:type="pct"/>
          </w:tcPr>
          <w:p w14:paraId="6BEA00F4" w14:textId="3A9D6B1B" w:rsidR="00091980" w:rsidRPr="00657B3E" w:rsidRDefault="00ED731D" w:rsidP="00B66BBE">
            <w:pPr>
              <w:jc w:val="right"/>
              <w:rPr>
                <w:rFonts w:ascii="Arial" w:hAnsi="Arial" w:cs="Arial"/>
                <w:sz w:val="24"/>
                <w:szCs w:val="24"/>
              </w:rPr>
            </w:pPr>
            <w:r>
              <w:rPr>
                <w:rFonts w:ascii="Arial" w:hAnsi="Arial" w:cs="Arial"/>
                <w:sz w:val="24"/>
                <w:szCs w:val="24"/>
              </w:rPr>
              <w:t>Flat</w:t>
            </w:r>
          </w:p>
        </w:tc>
        <w:tc>
          <w:tcPr>
            <w:tcW w:w="737" w:type="pct"/>
            <w:shd w:val="clear" w:color="auto" w:fill="auto"/>
          </w:tcPr>
          <w:p w14:paraId="0B338010" w14:textId="77777777" w:rsidR="00091980" w:rsidRPr="00657B3E" w:rsidRDefault="00091980" w:rsidP="00B66BBE">
            <w:pPr>
              <w:jc w:val="right"/>
              <w:rPr>
                <w:rFonts w:ascii="Arial" w:hAnsi="Arial" w:cs="Arial"/>
                <w:sz w:val="24"/>
                <w:szCs w:val="24"/>
              </w:rPr>
            </w:pPr>
          </w:p>
        </w:tc>
      </w:tr>
      <w:tr w:rsidR="00091980" w:rsidRPr="00D91ED7" w14:paraId="03878FB7" w14:textId="77777777" w:rsidTr="00926779">
        <w:tc>
          <w:tcPr>
            <w:tcW w:w="2024" w:type="pct"/>
            <w:shd w:val="clear" w:color="auto" w:fill="auto"/>
          </w:tcPr>
          <w:p w14:paraId="7ECEF6D4" w14:textId="77777777" w:rsidR="00091980" w:rsidRPr="00657B3E" w:rsidRDefault="00091980" w:rsidP="00B66BBE">
            <w:pPr>
              <w:rPr>
                <w:rFonts w:ascii="Arial" w:hAnsi="Arial" w:cs="Arial"/>
                <w:sz w:val="24"/>
                <w:szCs w:val="24"/>
              </w:rPr>
            </w:pPr>
            <w:r w:rsidRPr="00657B3E">
              <w:rPr>
                <w:rFonts w:ascii="Arial" w:hAnsi="Arial" w:cs="Arial"/>
                <w:sz w:val="24"/>
                <w:szCs w:val="24"/>
              </w:rPr>
              <w:t>Basic earnings per share</w:t>
            </w:r>
          </w:p>
        </w:tc>
        <w:tc>
          <w:tcPr>
            <w:tcW w:w="866" w:type="pct"/>
            <w:shd w:val="clear" w:color="auto" w:fill="auto"/>
          </w:tcPr>
          <w:p w14:paraId="64E00C4A" w14:textId="77777777" w:rsidR="00091980" w:rsidRPr="00657B3E" w:rsidRDefault="00091980" w:rsidP="00B66BBE">
            <w:pPr>
              <w:jc w:val="right"/>
              <w:rPr>
                <w:rFonts w:ascii="Arial" w:hAnsi="Arial" w:cs="Arial"/>
                <w:b/>
                <w:sz w:val="24"/>
                <w:szCs w:val="24"/>
              </w:rPr>
            </w:pPr>
            <w:r w:rsidRPr="00CA4D98">
              <w:rPr>
                <w:rFonts w:ascii="Arial" w:hAnsi="Arial" w:cs="Arial"/>
                <w:b/>
                <w:sz w:val="24"/>
                <w:szCs w:val="24"/>
              </w:rPr>
              <w:t>13.6p</w:t>
            </w:r>
          </w:p>
        </w:tc>
        <w:tc>
          <w:tcPr>
            <w:tcW w:w="722" w:type="pct"/>
            <w:shd w:val="clear" w:color="auto" w:fill="auto"/>
          </w:tcPr>
          <w:p w14:paraId="024454AB" w14:textId="77777777" w:rsidR="00091980" w:rsidRPr="00657B3E" w:rsidDel="00791ABF" w:rsidRDefault="00091980" w:rsidP="00B66BBE">
            <w:pPr>
              <w:jc w:val="right"/>
              <w:rPr>
                <w:rFonts w:ascii="Arial" w:hAnsi="Arial" w:cs="Arial"/>
                <w:sz w:val="24"/>
                <w:szCs w:val="24"/>
              </w:rPr>
            </w:pPr>
            <w:r w:rsidRPr="00CA4D98">
              <w:rPr>
                <w:rFonts w:ascii="Arial" w:hAnsi="Arial" w:cs="Arial"/>
                <w:sz w:val="24"/>
                <w:szCs w:val="24"/>
              </w:rPr>
              <w:t>12.3p</w:t>
            </w:r>
          </w:p>
        </w:tc>
        <w:tc>
          <w:tcPr>
            <w:tcW w:w="651" w:type="pct"/>
          </w:tcPr>
          <w:p w14:paraId="1270D92C" w14:textId="21257DE6" w:rsidR="00091980" w:rsidRPr="00657B3E" w:rsidDel="00791ABF" w:rsidRDefault="00ED731D" w:rsidP="00B66BBE">
            <w:pPr>
              <w:jc w:val="right"/>
              <w:rPr>
                <w:rFonts w:ascii="Arial" w:hAnsi="Arial" w:cs="Arial"/>
                <w:sz w:val="24"/>
                <w:szCs w:val="24"/>
              </w:rPr>
            </w:pPr>
            <w:r>
              <w:rPr>
                <w:rFonts w:ascii="Arial" w:hAnsi="Arial" w:cs="Arial"/>
                <w:sz w:val="24"/>
                <w:szCs w:val="24"/>
              </w:rPr>
              <w:t>+</w:t>
            </w:r>
            <w:r w:rsidR="0046215A">
              <w:rPr>
                <w:rFonts w:ascii="Arial" w:hAnsi="Arial" w:cs="Arial"/>
                <w:sz w:val="24"/>
                <w:szCs w:val="24"/>
              </w:rPr>
              <w:t>10.6%</w:t>
            </w:r>
          </w:p>
        </w:tc>
        <w:tc>
          <w:tcPr>
            <w:tcW w:w="737" w:type="pct"/>
            <w:shd w:val="clear" w:color="auto" w:fill="auto"/>
          </w:tcPr>
          <w:p w14:paraId="0E48378B" w14:textId="77777777" w:rsidR="00091980" w:rsidRPr="00657B3E" w:rsidRDefault="00091980" w:rsidP="00B66BBE">
            <w:pPr>
              <w:jc w:val="right"/>
              <w:rPr>
                <w:rFonts w:ascii="Arial" w:hAnsi="Arial" w:cs="Arial"/>
                <w:sz w:val="24"/>
                <w:szCs w:val="24"/>
              </w:rPr>
            </w:pPr>
          </w:p>
        </w:tc>
      </w:tr>
      <w:tr w:rsidR="00091980" w:rsidRPr="00D91ED7" w14:paraId="63A7602A" w14:textId="77777777" w:rsidTr="00926779">
        <w:tc>
          <w:tcPr>
            <w:tcW w:w="2024" w:type="pct"/>
            <w:shd w:val="clear" w:color="auto" w:fill="auto"/>
          </w:tcPr>
          <w:p w14:paraId="02A10626" w14:textId="77777777" w:rsidR="00091980" w:rsidRDefault="00091980" w:rsidP="00B66BBE">
            <w:pPr>
              <w:rPr>
                <w:rFonts w:ascii="Arial" w:hAnsi="Arial" w:cs="Arial"/>
                <w:sz w:val="24"/>
                <w:szCs w:val="24"/>
              </w:rPr>
            </w:pPr>
            <w:r>
              <w:rPr>
                <w:rFonts w:ascii="Arial" w:hAnsi="Arial" w:cs="Arial"/>
                <w:sz w:val="24"/>
                <w:szCs w:val="24"/>
              </w:rPr>
              <w:t xml:space="preserve">Dividends </w:t>
            </w:r>
            <w:r w:rsidRPr="002E70C3">
              <w:rPr>
                <w:rFonts w:ascii="Arial" w:hAnsi="Arial" w:cs="Arial"/>
                <w:sz w:val="24"/>
                <w:szCs w:val="24"/>
              </w:rPr>
              <w:t>– interim</w:t>
            </w:r>
          </w:p>
          <w:p w14:paraId="221786CB" w14:textId="055A806B" w:rsidR="00091980" w:rsidRPr="0029524C" w:rsidRDefault="00091980" w:rsidP="00B66BBE">
            <w:pPr>
              <w:rPr>
                <w:rFonts w:ascii="Arial" w:hAnsi="Arial" w:cs="Arial"/>
                <w:sz w:val="24"/>
                <w:szCs w:val="24"/>
                <w:highlight w:val="green"/>
              </w:rPr>
            </w:pPr>
            <w:r>
              <w:rPr>
                <w:rFonts w:ascii="Arial" w:hAnsi="Arial" w:cs="Arial"/>
                <w:sz w:val="24"/>
                <w:szCs w:val="24"/>
              </w:rPr>
              <w:t xml:space="preserve">                 </w:t>
            </w:r>
            <w:r w:rsidRPr="002E70C3">
              <w:rPr>
                <w:rFonts w:ascii="Arial" w:hAnsi="Arial" w:cs="Arial"/>
                <w:sz w:val="24"/>
                <w:szCs w:val="24"/>
              </w:rPr>
              <w:t xml:space="preserve">– </w:t>
            </w:r>
            <w:r>
              <w:rPr>
                <w:rFonts w:ascii="Arial" w:hAnsi="Arial" w:cs="Arial"/>
                <w:sz w:val="24"/>
                <w:szCs w:val="24"/>
              </w:rPr>
              <w:t>special</w:t>
            </w:r>
          </w:p>
        </w:tc>
        <w:tc>
          <w:tcPr>
            <w:tcW w:w="866" w:type="pct"/>
            <w:shd w:val="clear" w:color="auto" w:fill="auto"/>
          </w:tcPr>
          <w:p w14:paraId="7B9AD7C9" w14:textId="64E0B970" w:rsidR="00091980" w:rsidRPr="0021682C" w:rsidRDefault="0021682C" w:rsidP="00B66BBE">
            <w:pPr>
              <w:jc w:val="right"/>
              <w:rPr>
                <w:rFonts w:ascii="Arial" w:hAnsi="Arial" w:cs="Arial"/>
                <w:b/>
                <w:sz w:val="24"/>
                <w:szCs w:val="24"/>
              </w:rPr>
            </w:pPr>
            <w:r w:rsidRPr="009325A3">
              <w:rPr>
                <w:rFonts w:ascii="Arial" w:hAnsi="Arial" w:cs="Arial"/>
                <w:b/>
                <w:sz w:val="24"/>
                <w:szCs w:val="24"/>
              </w:rPr>
              <w:t>3.18p</w:t>
            </w:r>
          </w:p>
          <w:p w14:paraId="7E552324" w14:textId="77777777" w:rsidR="00091980" w:rsidRPr="009325A3" w:rsidRDefault="00091980" w:rsidP="00B66BBE">
            <w:pPr>
              <w:jc w:val="right"/>
              <w:rPr>
                <w:rFonts w:ascii="Arial" w:hAnsi="Arial" w:cs="Arial"/>
                <w:b/>
                <w:sz w:val="24"/>
                <w:szCs w:val="24"/>
              </w:rPr>
            </w:pPr>
            <w:r w:rsidRPr="0021682C">
              <w:rPr>
                <w:rFonts w:ascii="Arial" w:hAnsi="Arial" w:cs="Arial"/>
                <w:b/>
                <w:sz w:val="24"/>
                <w:szCs w:val="24"/>
              </w:rPr>
              <w:t>-</w:t>
            </w:r>
          </w:p>
        </w:tc>
        <w:tc>
          <w:tcPr>
            <w:tcW w:w="722" w:type="pct"/>
            <w:shd w:val="clear" w:color="auto" w:fill="auto"/>
          </w:tcPr>
          <w:p w14:paraId="2332164A" w14:textId="77777777" w:rsidR="00091980" w:rsidRPr="0021682C" w:rsidRDefault="00091980" w:rsidP="00B66BBE">
            <w:pPr>
              <w:jc w:val="right"/>
              <w:rPr>
                <w:rFonts w:ascii="Arial" w:hAnsi="Arial" w:cs="Arial"/>
                <w:sz w:val="24"/>
                <w:szCs w:val="24"/>
              </w:rPr>
            </w:pPr>
            <w:r w:rsidRPr="0021682C">
              <w:rPr>
                <w:rFonts w:ascii="Arial" w:hAnsi="Arial" w:cs="Arial"/>
                <w:sz w:val="24"/>
                <w:szCs w:val="24"/>
              </w:rPr>
              <w:t>3.15p</w:t>
            </w:r>
          </w:p>
          <w:p w14:paraId="538DD240" w14:textId="77777777" w:rsidR="00091980" w:rsidRPr="009325A3" w:rsidRDefault="00091980" w:rsidP="00B66BBE">
            <w:pPr>
              <w:jc w:val="right"/>
              <w:rPr>
                <w:rFonts w:ascii="Arial" w:hAnsi="Arial" w:cs="Arial"/>
                <w:sz w:val="24"/>
                <w:szCs w:val="24"/>
              </w:rPr>
            </w:pPr>
            <w:r w:rsidRPr="0021682C">
              <w:rPr>
                <w:rFonts w:ascii="Arial" w:hAnsi="Arial" w:cs="Arial"/>
                <w:sz w:val="24"/>
                <w:szCs w:val="24"/>
              </w:rPr>
              <w:t>4.20p</w:t>
            </w:r>
          </w:p>
        </w:tc>
        <w:tc>
          <w:tcPr>
            <w:tcW w:w="651" w:type="pct"/>
          </w:tcPr>
          <w:p w14:paraId="05AB2BC2" w14:textId="1C36E0BF" w:rsidR="00091980" w:rsidRPr="009325A3" w:rsidRDefault="00E537A4" w:rsidP="00B66BBE">
            <w:pPr>
              <w:jc w:val="right"/>
              <w:rPr>
                <w:rFonts w:ascii="Arial" w:hAnsi="Arial" w:cs="Arial"/>
                <w:sz w:val="24"/>
                <w:szCs w:val="24"/>
              </w:rPr>
            </w:pPr>
            <w:r>
              <w:rPr>
                <w:rFonts w:ascii="Arial" w:hAnsi="Arial" w:cs="Arial"/>
                <w:sz w:val="24"/>
                <w:szCs w:val="24"/>
              </w:rPr>
              <w:t>+</w:t>
            </w:r>
            <w:r w:rsidR="0021682C" w:rsidRPr="009325A3">
              <w:rPr>
                <w:rFonts w:ascii="Arial" w:hAnsi="Arial" w:cs="Arial"/>
                <w:sz w:val="24"/>
                <w:szCs w:val="24"/>
              </w:rPr>
              <w:t>1.0</w:t>
            </w:r>
            <w:r w:rsidR="0046215A" w:rsidRPr="009325A3">
              <w:rPr>
                <w:rFonts w:ascii="Arial" w:hAnsi="Arial" w:cs="Arial"/>
                <w:sz w:val="24"/>
                <w:szCs w:val="24"/>
              </w:rPr>
              <w:t>%</w:t>
            </w:r>
          </w:p>
          <w:p w14:paraId="02C7B207" w14:textId="7BFD4A81" w:rsidR="0046215A" w:rsidRPr="009325A3" w:rsidRDefault="0046215A" w:rsidP="00926779">
            <w:pPr>
              <w:jc w:val="right"/>
              <w:rPr>
                <w:rFonts w:ascii="Arial" w:hAnsi="Arial" w:cs="Arial"/>
                <w:sz w:val="24"/>
                <w:szCs w:val="24"/>
              </w:rPr>
            </w:pPr>
            <w:r w:rsidRPr="0021682C">
              <w:rPr>
                <w:rFonts w:ascii="Arial" w:hAnsi="Arial" w:cs="Arial"/>
                <w:sz w:val="24"/>
                <w:szCs w:val="24"/>
              </w:rPr>
              <w:t>n/a</w:t>
            </w:r>
          </w:p>
        </w:tc>
        <w:tc>
          <w:tcPr>
            <w:tcW w:w="737" w:type="pct"/>
            <w:shd w:val="clear" w:color="auto" w:fill="auto"/>
          </w:tcPr>
          <w:p w14:paraId="420562AD" w14:textId="77777777" w:rsidR="00091980" w:rsidRPr="00657B3E" w:rsidRDefault="00091980" w:rsidP="00B66BBE">
            <w:pPr>
              <w:jc w:val="right"/>
              <w:rPr>
                <w:rFonts w:ascii="Arial" w:hAnsi="Arial" w:cs="Arial"/>
                <w:sz w:val="24"/>
                <w:szCs w:val="24"/>
              </w:rPr>
            </w:pPr>
          </w:p>
        </w:tc>
      </w:tr>
      <w:tr w:rsidR="00091980" w:rsidRPr="00D91ED7" w14:paraId="563B74A1" w14:textId="77777777" w:rsidTr="00926779">
        <w:tc>
          <w:tcPr>
            <w:tcW w:w="2024" w:type="pct"/>
            <w:shd w:val="clear" w:color="auto" w:fill="auto"/>
          </w:tcPr>
          <w:p w14:paraId="27210985" w14:textId="77777777" w:rsidR="00091980" w:rsidRPr="005E60A5" w:rsidRDefault="00091980" w:rsidP="00B66BBE">
            <w:pPr>
              <w:rPr>
                <w:rFonts w:ascii="Arial" w:hAnsi="Arial" w:cs="Arial"/>
                <w:b/>
                <w:sz w:val="24"/>
                <w:szCs w:val="24"/>
              </w:rPr>
            </w:pPr>
            <w:r w:rsidRPr="005E60A5">
              <w:rPr>
                <w:rFonts w:ascii="Arial" w:hAnsi="Arial" w:cs="Arial"/>
                <w:b/>
                <w:sz w:val="24"/>
                <w:szCs w:val="24"/>
              </w:rPr>
              <w:t>Capital Return</w:t>
            </w:r>
          </w:p>
        </w:tc>
        <w:tc>
          <w:tcPr>
            <w:tcW w:w="866" w:type="pct"/>
            <w:shd w:val="clear" w:color="auto" w:fill="auto"/>
          </w:tcPr>
          <w:p w14:paraId="3976FA20" w14:textId="77777777" w:rsidR="00091980" w:rsidRPr="00657B3E" w:rsidRDefault="00091980" w:rsidP="00B66BBE">
            <w:pPr>
              <w:jc w:val="right"/>
              <w:rPr>
                <w:rFonts w:ascii="Arial" w:hAnsi="Arial" w:cs="Arial"/>
                <w:b/>
                <w:sz w:val="24"/>
                <w:szCs w:val="24"/>
              </w:rPr>
            </w:pPr>
          </w:p>
        </w:tc>
        <w:tc>
          <w:tcPr>
            <w:tcW w:w="722" w:type="pct"/>
            <w:shd w:val="clear" w:color="auto" w:fill="auto"/>
          </w:tcPr>
          <w:p w14:paraId="24666A0E" w14:textId="77777777" w:rsidR="00091980" w:rsidRPr="00657B3E" w:rsidRDefault="00091980" w:rsidP="00B66BBE">
            <w:pPr>
              <w:jc w:val="right"/>
              <w:rPr>
                <w:rFonts w:ascii="Arial" w:hAnsi="Arial" w:cs="Arial"/>
                <w:sz w:val="24"/>
                <w:szCs w:val="24"/>
              </w:rPr>
            </w:pPr>
          </w:p>
        </w:tc>
        <w:tc>
          <w:tcPr>
            <w:tcW w:w="651" w:type="pct"/>
          </w:tcPr>
          <w:p w14:paraId="07FF590E" w14:textId="77777777" w:rsidR="00091980" w:rsidRPr="00657B3E" w:rsidRDefault="00091980" w:rsidP="00B66BBE">
            <w:pPr>
              <w:jc w:val="right"/>
              <w:rPr>
                <w:rFonts w:ascii="Arial" w:hAnsi="Arial" w:cs="Arial"/>
                <w:sz w:val="24"/>
                <w:szCs w:val="24"/>
              </w:rPr>
            </w:pPr>
          </w:p>
        </w:tc>
        <w:tc>
          <w:tcPr>
            <w:tcW w:w="737" w:type="pct"/>
            <w:shd w:val="clear" w:color="auto" w:fill="auto"/>
          </w:tcPr>
          <w:p w14:paraId="6A0829E0" w14:textId="77777777" w:rsidR="00091980" w:rsidRPr="00657B3E" w:rsidRDefault="00091980" w:rsidP="00B66BBE">
            <w:pPr>
              <w:jc w:val="right"/>
              <w:rPr>
                <w:rFonts w:ascii="Arial" w:hAnsi="Arial" w:cs="Arial"/>
                <w:sz w:val="24"/>
                <w:szCs w:val="24"/>
              </w:rPr>
            </w:pPr>
          </w:p>
        </w:tc>
      </w:tr>
      <w:tr w:rsidR="00091980" w:rsidRPr="00CA737F" w14:paraId="5D81183E" w14:textId="77777777" w:rsidTr="00926779">
        <w:trPr>
          <w:trHeight w:val="912"/>
        </w:trPr>
        <w:tc>
          <w:tcPr>
            <w:tcW w:w="2024" w:type="pct"/>
            <w:tcBorders>
              <w:bottom w:val="single" w:sz="4" w:space="0" w:color="auto"/>
            </w:tcBorders>
            <w:shd w:val="clear" w:color="auto" w:fill="auto"/>
          </w:tcPr>
          <w:p w14:paraId="41F620CD" w14:textId="3F203B90" w:rsidR="00091980" w:rsidRDefault="00091980" w:rsidP="00B66BBE">
            <w:pPr>
              <w:pStyle w:val="ListParagraph"/>
              <w:numPr>
                <w:ilvl w:val="0"/>
                <w:numId w:val="11"/>
              </w:numPr>
              <w:rPr>
                <w:rFonts w:ascii="Arial" w:hAnsi="Arial" w:cs="Arial"/>
                <w:sz w:val="24"/>
                <w:szCs w:val="24"/>
              </w:rPr>
            </w:pPr>
            <w:r w:rsidRPr="005E60A5">
              <w:rPr>
                <w:rFonts w:ascii="Arial" w:hAnsi="Arial" w:cs="Arial"/>
                <w:sz w:val="24"/>
                <w:szCs w:val="24"/>
              </w:rPr>
              <w:t>Share buyback</w:t>
            </w:r>
          </w:p>
          <w:p w14:paraId="1A5529EC" w14:textId="77777777" w:rsidR="00091980" w:rsidRDefault="00091980" w:rsidP="00926779">
            <w:pPr>
              <w:pStyle w:val="ListParagraph"/>
              <w:numPr>
                <w:ilvl w:val="0"/>
                <w:numId w:val="11"/>
              </w:numPr>
              <w:rPr>
                <w:rFonts w:ascii="Arial" w:hAnsi="Arial" w:cs="Arial"/>
                <w:sz w:val="24"/>
                <w:szCs w:val="24"/>
              </w:rPr>
            </w:pPr>
            <w:r>
              <w:rPr>
                <w:rFonts w:ascii="Arial" w:hAnsi="Arial" w:cs="Arial"/>
                <w:sz w:val="24"/>
                <w:szCs w:val="24"/>
              </w:rPr>
              <w:t>Special dividend</w:t>
            </w:r>
          </w:p>
          <w:p w14:paraId="50360738" w14:textId="77777777" w:rsidR="00091980" w:rsidRPr="005E60A5" w:rsidRDefault="00091980" w:rsidP="00B66BBE">
            <w:pPr>
              <w:pStyle w:val="ListParagraph"/>
              <w:ind w:left="432"/>
              <w:rPr>
                <w:rFonts w:ascii="Arial" w:hAnsi="Arial" w:cs="Arial"/>
                <w:sz w:val="24"/>
                <w:szCs w:val="24"/>
              </w:rPr>
            </w:pPr>
            <w:r>
              <w:rPr>
                <w:rFonts w:ascii="Arial" w:hAnsi="Arial" w:cs="Arial"/>
                <w:sz w:val="24"/>
                <w:szCs w:val="24"/>
              </w:rPr>
              <w:t>Total Capital Return</w:t>
            </w:r>
          </w:p>
        </w:tc>
        <w:tc>
          <w:tcPr>
            <w:tcW w:w="866" w:type="pct"/>
            <w:tcBorders>
              <w:bottom w:val="single" w:sz="4" w:space="0" w:color="auto"/>
            </w:tcBorders>
            <w:shd w:val="clear" w:color="auto" w:fill="auto"/>
          </w:tcPr>
          <w:p w14:paraId="43BFC9EF" w14:textId="77777777" w:rsidR="00091980" w:rsidRPr="00CA4D98" w:rsidRDefault="00091980" w:rsidP="00B66BBE">
            <w:pPr>
              <w:jc w:val="right"/>
              <w:rPr>
                <w:rFonts w:ascii="Arial" w:hAnsi="Arial" w:cs="Arial"/>
                <w:b/>
                <w:sz w:val="24"/>
                <w:szCs w:val="24"/>
              </w:rPr>
            </w:pPr>
            <w:r w:rsidRPr="00CA4D98">
              <w:rPr>
                <w:rFonts w:ascii="Arial" w:hAnsi="Arial" w:cs="Arial"/>
                <w:b/>
                <w:sz w:val="24"/>
                <w:szCs w:val="24"/>
              </w:rPr>
              <w:t>£139m</w:t>
            </w:r>
          </w:p>
          <w:p w14:paraId="2FB2A074" w14:textId="77777777" w:rsidR="00091980" w:rsidRPr="00CA4D98" w:rsidRDefault="00091980" w:rsidP="00B66BBE">
            <w:pPr>
              <w:pBdr>
                <w:bottom w:val="single" w:sz="4" w:space="1" w:color="auto"/>
              </w:pBdr>
              <w:jc w:val="right"/>
              <w:rPr>
                <w:rFonts w:ascii="Arial" w:hAnsi="Arial" w:cs="Arial"/>
                <w:b/>
                <w:sz w:val="24"/>
                <w:szCs w:val="24"/>
              </w:rPr>
            </w:pPr>
            <w:r w:rsidRPr="00CA4D98">
              <w:rPr>
                <w:rFonts w:ascii="Arial" w:hAnsi="Arial" w:cs="Arial"/>
                <w:b/>
                <w:sz w:val="24"/>
                <w:szCs w:val="24"/>
              </w:rPr>
              <w:t>-</w:t>
            </w:r>
          </w:p>
          <w:p w14:paraId="24D1038C" w14:textId="5299D12A" w:rsidR="00091980" w:rsidRPr="00CA4D98" w:rsidRDefault="00091980" w:rsidP="00926779">
            <w:pPr>
              <w:jc w:val="right"/>
              <w:rPr>
                <w:rFonts w:ascii="Arial" w:hAnsi="Arial" w:cs="Arial"/>
                <w:b/>
                <w:sz w:val="24"/>
                <w:szCs w:val="24"/>
              </w:rPr>
            </w:pPr>
            <w:r w:rsidRPr="00CA4D98">
              <w:rPr>
                <w:rFonts w:ascii="Arial" w:hAnsi="Arial" w:cs="Arial"/>
                <w:b/>
                <w:sz w:val="24"/>
                <w:szCs w:val="24"/>
              </w:rPr>
              <w:t>£139m</w:t>
            </w:r>
          </w:p>
        </w:tc>
        <w:tc>
          <w:tcPr>
            <w:tcW w:w="722" w:type="pct"/>
            <w:tcBorders>
              <w:bottom w:val="single" w:sz="4" w:space="0" w:color="auto"/>
            </w:tcBorders>
            <w:shd w:val="clear" w:color="auto" w:fill="auto"/>
          </w:tcPr>
          <w:p w14:paraId="0181E0EA" w14:textId="77777777" w:rsidR="00091980" w:rsidRPr="008F2B27" w:rsidRDefault="00091980" w:rsidP="00B66BBE">
            <w:pPr>
              <w:jc w:val="right"/>
              <w:rPr>
                <w:rFonts w:ascii="Arial" w:hAnsi="Arial" w:cs="Arial"/>
                <w:sz w:val="24"/>
                <w:szCs w:val="24"/>
              </w:rPr>
            </w:pPr>
            <w:r w:rsidRPr="008F2B27">
              <w:rPr>
                <w:rFonts w:ascii="Arial" w:hAnsi="Arial" w:cs="Arial"/>
                <w:sz w:val="24"/>
                <w:szCs w:val="24"/>
              </w:rPr>
              <w:t>£35m</w:t>
            </w:r>
          </w:p>
          <w:p w14:paraId="6E9E1652" w14:textId="77777777" w:rsidR="00091980" w:rsidRPr="00CA4D98" w:rsidRDefault="00091980" w:rsidP="00B66BBE">
            <w:pPr>
              <w:pBdr>
                <w:bottom w:val="single" w:sz="4" w:space="1" w:color="auto"/>
              </w:pBdr>
              <w:jc w:val="right"/>
              <w:rPr>
                <w:rFonts w:ascii="Arial" w:hAnsi="Arial" w:cs="Arial"/>
                <w:sz w:val="24"/>
                <w:szCs w:val="24"/>
              </w:rPr>
            </w:pPr>
            <w:r w:rsidRPr="00CA4D98">
              <w:rPr>
                <w:rFonts w:ascii="Arial" w:hAnsi="Arial" w:cs="Arial"/>
                <w:sz w:val="24"/>
                <w:szCs w:val="24"/>
              </w:rPr>
              <w:t>£100m</w:t>
            </w:r>
          </w:p>
          <w:p w14:paraId="41CB332A" w14:textId="77777777" w:rsidR="00091980" w:rsidRPr="00CA4D98" w:rsidRDefault="00091980" w:rsidP="00B66BBE">
            <w:pPr>
              <w:jc w:val="right"/>
              <w:rPr>
                <w:rFonts w:ascii="Arial" w:hAnsi="Arial" w:cs="Arial"/>
                <w:sz w:val="24"/>
                <w:szCs w:val="24"/>
              </w:rPr>
            </w:pPr>
            <w:r w:rsidRPr="00CA4D98">
              <w:rPr>
                <w:rFonts w:ascii="Arial" w:hAnsi="Arial" w:cs="Arial"/>
                <w:sz w:val="24"/>
                <w:szCs w:val="24"/>
              </w:rPr>
              <w:t>£135m</w:t>
            </w:r>
          </w:p>
        </w:tc>
        <w:tc>
          <w:tcPr>
            <w:tcW w:w="651" w:type="pct"/>
            <w:tcBorders>
              <w:bottom w:val="single" w:sz="4" w:space="0" w:color="auto"/>
            </w:tcBorders>
          </w:tcPr>
          <w:p w14:paraId="2B769C83" w14:textId="23BAD75F" w:rsidR="0046215A" w:rsidRPr="0029524C" w:rsidRDefault="0046215A" w:rsidP="00B66BBE">
            <w:pPr>
              <w:jc w:val="right"/>
              <w:rPr>
                <w:rFonts w:ascii="Arial" w:hAnsi="Arial" w:cs="Arial"/>
                <w:sz w:val="24"/>
                <w:szCs w:val="24"/>
                <w:highlight w:val="green"/>
              </w:rPr>
            </w:pPr>
          </w:p>
        </w:tc>
        <w:tc>
          <w:tcPr>
            <w:tcW w:w="737" w:type="pct"/>
            <w:tcBorders>
              <w:bottom w:val="single" w:sz="4" w:space="0" w:color="auto"/>
            </w:tcBorders>
            <w:shd w:val="clear" w:color="auto" w:fill="auto"/>
          </w:tcPr>
          <w:p w14:paraId="005F27A8" w14:textId="77777777" w:rsidR="00091980" w:rsidRPr="0029524C" w:rsidRDefault="00091980" w:rsidP="00B66BBE">
            <w:pPr>
              <w:jc w:val="right"/>
              <w:rPr>
                <w:rFonts w:ascii="Arial" w:hAnsi="Arial" w:cs="Arial"/>
                <w:sz w:val="24"/>
                <w:szCs w:val="24"/>
                <w:highlight w:val="green"/>
              </w:rPr>
            </w:pPr>
          </w:p>
        </w:tc>
      </w:tr>
    </w:tbl>
    <w:p w14:paraId="3C8BF5EA" w14:textId="71FA0787" w:rsidR="00091980" w:rsidRPr="007429E1" w:rsidRDefault="0057796F" w:rsidP="00091980">
      <w:pPr>
        <w:jc w:val="left"/>
        <w:rPr>
          <w:rFonts w:ascii="Arial" w:hAnsi="Arial" w:cs="Arial"/>
          <w:sz w:val="24"/>
          <w:szCs w:val="24"/>
        </w:rPr>
      </w:pPr>
      <w:r w:rsidRPr="000952F8">
        <w:rPr>
          <w:rFonts w:ascii="Arial" w:hAnsi="Arial" w:cs="Arial"/>
          <w:sz w:val="24"/>
          <w:szCs w:val="24"/>
          <w:vertAlign w:val="superscript"/>
        </w:rPr>
        <w:t>(1)</w:t>
      </w:r>
      <w:r w:rsidRPr="000952F8">
        <w:rPr>
          <w:rFonts w:ascii="Arial" w:hAnsi="Arial" w:cs="Arial"/>
          <w:sz w:val="24"/>
          <w:szCs w:val="24"/>
        </w:rPr>
        <w:t xml:space="preserve"> </w:t>
      </w:r>
      <w:r>
        <w:rPr>
          <w:rFonts w:ascii="Arial" w:hAnsi="Arial" w:cs="Arial"/>
          <w:sz w:val="18"/>
          <w:szCs w:val="24"/>
        </w:rPr>
        <w:t xml:space="preserve">Statutory results include </w:t>
      </w:r>
      <w:r w:rsidR="00ED731D">
        <w:rPr>
          <w:rFonts w:ascii="Arial" w:hAnsi="Arial" w:cs="Arial"/>
          <w:sz w:val="18"/>
          <w:szCs w:val="24"/>
        </w:rPr>
        <w:t>s</w:t>
      </w:r>
      <w:r>
        <w:rPr>
          <w:rFonts w:ascii="Arial" w:hAnsi="Arial" w:cs="Arial"/>
          <w:sz w:val="18"/>
          <w:szCs w:val="24"/>
        </w:rPr>
        <w:t>ales for B&amp;Q China up to the date of disposal (</w:t>
      </w:r>
      <w:r w:rsidR="000C1FD6">
        <w:rPr>
          <w:rFonts w:ascii="Arial" w:hAnsi="Arial" w:cs="Arial"/>
          <w:sz w:val="18"/>
          <w:szCs w:val="24"/>
        </w:rPr>
        <w:t>30</w:t>
      </w:r>
      <w:r w:rsidR="000C1FD6" w:rsidRPr="000C1FD6">
        <w:rPr>
          <w:rFonts w:ascii="Arial" w:hAnsi="Arial" w:cs="Arial"/>
          <w:sz w:val="18"/>
          <w:szCs w:val="24"/>
          <w:vertAlign w:val="superscript"/>
        </w:rPr>
        <w:t>th</w:t>
      </w:r>
      <w:r w:rsidR="000C1FD6">
        <w:rPr>
          <w:rFonts w:ascii="Arial" w:hAnsi="Arial" w:cs="Arial"/>
          <w:sz w:val="18"/>
          <w:szCs w:val="24"/>
        </w:rPr>
        <w:t xml:space="preserve"> </w:t>
      </w:r>
      <w:r>
        <w:rPr>
          <w:rFonts w:ascii="Arial" w:hAnsi="Arial" w:cs="Arial"/>
          <w:sz w:val="18"/>
          <w:szCs w:val="24"/>
        </w:rPr>
        <w:t>April 2015)</w:t>
      </w:r>
    </w:p>
    <w:p w14:paraId="046D311B" w14:textId="77777777" w:rsidR="003A298D" w:rsidRDefault="003A298D" w:rsidP="003A298D">
      <w:pPr>
        <w:jc w:val="left"/>
        <w:rPr>
          <w:rFonts w:ascii="Arial" w:hAnsi="Arial" w:cs="Arial"/>
          <w:sz w:val="24"/>
          <w:szCs w:val="24"/>
          <w:highlight w:val="yellow"/>
        </w:rPr>
      </w:pPr>
    </w:p>
    <w:p w14:paraId="6C018FA7" w14:textId="3FE2B137" w:rsidR="003A298D" w:rsidRDefault="00087315" w:rsidP="003A298D">
      <w:pPr>
        <w:jc w:val="left"/>
        <w:rPr>
          <w:rFonts w:ascii="Arial" w:hAnsi="Arial" w:cs="Arial"/>
          <w:sz w:val="24"/>
          <w:szCs w:val="24"/>
        </w:rPr>
      </w:pPr>
      <w:r w:rsidRPr="001A0644">
        <w:rPr>
          <w:rFonts w:ascii="Arial" w:hAnsi="Arial" w:cs="Arial"/>
          <w:sz w:val="24"/>
          <w:szCs w:val="24"/>
        </w:rPr>
        <w:t xml:space="preserve">Reported retail profit </w:t>
      </w:r>
      <w:r>
        <w:rPr>
          <w:rFonts w:ascii="Arial" w:hAnsi="Arial" w:cs="Arial"/>
          <w:sz w:val="24"/>
          <w:szCs w:val="24"/>
        </w:rPr>
        <w:t>declined</w:t>
      </w:r>
      <w:r w:rsidRPr="001A0644">
        <w:rPr>
          <w:rFonts w:ascii="Arial" w:hAnsi="Arial" w:cs="Arial"/>
          <w:sz w:val="24"/>
          <w:szCs w:val="24"/>
        </w:rPr>
        <w:t xml:space="preserve"> </w:t>
      </w:r>
      <w:r>
        <w:rPr>
          <w:rFonts w:ascii="Arial" w:hAnsi="Arial" w:cs="Arial"/>
          <w:sz w:val="24"/>
          <w:szCs w:val="24"/>
        </w:rPr>
        <w:t>2.2</w:t>
      </w:r>
      <w:r w:rsidRPr="001A0644">
        <w:rPr>
          <w:rFonts w:ascii="Arial" w:hAnsi="Arial" w:cs="Arial"/>
          <w:sz w:val="24"/>
          <w:szCs w:val="24"/>
        </w:rPr>
        <w:t xml:space="preserve">% reflecting </w:t>
      </w:r>
      <w:r w:rsidRPr="001B09B8">
        <w:rPr>
          <w:rFonts w:ascii="Arial" w:hAnsi="Arial" w:cs="Arial"/>
          <w:sz w:val="24"/>
          <w:szCs w:val="24"/>
        </w:rPr>
        <w:t>£29</w:t>
      </w:r>
      <w:r w:rsidRPr="001A0644">
        <w:rPr>
          <w:rFonts w:ascii="Arial" w:hAnsi="Arial" w:cs="Arial"/>
          <w:sz w:val="24"/>
          <w:szCs w:val="24"/>
        </w:rPr>
        <w:t xml:space="preserve"> million adverse foreign exchange movement on translating foreign currency results into sterling.</w:t>
      </w:r>
      <w:r>
        <w:rPr>
          <w:rFonts w:ascii="Arial" w:hAnsi="Arial" w:cs="Arial"/>
          <w:sz w:val="24"/>
          <w:szCs w:val="24"/>
        </w:rPr>
        <w:t xml:space="preserve"> Excluding foreign exchange impacts, retail profit grew by 5.0%,</w:t>
      </w:r>
      <w:r w:rsidR="003A298D" w:rsidRPr="003A298D">
        <w:rPr>
          <w:rFonts w:ascii="Arial" w:hAnsi="Arial" w:cs="Arial"/>
          <w:sz w:val="24"/>
          <w:szCs w:val="24"/>
        </w:rPr>
        <w:t xml:space="preserve"> reflect</w:t>
      </w:r>
      <w:r>
        <w:rPr>
          <w:rFonts w:ascii="Arial" w:hAnsi="Arial" w:cs="Arial"/>
          <w:sz w:val="24"/>
          <w:szCs w:val="24"/>
        </w:rPr>
        <w:t>ing</w:t>
      </w:r>
      <w:r w:rsidR="003A298D" w:rsidRPr="003A298D">
        <w:rPr>
          <w:rFonts w:ascii="Arial" w:hAnsi="Arial" w:cs="Arial"/>
          <w:sz w:val="24"/>
          <w:szCs w:val="24"/>
        </w:rPr>
        <w:t xml:space="preserve"> a </w:t>
      </w:r>
      <w:r w:rsidR="00ED731D">
        <w:rPr>
          <w:rFonts w:ascii="Arial" w:hAnsi="Arial" w:cs="Arial"/>
          <w:sz w:val="24"/>
          <w:szCs w:val="24"/>
        </w:rPr>
        <w:t>mixed picture across our major markets with the UK and Poland markets improving</w:t>
      </w:r>
      <w:r w:rsidR="00626783">
        <w:rPr>
          <w:rFonts w:ascii="Arial" w:hAnsi="Arial" w:cs="Arial"/>
          <w:sz w:val="24"/>
          <w:szCs w:val="24"/>
        </w:rPr>
        <w:t>,</w:t>
      </w:r>
      <w:r w:rsidR="00ED731D">
        <w:rPr>
          <w:rFonts w:ascii="Arial" w:hAnsi="Arial" w:cs="Arial"/>
          <w:sz w:val="24"/>
          <w:szCs w:val="24"/>
        </w:rPr>
        <w:t xml:space="preserve"> offset by France where conditions </w:t>
      </w:r>
      <w:r w:rsidR="00EB07C1">
        <w:rPr>
          <w:rFonts w:ascii="Arial" w:hAnsi="Arial" w:cs="Arial"/>
          <w:sz w:val="24"/>
          <w:szCs w:val="24"/>
        </w:rPr>
        <w:t>remain more challenging. However, our ongoing focus on cash and tight capital discipline meant we were able to continue to invest in the business whilst maintaining a strong balance sheet, pay £160 million in cash dividends and return a further £139 millio</w:t>
      </w:r>
      <w:r w:rsidR="00453AB5">
        <w:rPr>
          <w:rFonts w:ascii="Arial" w:hAnsi="Arial" w:cs="Arial"/>
          <w:sz w:val="24"/>
          <w:szCs w:val="24"/>
        </w:rPr>
        <w:t>n to shareholders via share buy</w:t>
      </w:r>
      <w:r w:rsidR="001B551E">
        <w:rPr>
          <w:rFonts w:ascii="Arial" w:hAnsi="Arial" w:cs="Arial"/>
          <w:sz w:val="24"/>
          <w:szCs w:val="24"/>
        </w:rPr>
        <w:t xml:space="preserve">backs (£160 million to date). </w:t>
      </w:r>
    </w:p>
    <w:p w14:paraId="41577E31" w14:textId="5E07FF48" w:rsidR="00A91B24" w:rsidRPr="004B173A" w:rsidRDefault="00A91B24" w:rsidP="003A298D">
      <w:pPr>
        <w:jc w:val="left"/>
        <w:rPr>
          <w:rFonts w:ascii="Arial" w:hAnsi="Arial" w:cs="Arial"/>
          <w:sz w:val="24"/>
          <w:szCs w:val="24"/>
          <w:highlight w:val="yellow"/>
        </w:rPr>
      </w:pPr>
    </w:p>
    <w:p w14:paraId="0CE3E6A2" w14:textId="7B178F66" w:rsidR="00EB07C1" w:rsidRDefault="003A298D" w:rsidP="003A298D">
      <w:pPr>
        <w:ind w:right="-368"/>
        <w:jc w:val="left"/>
        <w:rPr>
          <w:rFonts w:ascii="Arial" w:hAnsi="Arial" w:cs="Arial"/>
          <w:sz w:val="24"/>
          <w:szCs w:val="24"/>
        </w:rPr>
      </w:pPr>
      <w:r w:rsidRPr="00D03DA7">
        <w:rPr>
          <w:rFonts w:ascii="Arial" w:hAnsi="Arial" w:cs="Arial"/>
          <w:sz w:val="24"/>
          <w:szCs w:val="24"/>
        </w:rPr>
        <w:t>Total</w:t>
      </w:r>
      <w:r w:rsidR="00B8611D">
        <w:rPr>
          <w:rFonts w:ascii="Arial" w:hAnsi="Arial" w:cs="Arial"/>
          <w:sz w:val="24"/>
          <w:szCs w:val="24"/>
        </w:rPr>
        <w:t xml:space="preserve"> adjusted</w:t>
      </w:r>
      <w:r w:rsidRPr="00D03DA7">
        <w:rPr>
          <w:rFonts w:ascii="Arial" w:hAnsi="Arial" w:cs="Arial"/>
          <w:b/>
          <w:sz w:val="24"/>
          <w:szCs w:val="24"/>
        </w:rPr>
        <w:t xml:space="preserve"> sales</w:t>
      </w:r>
      <w:r w:rsidRPr="00D03DA7">
        <w:rPr>
          <w:rFonts w:ascii="Arial" w:hAnsi="Arial" w:cs="Arial"/>
          <w:sz w:val="24"/>
          <w:szCs w:val="24"/>
        </w:rPr>
        <w:t xml:space="preserve"> grew by </w:t>
      </w:r>
      <w:r w:rsidRPr="001B09B8">
        <w:rPr>
          <w:rFonts w:ascii="Arial" w:hAnsi="Arial" w:cs="Arial"/>
          <w:sz w:val="24"/>
          <w:szCs w:val="24"/>
        </w:rPr>
        <w:t>3.5%</w:t>
      </w:r>
      <w:r w:rsidRPr="00D03DA7">
        <w:rPr>
          <w:rFonts w:ascii="Arial" w:hAnsi="Arial" w:cs="Arial"/>
          <w:sz w:val="24"/>
          <w:szCs w:val="24"/>
        </w:rPr>
        <w:t xml:space="preserve"> on a constant currency basis </w:t>
      </w:r>
      <w:r w:rsidRPr="001B09B8">
        <w:rPr>
          <w:rFonts w:ascii="Arial" w:hAnsi="Arial" w:cs="Arial"/>
          <w:sz w:val="24"/>
          <w:szCs w:val="24"/>
        </w:rPr>
        <w:t xml:space="preserve">to £5.4 billion with LFL sales up </w:t>
      </w:r>
      <w:r w:rsidR="00E11421" w:rsidRPr="001B09B8">
        <w:rPr>
          <w:rFonts w:ascii="Arial" w:hAnsi="Arial" w:cs="Arial"/>
          <w:sz w:val="24"/>
          <w:szCs w:val="24"/>
        </w:rPr>
        <w:t>2.0</w:t>
      </w:r>
      <w:r w:rsidRPr="001B09B8">
        <w:rPr>
          <w:rFonts w:ascii="Arial" w:hAnsi="Arial" w:cs="Arial"/>
          <w:sz w:val="24"/>
          <w:szCs w:val="24"/>
        </w:rPr>
        <w:t>%.</w:t>
      </w:r>
      <w:r w:rsidRPr="00D03DA7">
        <w:rPr>
          <w:rFonts w:ascii="Arial" w:hAnsi="Arial" w:cs="Arial"/>
          <w:sz w:val="24"/>
          <w:szCs w:val="24"/>
        </w:rPr>
        <w:t xml:space="preserve"> On a reported rate basis, which includes the impact of exchange rates, sales declined by </w:t>
      </w:r>
      <w:r w:rsidRPr="001B09B8">
        <w:rPr>
          <w:rFonts w:ascii="Arial" w:hAnsi="Arial" w:cs="Arial"/>
          <w:sz w:val="24"/>
          <w:szCs w:val="24"/>
        </w:rPr>
        <w:t>4.0%.</w:t>
      </w:r>
      <w:r w:rsidRPr="001A0644">
        <w:rPr>
          <w:rFonts w:ascii="Arial" w:hAnsi="Arial" w:cs="Arial"/>
          <w:sz w:val="24"/>
          <w:szCs w:val="24"/>
        </w:rPr>
        <w:t xml:space="preserve"> </w:t>
      </w:r>
      <w:r w:rsidR="00EB07C1">
        <w:rPr>
          <w:rFonts w:ascii="Arial" w:hAnsi="Arial" w:cs="Arial"/>
          <w:sz w:val="24"/>
          <w:szCs w:val="24"/>
        </w:rPr>
        <w:t xml:space="preserve">During the period, sales growth benefitted from the addition of new space with </w:t>
      </w:r>
      <w:r w:rsidR="00F91E1D">
        <w:rPr>
          <w:rFonts w:ascii="Arial" w:hAnsi="Arial" w:cs="Arial"/>
          <w:sz w:val="24"/>
          <w:szCs w:val="24"/>
        </w:rPr>
        <w:t>12</w:t>
      </w:r>
      <w:r w:rsidR="00EB07C1">
        <w:rPr>
          <w:rFonts w:ascii="Arial" w:hAnsi="Arial" w:cs="Arial"/>
          <w:sz w:val="24"/>
          <w:szCs w:val="24"/>
        </w:rPr>
        <w:t xml:space="preserve"> net new stores, driven by Screwfix </w:t>
      </w:r>
      <w:r w:rsidR="00422B92">
        <w:rPr>
          <w:rFonts w:ascii="Arial" w:hAnsi="Arial" w:cs="Arial"/>
          <w:sz w:val="24"/>
          <w:szCs w:val="24"/>
        </w:rPr>
        <w:t>outlet</w:t>
      </w:r>
      <w:r w:rsidR="00EB07C1">
        <w:rPr>
          <w:rFonts w:ascii="Arial" w:hAnsi="Arial" w:cs="Arial"/>
          <w:sz w:val="24"/>
          <w:szCs w:val="24"/>
        </w:rPr>
        <w:t xml:space="preserve"> openings in the UK (excluding </w:t>
      </w:r>
      <w:r w:rsidR="00B70A2C">
        <w:rPr>
          <w:rFonts w:ascii="Arial" w:hAnsi="Arial" w:cs="Arial"/>
          <w:sz w:val="24"/>
          <w:szCs w:val="24"/>
        </w:rPr>
        <w:t xml:space="preserve">net </w:t>
      </w:r>
      <w:r w:rsidR="00B6500E">
        <w:rPr>
          <w:rFonts w:ascii="Arial" w:hAnsi="Arial" w:cs="Arial"/>
          <w:sz w:val="24"/>
          <w:szCs w:val="24"/>
        </w:rPr>
        <w:t>three</w:t>
      </w:r>
      <w:r w:rsidR="00B70A2C">
        <w:rPr>
          <w:rFonts w:ascii="Arial" w:hAnsi="Arial" w:cs="Arial"/>
          <w:sz w:val="24"/>
          <w:szCs w:val="24"/>
        </w:rPr>
        <w:t xml:space="preserve"> </w:t>
      </w:r>
      <w:r w:rsidR="00EB07C1">
        <w:rPr>
          <w:rFonts w:ascii="Arial" w:hAnsi="Arial" w:cs="Arial"/>
          <w:sz w:val="24"/>
          <w:szCs w:val="24"/>
        </w:rPr>
        <w:t xml:space="preserve">stores opened in the Turkey JV). </w:t>
      </w:r>
    </w:p>
    <w:p w14:paraId="4865FA05" w14:textId="77777777" w:rsidR="003A298D" w:rsidRPr="004B173A" w:rsidRDefault="003A298D" w:rsidP="003A298D">
      <w:pPr>
        <w:jc w:val="left"/>
        <w:rPr>
          <w:rFonts w:ascii="Arial" w:hAnsi="Arial" w:cs="Arial"/>
          <w:sz w:val="24"/>
          <w:szCs w:val="24"/>
          <w:highlight w:val="yellow"/>
        </w:rPr>
      </w:pPr>
    </w:p>
    <w:p w14:paraId="0B357ACB" w14:textId="0E24C42C" w:rsidR="003A298D" w:rsidRPr="001A0644" w:rsidRDefault="003A298D" w:rsidP="003A298D">
      <w:pPr>
        <w:ind w:right="-368"/>
        <w:jc w:val="left"/>
        <w:rPr>
          <w:rFonts w:ascii="Arial" w:hAnsi="Arial" w:cs="Arial"/>
          <w:sz w:val="24"/>
          <w:szCs w:val="24"/>
          <w:highlight w:val="yellow"/>
        </w:rPr>
      </w:pPr>
      <w:r w:rsidRPr="001A0644">
        <w:rPr>
          <w:rFonts w:ascii="Arial" w:hAnsi="Arial" w:cs="Arial"/>
          <w:sz w:val="24"/>
          <w:szCs w:val="24"/>
        </w:rPr>
        <w:t xml:space="preserve">On a constant currency basis </w:t>
      </w:r>
      <w:r w:rsidRPr="001A0644">
        <w:rPr>
          <w:rFonts w:ascii="Arial" w:hAnsi="Arial" w:cs="Arial"/>
          <w:b/>
          <w:sz w:val="24"/>
          <w:szCs w:val="24"/>
        </w:rPr>
        <w:t>retail profit</w:t>
      </w:r>
      <w:r w:rsidRPr="001A0644">
        <w:rPr>
          <w:rFonts w:ascii="Arial" w:hAnsi="Arial" w:cs="Arial"/>
          <w:sz w:val="24"/>
          <w:szCs w:val="24"/>
        </w:rPr>
        <w:t xml:space="preserve"> </w:t>
      </w:r>
      <w:r w:rsidRPr="001B09B8">
        <w:rPr>
          <w:rFonts w:ascii="Arial" w:hAnsi="Arial" w:cs="Arial"/>
          <w:sz w:val="24"/>
          <w:szCs w:val="24"/>
        </w:rPr>
        <w:t>of £410</w:t>
      </w:r>
      <w:r w:rsidRPr="001A0644">
        <w:rPr>
          <w:rFonts w:ascii="Arial" w:hAnsi="Arial" w:cs="Arial"/>
          <w:sz w:val="24"/>
          <w:szCs w:val="24"/>
        </w:rPr>
        <w:t xml:space="preserve"> million increased by 5.0% including </w:t>
      </w:r>
      <w:r w:rsidRPr="001B09B8">
        <w:rPr>
          <w:rFonts w:ascii="Arial" w:hAnsi="Arial" w:cs="Arial"/>
          <w:sz w:val="24"/>
          <w:szCs w:val="24"/>
        </w:rPr>
        <w:t xml:space="preserve">£11 </w:t>
      </w:r>
      <w:r w:rsidRPr="00900173">
        <w:rPr>
          <w:rFonts w:ascii="Arial" w:hAnsi="Arial" w:cs="Arial"/>
          <w:sz w:val="24"/>
          <w:szCs w:val="24"/>
        </w:rPr>
        <w:t>million of new country development costs r</w:t>
      </w:r>
      <w:r w:rsidR="00F91E1D">
        <w:rPr>
          <w:rFonts w:ascii="Arial" w:hAnsi="Arial" w:cs="Arial"/>
          <w:sz w:val="24"/>
          <w:szCs w:val="24"/>
        </w:rPr>
        <w:t>elating to</w:t>
      </w:r>
      <w:r w:rsidRPr="00900173">
        <w:rPr>
          <w:rFonts w:ascii="Arial" w:hAnsi="Arial" w:cs="Arial"/>
          <w:sz w:val="24"/>
          <w:szCs w:val="24"/>
        </w:rPr>
        <w:t xml:space="preserve"> </w:t>
      </w:r>
      <w:proofErr w:type="spellStart"/>
      <w:r w:rsidRPr="00900173">
        <w:rPr>
          <w:rFonts w:ascii="Arial" w:hAnsi="Arial" w:cs="Arial"/>
          <w:sz w:val="24"/>
          <w:szCs w:val="24"/>
        </w:rPr>
        <w:t>Brico</w:t>
      </w:r>
      <w:proofErr w:type="spellEnd"/>
      <w:r w:rsidRPr="00900173">
        <w:rPr>
          <w:rFonts w:ascii="Arial" w:hAnsi="Arial" w:cs="Arial"/>
          <w:sz w:val="24"/>
          <w:szCs w:val="24"/>
        </w:rPr>
        <w:t xml:space="preserve"> </w:t>
      </w:r>
      <w:proofErr w:type="spellStart"/>
      <w:r w:rsidRPr="00900173">
        <w:rPr>
          <w:rFonts w:ascii="Arial" w:hAnsi="Arial" w:cs="Arial"/>
          <w:sz w:val="24"/>
          <w:szCs w:val="24"/>
        </w:rPr>
        <w:t>Dépôt</w:t>
      </w:r>
      <w:proofErr w:type="spellEnd"/>
      <w:r w:rsidRPr="00900173">
        <w:rPr>
          <w:rFonts w:ascii="Arial" w:hAnsi="Arial" w:cs="Arial"/>
          <w:sz w:val="24"/>
          <w:szCs w:val="24"/>
        </w:rPr>
        <w:t xml:space="preserve"> Romania and Portugal</w:t>
      </w:r>
      <w:r w:rsidRPr="00900173" w:rsidDel="001B1E62">
        <w:rPr>
          <w:rFonts w:ascii="Arial" w:hAnsi="Arial" w:cs="Arial"/>
          <w:sz w:val="24"/>
          <w:szCs w:val="24"/>
        </w:rPr>
        <w:t xml:space="preserve"> </w:t>
      </w:r>
      <w:r w:rsidRPr="00900173">
        <w:rPr>
          <w:rFonts w:ascii="Arial" w:hAnsi="Arial" w:cs="Arial"/>
          <w:sz w:val="24"/>
          <w:szCs w:val="24"/>
        </w:rPr>
        <w:t>and Screwfix in Germany.</w:t>
      </w:r>
      <w:r w:rsidRPr="001A0644">
        <w:rPr>
          <w:rFonts w:ascii="Arial" w:hAnsi="Arial" w:cs="Arial"/>
          <w:sz w:val="24"/>
          <w:szCs w:val="24"/>
        </w:rPr>
        <w:t xml:space="preserve"> </w:t>
      </w:r>
    </w:p>
    <w:p w14:paraId="1DB48395" w14:textId="77777777" w:rsidR="003A298D" w:rsidRDefault="003A298D" w:rsidP="003A298D">
      <w:pPr>
        <w:ind w:right="-368"/>
        <w:jc w:val="left"/>
        <w:rPr>
          <w:rFonts w:ascii="Arial" w:hAnsi="Arial" w:cs="Arial"/>
          <w:sz w:val="24"/>
          <w:szCs w:val="24"/>
          <w:highlight w:val="yellow"/>
        </w:rPr>
      </w:pPr>
    </w:p>
    <w:p w14:paraId="3128A9B2" w14:textId="519D00A7" w:rsidR="003A298D" w:rsidRDefault="003A298D" w:rsidP="003A298D">
      <w:pPr>
        <w:jc w:val="left"/>
        <w:rPr>
          <w:rFonts w:ascii="Arial" w:hAnsi="Arial" w:cs="Arial"/>
          <w:sz w:val="24"/>
          <w:szCs w:val="24"/>
        </w:rPr>
      </w:pPr>
      <w:r w:rsidRPr="008A6891">
        <w:rPr>
          <w:rFonts w:ascii="Arial" w:hAnsi="Arial" w:cs="Arial"/>
          <w:bCs/>
          <w:sz w:val="24"/>
          <w:szCs w:val="24"/>
        </w:rPr>
        <w:t>As previously announced</w:t>
      </w:r>
      <w:r w:rsidR="00F91E1D">
        <w:rPr>
          <w:rFonts w:ascii="Arial" w:hAnsi="Arial" w:cs="Arial"/>
          <w:bCs/>
          <w:sz w:val="24"/>
          <w:szCs w:val="24"/>
        </w:rPr>
        <w:t>,</w:t>
      </w:r>
      <w:r w:rsidRPr="008A6891">
        <w:rPr>
          <w:rFonts w:ascii="Arial" w:hAnsi="Arial" w:cs="Arial"/>
          <w:bCs/>
          <w:sz w:val="24"/>
          <w:szCs w:val="24"/>
        </w:rPr>
        <w:t xml:space="preserve"> the results for 2015/16 have been impacted by both a new IFRS accounting requirement, IFRIC 21 ‘Levies’, and the disposal of operations in China</w:t>
      </w:r>
      <w:r w:rsidRPr="008A6891">
        <w:rPr>
          <w:rFonts w:ascii="Arial" w:hAnsi="Arial" w:cs="Arial"/>
          <w:sz w:val="24"/>
          <w:szCs w:val="24"/>
        </w:rPr>
        <w:t xml:space="preserve"> in 2015/16. Comparatives have also been adjusted for IFRIC 21 and </w:t>
      </w:r>
      <w:r>
        <w:rPr>
          <w:rFonts w:ascii="Arial" w:hAnsi="Arial" w:cs="Arial"/>
          <w:sz w:val="24"/>
          <w:szCs w:val="24"/>
        </w:rPr>
        <w:t xml:space="preserve">the </w:t>
      </w:r>
      <w:r w:rsidRPr="008A6891">
        <w:rPr>
          <w:rFonts w:ascii="Arial" w:hAnsi="Arial" w:cs="Arial"/>
          <w:sz w:val="24"/>
          <w:szCs w:val="24"/>
        </w:rPr>
        <w:t>China</w:t>
      </w:r>
      <w:r>
        <w:rPr>
          <w:rFonts w:ascii="Arial" w:hAnsi="Arial" w:cs="Arial"/>
          <w:sz w:val="24"/>
          <w:szCs w:val="24"/>
        </w:rPr>
        <w:t xml:space="preserve"> disposal</w:t>
      </w:r>
      <w:r w:rsidRPr="008A6891">
        <w:rPr>
          <w:rFonts w:ascii="Arial" w:hAnsi="Arial" w:cs="Arial"/>
          <w:sz w:val="24"/>
          <w:szCs w:val="24"/>
        </w:rPr>
        <w:t xml:space="preserve">. For H1 </w:t>
      </w:r>
      <w:r>
        <w:rPr>
          <w:rFonts w:ascii="Arial" w:hAnsi="Arial" w:cs="Arial"/>
          <w:sz w:val="24"/>
          <w:szCs w:val="24"/>
        </w:rPr>
        <w:t>2014/15</w:t>
      </w:r>
      <w:r w:rsidRPr="008A6891">
        <w:rPr>
          <w:rFonts w:ascii="Arial" w:hAnsi="Arial" w:cs="Arial"/>
          <w:sz w:val="24"/>
          <w:szCs w:val="24"/>
        </w:rPr>
        <w:t xml:space="preserve">, this </w:t>
      </w:r>
      <w:r>
        <w:rPr>
          <w:rFonts w:ascii="Arial" w:hAnsi="Arial" w:cs="Arial"/>
          <w:sz w:val="24"/>
          <w:szCs w:val="24"/>
        </w:rPr>
        <w:t>increase</w:t>
      </w:r>
      <w:r w:rsidRPr="008A6891">
        <w:rPr>
          <w:rFonts w:ascii="Arial" w:hAnsi="Arial" w:cs="Arial"/>
          <w:sz w:val="24"/>
          <w:szCs w:val="24"/>
        </w:rPr>
        <w:t xml:space="preserve">d </w:t>
      </w:r>
      <w:r w:rsidR="00626783">
        <w:rPr>
          <w:rFonts w:ascii="Arial" w:hAnsi="Arial" w:cs="Arial"/>
          <w:sz w:val="24"/>
          <w:szCs w:val="24"/>
        </w:rPr>
        <w:t xml:space="preserve">both </w:t>
      </w:r>
      <w:r w:rsidRPr="008A6891">
        <w:rPr>
          <w:rFonts w:ascii="Arial" w:hAnsi="Arial" w:cs="Arial"/>
          <w:sz w:val="24"/>
          <w:szCs w:val="24"/>
        </w:rPr>
        <w:t xml:space="preserve">retail profit </w:t>
      </w:r>
      <w:r w:rsidR="00626783">
        <w:rPr>
          <w:rFonts w:ascii="Arial" w:hAnsi="Arial" w:cs="Arial"/>
          <w:sz w:val="24"/>
          <w:szCs w:val="24"/>
        </w:rPr>
        <w:t xml:space="preserve">and </w:t>
      </w:r>
      <w:r w:rsidR="00626783" w:rsidRPr="008A6891">
        <w:rPr>
          <w:rFonts w:ascii="Arial" w:hAnsi="Arial" w:cs="Arial"/>
          <w:sz w:val="24"/>
          <w:szCs w:val="24"/>
        </w:rPr>
        <w:t xml:space="preserve">adjusted pre-tax profit </w:t>
      </w:r>
      <w:r w:rsidRPr="008A6891">
        <w:rPr>
          <w:rFonts w:ascii="Arial" w:hAnsi="Arial" w:cs="Arial"/>
          <w:sz w:val="24"/>
          <w:szCs w:val="24"/>
        </w:rPr>
        <w:t xml:space="preserve">by </w:t>
      </w:r>
      <w:r w:rsidRPr="001B09B8">
        <w:rPr>
          <w:rFonts w:ascii="Arial" w:hAnsi="Arial" w:cs="Arial"/>
          <w:sz w:val="24"/>
          <w:szCs w:val="24"/>
        </w:rPr>
        <w:t>£29 million</w:t>
      </w:r>
      <w:r w:rsidRPr="008A6891">
        <w:rPr>
          <w:rFonts w:ascii="Arial" w:hAnsi="Arial" w:cs="Arial"/>
          <w:sz w:val="24"/>
          <w:szCs w:val="24"/>
        </w:rPr>
        <w:t>.</w:t>
      </w:r>
    </w:p>
    <w:p w14:paraId="0002DED8" w14:textId="77777777" w:rsidR="003A298D" w:rsidRDefault="003A298D" w:rsidP="003A298D">
      <w:pPr>
        <w:jc w:val="left"/>
        <w:rPr>
          <w:rFonts w:ascii="Arial" w:hAnsi="Arial" w:cs="Arial"/>
          <w:sz w:val="24"/>
          <w:szCs w:val="24"/>
        </w:rPr>
      </w:pPr>
    </w:p>
    <w:p w14:paraId="6DC0CAA3" w14:textId="6242A1ED" w:rsidR="003A298D" w:rsidRPr="008A6891" w:rsidRDefault="00F91E1D" w:rsidP="003A298D">
      <w:pPr>
        <w:jc w:val="left"/>
        <w:rPr>
          <w:rFonts w:ascii="Arial" w:hAnsi="Arial" w:cs="Arial"/>
          <w:sz w:val="24"/>
          <w:szCs w:val="24"/>
        </w:rPr>
      </w:pPr>
      <w:r>
        <w:rPr>
          <w:rFonts w:ascii="Arial" w:hAnsi="Arial" w:cs="Arial"/>
          <w:bCs/>
          <w:sz w:val="24"/>
          <w:szCs w:val="24"/>
        </w:rPr>
        <w:t>R</w:t>
      </w:r>
      <w:r w:rsidR="003A298D" w:rsidRPr="00326DF5">
        <w:rPr>
          <w:rFonts w:ascii="Arial" w:hAnsi="Arial" w:cs="Arial"/>
          <w:bCs/>
          <w:sz w:val="24"/>
          <w:szCs w:val="24"/>
        </w:rPr>
        <w:t xml:space="preserve">estatement data tables for 2014/15 have been published at: </w:t>
      </w:r>
      <w:hyperlink r:id="rId12" w:history="1">
        <w:r w:rsidR="00781C5B" w:rsidRPr="00781C5B">
          <w:rPr>
            <w:rStyle w:val="Hyperlink"/>
            <w:rFonts w:ascii="Arial" w:hAnsi="Arial" w:cs="Arial"/>
            <w:iCs/>
            <w:sz w:val="18"/>
            <w:szCs w:val="18"/>
          </w:rPr>
          <w:t>www.kingfisher.com/index.asp?pageid=59</w:t>
        </w:r>
      </w:hyperlink>
    </w:p>
    <w:p w14:paraId="1FADE200" w14:textId="77777777" w:rsidR="006F6D98" w:rsidRDefault="006F6D98" w:rsidP="003A298D">
      <w:pPr>
        <w:ind w:right="-368"/>
        <w:jc w:val="left"/>
        <w:rPr>
          <w:rFonts w:ascii="Arial" w:hAnsi="Arial" w:cs="Arial"/>
          <w:b/>
          <w:sz w:val="24"/>
          <w:szCs w:val="24"/>
        </w:rPr>
      </w:pPr>
    </w:p>
    <w:p w14:paraId="182AB8B0" w14:textId="399A1D16" w:rsidR="003A298D" w:rsidRPr="00BC3937" w:rsidRDefault="003A298D" w:rsidP="003A298D">
      <w:pPr>
        <w:ind w:right="-368"/>
        <w:jc w:val="left"/>
        <w:rPr>
          <w:rFonts w:ascii="Arial" w:hAnsi="Arial" w:cs="Arial"/>
          <w:sz w:val="24"/>
          <w:szCs w:val="24"/>
        </w:rPr>
      </w:pPr>
      <w:r w:rsidRPr="00BC3937">
        <w:rPr>
          <w:rFonts w:ascii="Arial" w:hAnsi="Arial" w:cs="Arial"/>
          <w:b/>
          <w:sz w:val="24"/>
          <w:szCs w:val="24"/>
        </w:rPr>
        <w:lastRenderedPageBreak/>
        <w:t>Adjusted pre-tax profit</w:t>
      </w:r>
      <w:r w:rsidRPr="00BC3937">
        <w:rPr>
          <w:rFonts w:ascii="Arial" w:hAnsi="Arial" w:cs="Arial"/>
          <w:sz w:val="24"/>
          <w:szCs w:val="24"/>
        </w:rPr>
        <w:t xml:space="preserve"> decreased by </w:t>
      </w:r>
      <w:r w:rsidR="00091980">
        <w:rPr>
          <w:rFonts w:ascii="Arial" w:hAnsi="Arial" w:cs="Arial"/>
          <w:sz w:val="24"/>
          <w:szCs w:val="24"/>
        </w:rPr>
        <w:t>2.3</w:t>
      </w:r>
      <w:r w:rsidRPr="00BC3937">
        <w:rPr>
          <w:rFonts w:ascii="Arial" w:hAnsi="Arial" w:cs="Arial"/>
          <w:sz w:val="24"/>
          <w:szCs w:val="24"/>
        </w:rPr>
        <w:t>% to £</w:t>
      </w:r>
      <w:r w:rsidR="00091980">
        <w:rPr>
          <w:rFonts w:ascii="Arial" w:hAnsi="Arial" w:cs="Arial"/>
          <w:sz w:val="24"/>
          <w:szCs w:val="24"/>
        </w:rPr>
        <w:t>384</w:t>
      </w:r>
      <w:r w:rsidRPr="00BC3937">
        <w:rPr>
          <w:rFonts w:ascii="Arial" w:hAnsi="Arial" w:cs="Arial"/>
          <w:sz w:val="24"/>
          <w:szCs w:val="24"/>
        </w:rPr>
        <w:t xml:space="preserve"> million</w:t>
      </w:r>
      <w:r w:rsidR="00F91E1D">
        <w:rPr>
          <w:rFonts w:ascii="Arial" w:hAnsi="Arial" w:cs="Arial"/>
          <w:sz w:val="24"/>
          <w:szCs w:val="24"/>
        </w:rPr>
        <w:t>, in line with retail profit,</w:t>
      </w:r>
      <w:r w:rsidRPr="00BC3937">
        <w:rPr>
          <w:rFonts w:ascii="Arial" w:hAnsi="Arial" w:cs="Arial"/>
          <w:sz w:val="24"/>
          <w:szCs w:val="24"/>
        </w:rPr>
        <w:t xml:space="preserve"> </w:t>
      </w:r>
      <w:r w:rsidRPr="00AB087F">
        <w:rPr>
          <w:rFonts w:ascii="Arial" w:hAnsi="Arial" w:cs="Arial"/>
          <w:sz w:val="24"/>
          <w:szCs w:val="24"/>
        </w:rPr>
        <w:t>primarily reflecting adverse foreign exchange movements.</w:t>
      </w:r>
    </w:p>
    <w:p w14:paraId="39FC00D8" w14:textId="77777777" w:rsidR="003A298D" w:rsidRPr="004B173A" w:rsidRDefault="003A298D" w:rsidP="003A298D">
      <w:pPr>
        <w:ind w:right="-368"/>
        <w:jc w:val="left"/>
        <w:rPr>
          <w:rFonts w:ascii="Arial" w:hAnsi="Arial" w:cs="Arial"/>
          <w:sz w:val="24"/>
          <w:szCs w:val="24"/>
          <w:highlight w:val="yellow"/>
        </w:rPr>
      </w:pPr>
      <w:r w:rsidRPr="004B173A">
        <w:rPr>
          <w:rFonts w:ascii="Arial" w:hAnsi="Arial" w:cs="Arial"/>
          <w:sz w:val="24"/>
          <w:szCs w:val="24"/>
          <w:highlight w:val="yellow"/>
        </w:rPr>
        <w:t xml:space="preserve"> </w:t>
      </w:r>
    </w:p>
    <w:p w14:paraId="13B92E32" w14:textId="09586C29" w:rsidR="003A298D" w:rsidRPr="00617BF2" w:rsidRDefault="003A298D" w:rsidP="003A298D">
      <w:pPr>
        <w:jc w:val="left"/>
        <w:rPr>
          <w:rFonts w:ascii="Arial" w:hAnsi="Arial" w:cs="Arial"/>
          <w:sz w:val="24"/>
          <w:szCs w:val="24"/>
        </w:rPr>
      </w:pPr>
      <w:r w:rsidRPr="00617BF2">
        <w:rPr>
          <w:rFonts w:ascii="Arial" w:hAnsi="Arial" w:cs="Arial"/>
          <w:b/>
          <w:sz w:val="24"/>
          <w:szCs w:val="24"/>
        </w:rPr>
        <w:t>Statutory pre-tax profit</w:t>
      </w:r>
      <w:r w:rsidRPr="00617BF2">
        <w:rPr>
          <w:rFonts w:ascii="Arial" w:hAnsi="Arial" w:cs="Arial"/>
          <w:sz w:val="24"/>
          <w:szCs w:val="24"/>
        </w:rPr>
        <w:t xml:space="preserve">, </w:t>
      </w:r>
      <w:r w:rsidR="00090CF9">
        <w:rPr>
          <w:rFonts w:ascii="Arial" w:hAnsi="Arial" w:cs="Arial"/>
          <w:sz w:val="24"/>
          <w:szCs w:val="24"/>
        </w:rPr>
        <w:t>decreased</w:t>
      </w:r>
      <w:r w:rsidRPr="00617BF2">
        <w:rPr>
          <w:rFonts w:ascii="Arial" w:hAnsi="Arial" w:cs="Arial"/>
          <w:sz w:val="24"/>
          <w:szCs w:val="24"/>
        </w:rPr>
        <w:t xml:space="preserve"> by </w:t>
      </w:r>
      <w:r w:rsidR="009C546D">
        <w:rPr>
          <w:rFonts w:ascii="Arial" w:hAnsi="Arial" w:cs="Arial"/>
          <w:sz w:val="24"/>
          <w:szCs w:val="24"/>
        </w:rPr>
        <w:t>1.8</w:t>
      </w:r>
      <w:r w:rsidRPr="0057471E">
        <w:rPr>
          <w:rFonts w:ascii="Arial" w:hAnsi="Arial" w:cs="Arial"/>
          <w:sz w:val="24"/>
          <w:szCs w:val="24"/>
        </w:rPr>
        <w:t>% to £</w:t>
      </w:r>
      <w:r w:rsidR="009C546D">
        <w:rPr>
          <w:rFonts w:ascii="Arial" w:hAnsi="Arial" w:cs="Arial"/>
          <w:sz w:val="24"/>
          <w:szCs w:val="24"/>
        </w:rPr>
        <w:t>386</w:t>
      </w:r>
      <w:r w:rsidRPr="00617BF2">
        <w:rPr>
          <w:rFonts w:ascii="Arial" w:hAnsi="Arial" w:cs="Arial"/>
          <w:sz w:val="24"/>
          <w:szCs w:val="24"/>
        </w:rPr>
        <w:t xml:space="preserve"> million. A reconciliation from the adjusted basis to the statutory basis for pre-tax profit is set out below:</w:t>
      </w:r>
    </w:p>
    <w:p w14:paraId="4E601760" w14:textId="77777777" w:rsidR="00091980" w:rsidRPr="00112D34" w:rsidRDefault="00091980" w:rsidP="00091980">
      <w:pPr>
        <w:jc w:val="left"/>
        <w:rPr>
          <w:rFonts w:ascii="Arial" w:hAnsi="Arial" w:cs="Arial"/>
          <w:sz w:val="24"/>
        </w:rPr>
      </w:pPr>
    </w:p>
    <w:tbl>
      <w:tblPr>
        <w:tblStyle w:val="TableGrid"/>
        <w:tblW w:w="50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744"/>
        <w:gridCol w:w="1230"/>
        <w:gridCol w:w="1212"/>
        <w:gridCol w:w="1497"/>
      </w:tblGrid>
      <w:tr w:rsidR="00091980" w:rsidRPr="004B173A" w14:paraId="2F58F557" w14:textId="77777777" w:rsidTr="00B66BBE">
        <w:tc>
          <w:tcPr>
            <w:tcW w:w="2966" w:type="pct"/>
            <w:tcBorders>
              <w:bottom w:val="single" w:sz="4" w:space="0" w:color="auto"/>
            </w:tcBorders>
          </w:tcPr>
          <w:p w14:paraId="576D8E0C" w14:textId="77777777" w:rsidR="00091980" w:rsidRPr="00112D34" w:rsidRDefault="00091980" w:rsidP="00B66BBE">
            <w:pPr>
              <w:jc w:val="right"/>
              <w:rPr>
                <w:rFonts w:ascii="Arial" w:hAnsi="Arial" w:cs="Arial"/>
                <w:sz w:val="24"/>
                <w:szCs w:val="24"/>
              </w:rPr>
            </w:pPr>
          </w:p>
        </w:tc>
        <w:tc>
          <w:tcPr>
            <w:tcW w:w="635" w:type="pct"/>
            <w:tcBorders>
              <w:bottom w:val="single" w:sz="4" w:space="0" w:color="auto"/>
            </w:tcBorders>
          </w:tcPr>
          <w:p w14:paraId="20EF49D6" w14:textId="77777777" w:rsidR="00091980" w:rsidRPr="00112D34" w:rsidRDefault="00091980" w:rsidP="00B66BBE">
            <w:pPr>
              <w:jc w:val="right"/>
              <w:rPr>
                <w:rFonts w:ascii="Arial" w:hAnsi="Arial" w:cs="Arial"/>
                <w:b/>
                <w:sz w:val="24"/>
                <w:szCs w:val="24"/>
              </w:rPr>
            </w:pPr>
            <w:r w:rsidRPr="00112D34">
              <w:rPr>
                <w:rFonts w:ascii="Arial" w:hAnsi="Arial" w:cs="Arial"/>
                <w:b/>
                <w:sz w:val="24"/>
                <w:szCs w:val="24"/>
              </w:rPr>
              <w:t>2015/16</w:t>
            </w:r>
          </w:p>
          <w:p w14:paraId="16F06AAA" w14:textId="77777777" w:rsidR="00091980" w:rsidRPr="00112D34" w:rsidRDefault="00091980" w:rsidP="00B66BBE">
            <w:pPr>
              <w:jc w:val="right"/>
              <w:rPr>
                <w:rFonts w:ascii="Arial" w:hAnsi="Arial" w:cs="Arial"/>
                <w:b/>
                <w:sz w:val="24"/>
                <w:szCs w:val="24"/>
              </w:rPr>
            </w:pPr>
            <w:r w:rsidRPr="00112D34">
              <w:rPr>
                <w:rFonts w:ascii="Arial" w:hAnsi="Arial" w:cs="Arial"/>
                <w:b/>
                <w:sz w:val="24"/>
                <w:szCs w:val="24"/>
              </w:rPr>
              <w:t>£m</w:t>
            </w:r>
          </w:p>
        </w:tc>
        <w:tc>
          <w:tcPr>
            <w:tcW w:w="626" w:type="pct"/>
            <w:tcBorders>
              <w:bottom w:val="single" w:sz="4" w:space="0" w:color="auto"/>
            </w:tcBorders>
          </w:tcPr>
          <w:p w14:paraId="2038C005" w14:textId="77777777" w:rsidR="00091980" w:rsidRPr="00112D34" w:rsidRDefault="00091980" w:rsidP="00B66BBE">
            <w:pPr>
              <w:jc w:val="right"/>
              <w:rPr>
                <w:rFonts w:ascii="Arial" w:hAnsi="Arial" w:cs="Arial"/>
                <w:sz w:val="24"/>
                <w:szCs w:val="24"/>
              </w:rPr>
            </w:pPr>
            <w:r w:rsidRPr="00112D34">
              <w:rPr>
                <w:rFonts w:ascii="Arial" w:hAnsi="Arial" w:cs="Arial"/>
                <w:sz w:val="24"/>
                <w:szCs w:val="24"/>
              </w:rPr>
              <w:t>2014/15</w:t>
            </w:r>
          </w:p>
          <w:p w14:paraId="3C2B4580" w14:textId="77777777" w:rsidR="00091980" w:rsidRPr="00112D34" w:rsidRDefault="00091980" w:rsidP="00B66BBE">
            <w:pPr>
              <w:jc w:val="right"/>
              <w:rPr>
                <w:rFonts w:ascii="Arial" w:hAnsi="Arial" w:cs="Arial"/>
                <w:sz w:val="24"/>
                <w:szCs w:val="24"/>
              </w:rPr>
            </w:pPr>
            <w:r w:rsidRPr="00112D34">
              <w:rPr>
                <w:rFonts w:ascii="Arial" w:hAnsi="Arial" w:cs="Arial"/>
                <w:sz w:val="24"/>
                <w:szCs w:val="24"/>
              </w:rPr>
              <w:t>£m</w:t>
            </w:r>
          </w:p>
        </w:tc>
        <w:tc>
          <w:tcPr>
            <w:tcW w:w="773" w:type="pct"/>
            <w:tcBorders>
              <w:bottom w:val="single" w:sz="4" w:space="0" w:color="auto"/>
            </w:tcBorders>
          </w:tcPr>
          <w:p w14:paraId="6316167D" w14:textId="77777777" w:rsidR="00091980" w:rsidRPr="00112D34" w:rsidRDefault="00091980" w:rsidP="00B66BBE">
            <w:pPr>
              <w:jc w:val="right"/>
              <w:rPr>
                <w:rFonts w:ascii="Arial" w:hAnsi="Arial" w:cs="Arial"/>
                <w:sz w:val="24"/>
                <w:szCs w:val="24"/>
              </w:rPr>
            </w:pPr>
            <w:r w:rsidRPr="00112D34">
              <w:rPr>
                <w:rFonts w:ascii="Arial" w:hAnsi="Arial" w:cs="Arial"/>
                <w:sz w:val="24"/>
                <w:szCs w:val="24"/>
              </w:rPr>
              <w:t>Increase/</w:t>
            </w:r>
          </w:p>
          <w:p w14:paraId="6169B531" w14:textId="77777777" w:rsidR="00091980" w:rsidRPr="00112D34" w:rsidRDefault="00091980" w:rsidP="00B66BBE">
            <w:pPr>
              <w:jc w:val="right"/>
              <w:rPr>
                <w:rFonts w:ascii="Arial" w:hAnsi="Arial" w:cs="Arial"/>
                <w:sz w:val="24"/>
                <w:szCs w:val="24"/>
              </w:rPr>
            </w:pPr>
            <w:r w:rsidRPr="00112D34">
              <w:rPr>
                <w:rFonts w:ascii="Arial" w:hAnsi="Arial" w:cs="Arial"/>
                <w:sz w:val="24"/>
                <w:szCs w:val="24"/>
              </w:rPr>
              <w:t xml:space="preserve">(decrease) </w:t>
            </w:r>
          </w:p>
        </w:tc>
      </w:tr>
      <w:tr w:rsidR="00091980" w:rsidRPr="004B173A" w14:paraId="4633C7A2" w14:textId="77777777" w:rsidTr="00B66BBE">
        <w:tc>
          <w:tcPr>
            <w:tcW w:w="2966" w:type="pct"/>
            <w:tcBorders>
              <w:top w:val="single" w:sz="4" w:space="0" w:color="auto"/>
            </w:tcBorders>
          </w:tcPr>
          <w:p w14:paraId="02C8CA99" w14:textId="77777777" w:rsidR="00091980" w:rsidRPr="00112D34" w:rsidRDefault="00091980" w:rsidP="00B66BBE">
            <w:pPr>
              <w:jc w:val="left"/>
              <w:rPr>
                <w:rFonts w:ascii="Arial" w:hAnsi="Arial" w:cs="Arial"/>
                <w:b/>
                <w:sz w:val="24"/>
                <w:szCs w:val="24"/>
              </w:rPr>
            </w:pPr>
            <w:r w:rsidRPr="00112D34">
              <w:rPr>
                <w:rFonts w:ascii="Arial" w:hAnsi="Arial" w:cs="Arial"/>
                <w:b/>
                <w:sz w:val="24"/>
                <w:szCs w:val="24"/>
              </w:rPr>
              <w:t>Adjusted pre-tax profit</w:t>
            </w:r>
          </w:p>
        </w:tc>
        <w:tc>
          <w:tcPr>
            <w:tcW w:w="635" w:type="pct"/>
            <w:tcBorders>
              <w:top w:val="single" w:sz="4" w:space="0" w:color="auto"/>
            </w:tcBorders>
          </w:tcPr>
          <w:p w14:paraId="6C1107B3" w14:textId="77777777" w:rsidR="00091980" w:rsidRPr="00CA4D98" w:rsidRDefault="00091980" w:rsidP="00B66BBE">
            <w:pPr>
              <w:jc w:val="right"/>
              <w:rPr>
                <w:rFonts w:ascii="Arial" w:hAnsi="Arial" w:cs="Arial"/>
                <w:b/>
                <w:sz w:val="24"/>
                <w:szCs w:val="24"/>
              </w:rPr>
            </w:pPr>
            <w:r w:rsidRPr="00CA4D98">
              <w:rPr>
                <w:rFonts w:ascii="Arial" w:hAnsi="Arial" w:cs="Arial"/>
                <w:b/>
                <w:sz w:val="24"/>
                <w:szCs w:val="24"/>
              </w:rPr>
              <w:t>384</w:t>
            </w:r>
          </w:p>
        </w:tc>
        <w:tc>
          <w:tcPr>
            <w:tcW w:w="626" w:type="pct"/>
            <w:tcBorders>
              <w:top w:val="single" w:sz="4" w:space="0" w:color="auto"/>
            </w:tcBorders>
          </w:tcPr>
          <w:p w14:paraId="6461601A" w14:textId="77777777" w:rsidR="00091980" w:rsidRPr="00CA4D98" w:rsidRDefault="00091980" w:rsidP="00B66BBE">
            <w:pPr>
              <w:jc w:val="right"/>
              <w:rPr>
                <w:rFonts w:ascii="Arial" w:hAnsi="Arial" w:cs="Arial"/>
                <w:sz w:val="24"/>
                <w:szCs w:val="24"/>
              </w:rPr>
            </w:pPr>
            <w:r w:rsidRPr="00CA4D98">
              <w:rPr>
                <w:rFonts w:ascii="Arial" w:hAnsi="Arial" w:cs="Arial"/>
                <w:sz w:val="24"/>
                <w:szCs w:val="24"/>
              </w:rPr>
              <w:t>393</w:t>
            </w:r>
          </w:p>
        </w:tc>
        <w:tc>
          <w:tcPr>
            <w:tcW w:w="773" w:type="pct"/>
            <w:tcBorders>
              <w:top w:val="single" w:sz="4" w:space="0" w:color="auto"/>
            </w:tcBorders>
            <w:vAlign w:val="bottom"/>
          </w:tcPr>
          <w:p w14:paraId="06B0C2F4" w14:textId="77777777" w:rsidR="00091980" w:rsidRPr="004B173A" w:rsidRDefault="00091980" w:rsidP="00B66BBE">
            <w:pPr>
              <w:jc w:val="right"/>
              <w:rPr>
                <w:rFonts w:ascii="Arial" w:hAnsi="Arial" w:cs="Arial"/>
                <w:sz w:val="24"/>
                <w:szCs w:val="24"/>
                <w:highlight w:val="yellow"/>
              </w:rPr>
            </w:pPr>
            <w:r>
              <w:rPr>
                <w:rFonts w:ascii="Arial" w:hAnsi="Arial" w:cs="Arial"/>
                <w:sz w:val="24"/>
                <w:szCs w:val="24"/>
              </w:rPr>
              <w:t>(2.3)%</w:t>
            </w:r>
          </w:p>
        </w:tc>
      </w:tr>
      <w:tr w:rsidR="00091980" w:rsidRPr="004B173A" w14:paraId="1C002FE6" w14:textId="77777777" w:rsidTr="00B66BBE">
        <w:tc>
          <w:tcPr>
            <w:tcW w:w="2966" w:type="pct"/>
          </w:tcPr>
          <w:p w14:paraId="4B7E6625" w14:textId="77777777" w:rsidR="00091980" w:rsidRPr="00112D34" w:rsidRDefault="00091980" w:rsidP="00B66BBE">
            <w:pPr>
              <w:jc w:val="left"/>
              <w:rPr>
                <w:rFonts w:ascii="Arial" w:hAnsi="Arial" w:cs="Arial"/>
                <w:sz w:val="24"/>
                <w:szCs w:val="24"/>
              </w:rPr>
            </w:pPr>
            <w:r>
              <w:rPr>
                <w:rFonts w:ascii="Arial" w:hAnsi="Arial" w:cs="Arial"/>
                <w:sz w:val="24"/>
                <w:szCs w:val="24"/>
              </w:rPr>
              <w:t>B&amp;Q China operating loss</w:t>
            </w:r>
          </w:p>
        </w:tc>
        <w:tc>
          <w:tcPr>
            <w:tcW w:w="635" w:type="pct"/>
          </w:tcPr>
          <w:p w14:paraId="4B21808B" w14:textId="77777777" w:rsidR="00091980" w:rsidRPr="00CA4D98" w:rsidDel="000E6907" w:rsidRDefault="00091980" w:rsidP="00B66BBE">
            <w:pPr>
              <w:jc w:val="right"/>
              <w:rPr>
                <w:rFonts w:ascii="Arial" w:hAnsi="Arial" w:cs="Arial"/>
                <w:b/>
                <w:sz w:val="24"/>
                <w:szCs w:val="24"/>
              </w:rPr>
            </w:pPr>
            <w:r w:rsidRPr="00CA4D98">
              <w:rPr>
                <w:rFonts w:ascii="Arial" w:hAnsi="Arial" w:cs="Arial"/>
                <w:b/>
                <w:sz w:val="24"/>
                <w:szCs w:val="24"/>
              </w:rPr>
              <w:t>(4)</w:t>
            </w:r>
          </w:p>
        </w:tc>
        <w:tc>
          <w:tcPr>
            <w:tcW w:w="626" w:type="pct"/>
          </w:tcPr>
          <w:p w14:paraId="5F4D2BF0" w14:textId="77777777" w:rsidR="00091980" w:rsidRPr="00CA4D98" w:rsidRDefault="00091980" w:rsidP="00B66BBE">
            <w:pPr>
              <w:jc w:val="right"/>
              <w:rPr>
                <w:rFonts w:ascii="Arial" w:hAnsi="Arial" w:cs="Arial"/>
                <w:sz w:val="24"/>
                <w:szCs w:val="24"/>
              </w:rPr>
            </w:pPr>
            <w:r w:rsidRPr="00CA4D98">
              <w:rPr>
                <w:rFonts w:ascii="Arial" w:hAnsi="Arial" w:cs="Arial"/>
                <w:sz w:val="24"/>
                <w:szCs w:val="24"/>
              </w:rPr>
              <w:t>(11)</w:t>
            </w:r>
          </w:p>
        </w:tc>
        <w:tc>
          <w:tcPr>
            <w:tcW w:w="773" w:type="pct"/>
            <w:vAlign w:val="bottom"/>
          </w:tcPr>
          <w:p w14:paraId="2E9B6F0E" w14:textId="77777777" w:rsidR="00091980" w:rsidRPr="004B173A" w:rsidRDefault="00091980" w:rsidP="00B66BBE">
            <w:pPr>
              <w:jc w:val="right"/>
              <w:rPr>
                <w:rFonts w:ascii="Arial" w:hAnsi="Arial" w:cs="Arial"/>
                <w:sz w:val="24"/>
                <w:szCs w:val="24"/>
                <w:highlight w:val="yellow"/>
              </w:rPr>
            </w:pPr>
          </w:p>
        </w:tc>
      </w:tr>
      <w:tr w:rsidR="00091980" w:rsidRPr="004B173A" w14:paraId="0B9BE6ED" w14:textId="77777777" w:rsidTr="00B66BBE">
        <w:tc>
          <w:tcPr>
            <w:tcW w:w="2966" w:type="pct"/>
            <w:tcBorders>
              <w:bottom w:val="single" w:sz="4" w:space="0" w:color="auto"/>
            </w:tcBorders>
          </w:tcPr>
          <w:p w14:paraId="4E3A4CCA" w14:textId="77777777" w:rsidR="00091980" w:rsidRPr="00112D34" w:rsidRDefault="00091980" w:rsidP="00B66BBE">
            <w:pPr>
              <w:jc w:val="left"/>
              <w:rPr>
                <w:rFonts w:ascii="Arial" w:hAnsi="Arial" w:cs="Arial"/>
                <w:sz w:val="24"/>
                <w:szCs w:val="24"/>
              </w:rPr>
            </w:pPr>
            <w:r w:rsidRPr="00112D34">
              <w:rPr>
                <w:rFonts w:ascii="Arial" w:hAnsi="Arial" w:cs="Arial"/>
                <w:sz w:val="24"/>
                <w:szCs w:val="24"/>
              </w:rPr>
              <w:t xml:space="preserve">Financing fair value </w:t>
            </w:r>
            <w:proofErr w:type="spellStart"/>
            <w:r w:rsidRPr="00112D34">
              <w:rPr>
                <w:rFonts w:ascii="Arial" w:hAnsi="Arial" w:cs="Arial"/>
                <w:sz w:val="24"/>
                <w:szCs w:val="24"/>
              </w:rPr>
              <w:t>remeasurements</w:t>
            </w:r>
            <w:proofErr w:type="spellEnd"/>
            <w:r w:rsidRPr="00112D34">
              <w:rPr>
                <w:rFonts w:ascii="Arial" w:hAnsi="Arial" w:cs="Arial"/>
                <w:sz w:val="24"/>
                <w:szCs w:val="24"/>
              </w:rPr>
              <w:t xml:space="preserve"> (FFVR)</w:t>
            </w:r>
          </w:p>
        </w:tc>
        <w:tc>
          <w:tcPr>
            <w:tcW w:w="635" w:type="pct"/>
            <w:tcBorders>
              <w:bottom w:val="single" w:sz="4" w:space="0" w:color="auto"/>
            </w:tcBorders>
          </w:tcPr>
          <w:p w14:paraId="2DA0D11A" w14:textId="77777777" w:rsidR="00091980" w:rsidRPr="00CA4D98" w:rsidRDefault="00091980" w:rsidP="00B66BBE">
            <w:pPr>
              <w:jc w:val="right"/>
              <w:rPr>
                <w:rFonts w:ascii="Arial" w:hAnsi="Arial" w:cs="Arial"/>
                <w:b/>
                <w:sz w:val="24"/>
                <w:szCs w:val="24"/>
              </w:rPr>
            </w:pPr>
            <w:r w:rsidRPr="00CA4D98">
              <w:rPr>
                <w:rFonts w:ascii="Arial" w:hAnsi="Arial" w:cs="Arial"/>
                <w:b/>
                <w:sz w:val="24"/>
                <w:szCs w:val="24"/>
              </w:rPr>
              <w:t>(3)</w:t>
            </w:r>
          </w:p>
        </w:tc>
        <w:tc>
          <w:tcPr>
            <w:tcW w:w="626" w:type="pct"/>
            <w:tcBorders>
              <w:bottom w:val="single" w:sz="4" w:space="0" w:color="auto"/>
            </w:tcBorders>
          </w:tcPr>
          <w:p w14:paraId="0D82A59E" w14:textId="77777777" w:rsidR="00091980" w:rsidRPr="00CA4D98" w:rsidRDefault="00091980" w:rsidP="00B66BBE">
            <w:pPr>
              <w:jc w:val="right"/>
              <w:rPr>
                <w:rFonts w:ascii="Arial" w:hAnsi="Arial" w:cs="Arial"/>
                <w:sz w:val="24"/>
                <w:szCs w:val="24"/>
              </w:rPr>
            </w:pPr>
            <w:r w:rsidRPr="00CA4D98">
              <w:rPr>
                <w:rFonts w:ascii="Arial" w:hAnsi="Arial" w:cs="Arial"/>
                <w:sz w:val="24"/>
                <w:szCs w:val="24"/>
              </w:rPr>
              <w:t>1</w:t>
            </w:r>
          </w:p>
        </w:tc>
        <w:tc>
          <w:tcPr>
            <w:tcW w:w="773" w:type="pct"/>
            <w:tcBorders>
              <w:bottom w:val="single" w:sz="4" w:space="0" w:color="auto"/>
            </w:tcBorders>
            <w:vAlign w:val="bottom"/>
          </w:tcPr>
          <w:p w14:paraId="681869B3" w14:textId="77777777" w:rsidR="00091980" w:rsidRPr="004B173A" w:rsidRDefault="00091980" w:rsidP="00B66BBE">
            <w:pPr>
              <w:jc w:val="right"/>
              <w:rPr>
                <w:rFonts w:ascii="Arial" w:hAnsi="Arial" w:cs="Arial"/>
                <w:sz w:val="24"/>
                <w:szCs w:val="24"/>
                <w:highlight w:val="yellow"/>
              </w:rPr>
            </w:pPr>
          </w:p>
        </w:tc>
      </w:tr>
      <w:tr w:rsidR="00091980" w:rsidRPr="004B173A" w14:paraId="626F6BE3" w14:textId="77777777" w:rsidTr="00B66BBE">
        <w:tc>
          <w:tcPr>
            <w:tcW w:w="2966" w:type="pct"/>
            <w:tcBorders>
              <w:top w:val="single" w:sz="4" w:space="0" w:color="auto"/>
            </w:tcBorders>
          </w:tcPr>
          <w:p w14:paraId="76F6BEFA" w14:textId="77777777" w:rsidR="00091980" w:rsidRPr="00112D34" w:rsidRDefault="00091980" w:rsidP="00B66BBE">
            <w:pPr>
              <w:jc w:val="left"/>
              <w:rPr>
                <w:rFonts w:ascii="Arial" w:hAnsi="Arial" w:cs="Arial"/>
                <w:sz w:val="24"/>
                <w:szCs w:val="24"/>
              </w:rPr>
            </w:pPr>
            <w:r w:rsidRPr="00112D34">
              <w:rPr>
                <w:rFonts w:ascii="Arial" w:hAnsi="Arial" w:cs="Arial"/>
                <w:sz w:val="24"/>
                <w:szCs w:val="24"/>
              </w:rPr>
              <w:t>Profit before exceptional items and taxation</w:t>
            </w:r>
          </w:p>
        </w:tc>
        <w:tc>
          <w:tcPr>
            <w:tcW w:w="635" w:type="pct"/>
            <w:tcBorders>
              <w:top w:val="single" w:sz="4" w:space="0" w:color="auto"/>
            </w:tcBorders>
          </w:tcPr>
          <w:p w14:paraId="73097574" w14:textId="77777777" w:rsidR="00091980" w:rsidRPr="00CA4D98" w:rsidRDefault="00091980" w:rsidP="00B66BBE">
            <w:pPr>
              <w:jc w:val="right"/>
              <w:rPr>
                <w:rFonts w:ascii="Arial" w:hAnsi="Arial" w:cs="Arial"/>
                <w:b/>
                <w:sz w:val="24"/>
                <w:szCs w:val="24"/>
              </w:rPr>
            </w:pPr>
            <w:r w:rsidRPr="00CA4D98">
              <w:rPr>
                <w:rFonts w:ascii="Arial" w:hAnsi="Arial" w:cs="Arial"/>
                <w:b/>
                <w:sz w:val="24"/>
                <w:szCs w:val="24"/>
              </w:rPr>
              <w:t>377</w:t>
            </w:r>
          </w:p>
        </w:tc>
        <w:tc>
          <w:tcPr>
            <w:tcW w:w="626" w:type="pct"/>
            <w:tcBorders>
              <w:top w:val="single" w:sz="4" w:space="0" w:color="auto"/>
            </w:tcBorders>
          </w:tcPr>
          <w:p w14:paraId="4CEBCE10" w14:textId="77777777" w:rsidR="00091980" w:rsidRPr="00CA4D98" w:rsidRDefault="00091980" w:rsidP="00B66BBE">
            <w:pPr>
              <w:jc w:val="right"/>
              <w:rPr>
                <w:rFonts w:ascii="Arial" w:hAnsi="Arial" w:cs="Arial"/>
                <w:sz w:val="24"/>
                <w:szCs w:val="24"/>
              </w:rPr>
            </w:pPr>
            <w:r w:rsidRPr="00CA4D98">
              <w:rPr>
                <w:rFonts w:ascii="Arial" w:hAnsi="Arial" w:cs="Arial"/>
                <w:sz w:val="24"/>
                <w:szCs w:val="24"/>
              </w:rPr>
              <w:t>383</w:t>
            </w:r>
          </w:p>
        </w:tc>
        <w:tc>
          <w:tcPr>
            <w:tcW w:w="773" w:type="pct"/>
            <w:tcBorders>
              <w:top w:val="single" w:sz="4" w:space="0" w:color="auto"/>
            </w:tcBorders>
            <w:vAlign w:val="bottom"/>
          </w:tcPr>
          <w:p w14:paraId="0D4D1D73" w14:textId="77777777" w:rsidR="00091980" w:rsidRPr="004B173A" w:rsidRDefault="00091980" w:rsidP="00B66BBE">
            <w:pPr>
              <w:jc w:val="right"/>
              <w:rPr>
                <w:rFonts w:ascii="Arial" w:hAnsi="Arial" w:cs="Arial"/>
                <w:sz w:val="24"/>
                <w:szCs w:val="24"/>
                <w:highlight w:val="yellow"/>
              </w:rPr>
            </w:pPr>
            <w:r w:rsidRPr="00657F6A">
              <w:rPr>
                <w:rFonts w:ascii="Arial" w:hAnsi="Arial" w:cs="Arial"/>
                <w:sz w:val="24"/>
                <w:szCs w:val="24"/>
              </w:rPr>
              <w:t>(1.6)%</w:t>
            </w:r>
          </w:p>
        </w:tc>
      </w:tr>
      <w:tr w:rsidR="00091980" w:rsidRPr="004B173A" w14:paraId="6E22E59D" w14:textId="77777777" w:rsidTr="00B66BBE">
        <w:tc>
          <w:tcPr>
            <w:tcW w:w="2966" w:type="pct"/>
            <w:tcBorders>
              <w:bottom w:val="single" w:sz="4" w:space="0" w:color="auto"/>
            </w:tcBorders>
          </w:tcPr>
          <w:p w14:paraId="678ADC9F" w14:textId="77777777" w:rsidR="00091980" w:rsidRPr="00112D34" w:rsidRDefault="00091980" w:rsidP="00B66BBE">
            <w:pPr>
              <w:jc w:val="left"/>
              <w:rPr>
                <w:rFonts w:ascii="Arial" w:hAnsi="Arial" w:cs="Arial"/>
                <w:sz w:val="24"/>
                <w:szCs w:val="24"/>
              </w:rPr>
            </w:pPr>
            <w:r w:rsidRPr="00112D34">
              <w:rPr>
                <w:rFonts w:ascii="Arial" w:hAnsi="Arial" w:cs="Arial"/>
                <w:sz w:val="24"/>
                <w:szCs w:val="24"/>
              </w:rPr>
              <w:t>Exceptional items before tax</w:t>
            </w:r>
          </w:p>
        </w:tc>
        <w:tc>
          <w:tcPr>
            <w:tcW w:w="635" w:type="pct"/>
            <w:tcBorders>
              <w:bottom w:val="single" w:sz="4" w:space="0" w:color="auto"/>
            </w:tcBorders>
          </w:tcPr>
          <w:p w14:paraId="553EB4F3" w14:textId="7743D97B" w:rsidR="00091980" w:rsidRPr="00CA4D98" w:rsidRDefault="00483958" w:rsidP="00B66BBE">
            <w:pPr>
              <w:jc w:val="right"/>
              <w:rPr>
                <w:rFonts w:ascii="Arial" w:hAnsi="Arial" w:cs="Arial"/>
                <w:b/>
                <w:sz w:val="24"/>
                <w:szCs w:val="24"/>
              </w:rPr>
            </w:pPr>
            <w:r>
              <w:rPr>
                <w:rFonts w:ascii="Arial" w:hAnsi="Arial" w:cs="Arial"/>
                <w:b/>
                <w:sz w:val="24"/>
                <w:szCs w:val="24"/>
              </w:rPr>
              <w:t>9</w:t>
            </w:r>
          </w:p>
        </w:tc>
        <w:tc>
          <w:tcPr>
            <w:tcW w:w="626" w:type="pct"/>
            <w:tcBorders>
              <w:bottom w:val="single" w:sz="4" w:space="0" w:color="auto"/>
            </w:tcBorders>
          </w:tcPr>
          <w:p w14:paraId="61B0AB69" w14:textId="77777777" w:rsidR="00091980" w:rsidRPr="00CA4D98" w:rsidRDefault="00091980" w:rsidP="00B66BBE">
            <w:pPr>
              <w:jc w:val="right"/>
              <w:rPr>
                <w:rFonts w:ascii="Arial" w:hAnsi="Arial" w:cs="Arial"/>
                <w:sz w:val="24"/>
                <w:szCs w:val="24"/>
              </w:rPr>
            </w:pPr>
            <w:r w:rsidRPr="00CA4D98">
              <w:rPr>
                <w:rFonts w:ascii="Arial" w:hAnsi="Arial" w:cs="Arial"/>
                <w:sz w:val="24"/>
                <w:szCs w:val="24"/>
              </w:rPr>
              <w:t>10</w:t>
            </w:r>
          </w:p>
        </w:tc>
        <w:tc>
          <w:tcPr>
            <w:tcW w:w="773" w:type="pct"/>
            <w:tcBorders>
              <w:bottom w:val="single" w:sz="4" w:space="0" w:color="auto"/>
            </w:tcBorders>
            <w:vAlign w:val="bottom"/>
          </w:tcPr>
          <w:p w14:paraId="51ACD2E1" w14:textId="77777777" w:rsidR="00091980" w:rsidRPr="004B173A" w:rsidRDefault="00091980" w:rsidP="00B66BBE">
            <w:pPr>
              <w:jc w:val="right"/>
              <w:rPr>
                <w:rFonts w:ascii="Arial" w:hAnsi="Arial" w:cs="Arial"/>
                <w:sz w:val="24"/>
                <w:szCs w:val="24"/>
                <w:highlight w:val="yellow"/>
              </w:rPr>
            </w:pPr>
          </w:p>
        </w:tc>
      </w:tr>
      <w:tr w:rsidR="00091980" w:rsidRPr="004B173A" w14:paraId="2506B23A" w14:textId="77777777" w:rsidTr="00B66BBE">
        <w:tc>
          <w:tcPr>
            <w:tcW w:w="2966" w:type="pct"/>
            <w:tcBorders>
              <w:top w:val="single" w:sz="4" w:space="0" w:color="auto"/>
              <w:bottom w:val="single" w:sz="4" w:space="0" w:color="auto"/>
            </w:tcBorders>
          </w:tcPr>
          <w:p w14:paraId="4BCFBD1B" w14:textId="77777777" w:rsidR="00091980" w:rsidRPr="00112D34" w:rsidRDefault="00091980" w:rsidP="00B66BBE">
            <w:pPr>
              <w:jc w:val="left"/>
              <w:rPr>
                <w:rFonts w:ascii="Arial" w:hAnsi="Arial" w:cs="Arial"/>
                <w:b/>
                <w:sz w:val="24"/>
                <w:szCs w:val="24"/>
              </w:rPr>
            </w:pPr>
            <w:r w:rsidRPr="00112D34">
              <w:rPr>
                <w:rFonts w:ascii="Arial" w:hAnsi="Arial" w:cs="Arial"/>
                <w:b/>
                <w:sz w:val="24"/>
                <w:szCs w:val="24"/>
              </w:rPr>
              <w:t>Statutory pre-tax profit</w:t>
            </w:r>
          </w:p>
        </w:tc>
        <w:tc>
          <w:tcPr>
            <w:tcW w:w="635" w:type="pct"/>
            <w:tcBorders>
              <w:top w:val="single" w:sz="4" w:space="0" w:color="auto"/>
              <w:bottom w:val="single" w:sz="4" w:space="0" w:color="auto"/>
            </w:tcBorders>
          </w:tcPr>
          <w:p w14:paraId="7B96A56C" w14:textId="43D25CEB" w:rsidR="00091980" w:rsidRPr="00CA4D98" w:rsidRDefault="00483958" w:rsidP="00B66BBE">
            <w:pPr>
              <w:jc w:val="right"/>
              <w:rPr>
                <w:rFonts w:ascii="Arial" w:hAnsi="Arial" w:cs="Arial"/>
                <w:b/>
                <w:sz w:val="24"/>
                <w:szCs w:val="24"/>
              </w:rPr>
            </w:pPr>
            <w:r>
              <w:rPr>
                <w:rFonts w:ascii="Arial" w:hAnsi="Arial" w:cs="Arial"/>
                <w:b/>
                <w:sz w:val="24"/>
                <w:szCs w:val="24"/>
              </w:rPr>
              <w:t>386</w:t>
            </w:r>
          </w:p>
        </w:tc>
        <w:tc>
          <w:tcPr>
            <w:tcW w:w="626" w:type="pct"/>
            <w:tcBorders>
              <w:top w:val="single" w:sz="4" w:space="0" w:color="auto"/>
              <w:bottom w:val="single" w:sz="4" w:space="0" w:color="auto"/>
            </w:tcBorders>
          </w:tcPr>
          <w:p w14:paraId="5D5520A9" w14:textId="77777777" w:rsidR="00091980" w:rsidRPr="00CA4D98" w:rsidRDefault="00091980" w:rsidP="00B66BBE">
            <w:pPr>
              <w:jc w:val="right"/>
              <w:rPr>
                <w:rFonts w:ascii="Arial" w:hAnsi="Arial" w:cs="Arial"/>
                <w:sz w:val="24"/>
                <w:szCs w:val="24"/>
              </w:rPr>
            </w:pPr>
            <w:r w:rsidRPr="00CA4D98">
              <w:rPr>
                <w:rFonts w:ascii="Arial" w:hAnsi="Arial" w:cs="Arial"/>
                <w:sz w:val="24"/>
                <w:szCs w:val="24"/>
              </w:rPr>
              <w:t>393</w:t>
            </w:r>
          </w:p>
        </w:tc>
        <w:tc>
          <w:tcPr>
            <w:tcW w:w="773" w:type="pct"/>
            <w:tcBorders>
              <w:top w:val="single" w:sz="4" w:space="0" w:color="auto"/>
              <w:bottom w:val="single" w:sz="4" w:space="0" w:color="auto"/>
            </w:tcBorders>
            <w:vAlign w:val="bottom"/>
          </w:tcPr>
          <w:p w14:paraId="25D2DA20" w14:textId="4E0DD5F0" w:rsidR="00091980" w:rsidRPr="004B173A" w:rsidRDefault="00483958" w:rsidP="00B66BBE">
            <w:pPr>
              <w:jc w:val="right"/>
              <w:rPr>
                <w:rFonts w:ascii="Arial" w:hAnsi="Arial" w:cs="Arial"/>
                <w:sz w:val="24"/>
                <w:szCs w:val="24"/>
                <w:highlight w:val="yellow"/>
              </w:rPr>
            </w:pPr>
            <w:r>
              <w:rPr>
                <w:rFonts w:ascii="Arial" w:hAnsi="Arial" w:cs="Arial"/>
                <w:sz w:val="24"/>
                <w:szCs w:val="24"/>
              </w:rPr>
              <w:t>(1.8</w:t>
            </w:r>
            <w:r w:rsidR="00091980" w:rsidRPr="00657F6A">
              <w:rPr>
                <w:rFonts w:ascii="Arial" w:hAnsi="Arial" w:cs="Arial"/>
                <w:sz w:val="24"/>
                <w:szCs w:val="24"/>
              </w:rPr>
              <w:t>)%</w:t>
            </w:r>
          </w:p>
        </w:tc>
      </w:tr>
    </w:tbl>
    <w:p w14:paraId="5A205326" w14:textId="77777777" w:rsidR="003A298D" w:rsidRPr="004B173A" w:rsidRDefault="003A298D" w:rsidP="003A298D">
      <w:pPr>
        <w:rPr>
          <w:rFonts w:ascii="Arial" w:hAnsi="Arial" w:cs="Arial"/>
          <w:sz w:val="24"/>
          <w:szCs w:val="24"/>
          <w:highlight w:val="yellow"/>
        </w:rPr>
      </w:pPr>
    </w:p>
    <w:p w14:paraId="2B503AA9" w14:textId="27338236" w:rsidR="00091980" w:rsidRPr="00091980" w:rsidRDefault="003A298D" w:rsidP="00091980">
      <w:pPr>
        <w:rPr>
          <w:rFonts w:ascii="Arial" w:hAnsi="Arial" w:cs="Arial"/>
          <w:sz w:val="24"/>
          <w:szCs w:val="24"/>
        </w:rPr>
      </w:pPr>
      <w:r w:rsidRPr="00106978">
        <w:rPr>
          <w:rFonts w:ascii="Arial" w:hAnsi="Arial" w:cs="Arial"/>
          <w:b/>
          <w:sz w:val="24"/>
          <w:szCs w:val="24"/>
        </w:rPr>
        <w:t xml:space="preserve">Exceptional items (post tax) </w:t>
      </w:r>
      <w:r w:rsidRPr="00106978">
        <w:rPr>
          <w:rFonts w:ascii="Arial" w:hAnsi="Arial" w:cs="Arial"/>
          <w:sz w:val="24"/>
          <w:szCs w:val="24"/>
        </w:rPr>
        <w:t xml:space="preserve">were a credit </w:t>
      </w:r>
      <w:r w:rsidRPr="0057471E">
        <w:rPr>
          <w:rFonts w:ascii="Arial" w:hAnsi="Arial" w:cs="Arial"/>
          <w:sz w:val="24"/>
          <w:szCs w:val="24"/>
        </w:rPr>
        <w:t>of £</w:t>
      </w:r>
      <w:r w:rsidR="00483958">
        <w:rPr>
          <w:rFonts w:ascii="Arial" w:hAnsi="Arial" w:cs="Arial"/>
          <w:sz w:val="24"/>
          <w:szCs w:val="24"/>
        </w:rPr>
        <w:t>38</w:t>
      </w:r>
      <w:r w:rsidRPr="00106978">
        <w:rPr>
          <w:rFonts w:ascii="Arial" w:hAnsi="Arial" w:cs="Arial"/>
          <w:sz w:val="24"/>
          <w:szCs w:val="24"/>
        </w:rPr>
        <w:t xml:space="preserve"> million (2014/15: £11 million credit) as detailed below:</w:t>
      </w:r>
    </w:p>
    <w:tbl>
      <w:tblPr>
        <w:tblW w:w="5001" w:type="pct"/>
        <w:tblLook w:val="04A0" w:firstRow="1" w:lastRow="0" w:firstColumn="1" w:lastColumn="0" w:noHBand="0" w:noVBand="1"/>
      </w:tblPr>
      <w:tblGrid>
        <w:gridCol w:w="6046"/>
        <w:gridCol w:w="1834"/>
        <w:gridCol w:w="1763"/>
      </w:tblGrid>
      <w:tr w:rsidR="00091980" w14:paraId="125296A8" w14:textId="77777777" w:rsidTr="00B66BBE">
        <w:trPr>
          <w:trHeight w:val="525"/>
        </w:trPr>
        <w:tc>
          <w:tcPr>
            <w:tcW w:w="3135" w:type="pct"/>
            <w:tcBorders>
              <w:top w:val="nil"/>
              <w:left w:val="nil"/>
              <w:bottom w:val="single" w:sz="4" w:space="0" w:color="auto"/>
              <w:right w:val="nil"/>
            </w:tcBorders>
            <w:vAlign w:val="bottom"/>
          </w:tcPr>
          <w:p w14:paraId="3FE73498" w14:textId="77777777" w:rsidR="00091980" w:rsidRDefault="00091980" w:rsidP="00B66BBE">
            <w:pPr>
              <w:jc w:val="left"/>
              <w:rPr>
                <w:rFonts w:ascii="Arial" w:hAnsi="Arial" w:cs="Arial"/>
                <w:bCs/>
                <w:sz w:val="24"/>
                <w:szCs w:val="24"/>
              </w:rPr>
            </w:pPr>
          </w:p>
        </w:tc>
        <w:tc>
          <w:tcPr>
            <w:tcW w:w="951" w:type="pct"/>
            <w:tcBorders>
              <w:top w:val="nil"/>
              <w:left w:val="nil"/>
              <w:bottom w:val="single" w:sz="4" w:space="0" w:color="auto"/>
              <w:right w:val="nil"/>
            </w:tcBorders>
            <w:vAlign w:val="bottom"/>
            <w:hideMark/>
          </w:tcPr>
          <w:p w14:paraId="23D984D6" w14:textId="77777777" w:rsidR="00091980" w:rsidRDefault="00091980" w:rsidP="00B66BBE">
            <w:pPr>
              <w:jc w:val="right"/>
              <w:rPr>
                <w:rFonts w:ascii="Arial" w:hAnsi="Arial" w:cs="Arial"/>
                <w:b/>
                <w:bCs/>
                <w:sz w:val="24"/>
                <w:szCs w:val="24"/>
              </w:rPr>
            </w:pPr>
            <w:r>
              <w:rPr>
                <w:rFonts w:ascii="Arial" w:hAnsi="Arial" w:cs="Arial"/>
                <w:b/>
                <w:bCs/>
                <w:sz w:val="24"/>
                <w:szCs w:val="24"/>
              </w:rPr>
              <w:t>2015/16</w:t>
            </w:r>
          </w:p>
          <w:p w14:paraId="6AC9C282" w14:textId="77777777" w:rsidR="00091980" w:rsidRDefault="00091980" w:rsidP="00B66BBE">
            <w:pPr>
              <w:jc w:val="right"/>
              <w:rPr>
                <w:rFonts w:ascii="Arial" w:hAnsi="Arial" w:cs="Arial"/>
                <w:b/>
                <w:bCs/>
                <w:sz w:val="24"/>
                <w:szCs w:val="24"/>
              </w:rPr>
            </w:pPr>
            <w:r>
              <w:rPr>
                <w:rFonts w:ascii="Arial" w:hAnsi="Arial" w:cs="Arial"/>
                <w:b/>
                <w:bCs/>
                <w:sz w:val="24"/>
                <w:szCs w:val="24"/>
              </w:rPr>
              <w:t>£m</w:t>
            </w:r>
          </w:p>
          <w:p w14:paraId="5937DAFA" w14:textId="77777777" w:rsidR="00091980" w:rsidRDefault="00091980" w:rsidP="00B66BBE">
            <w:pPr>
              <w:jc w:val="right"/>
              <w:rPr>
                <w:rFonts w:ascii="Arial" w:hAnsi="Arial" w:cs="Arial"/>
                <w:b/>
                <w:bCs/>
                <w:sz w:val="24"/>
                <w:szCs w:val="24"/>
              </w:rPr>
            </w:pPr>
            <w:r>
              <w:rPr>
                <w:rFonts w:ascii="Arial" w:hAnsi="Arial" w:cs="Arial"/>
                <w:b/>
                <w:bCs/>
                <w:sz w:val="24"/>
                <w:szCs w:val="24"/>
              </w:rPr>
              <w:t>Gain/(charge)</w:t>
            </w:r>
          </w:p>
        </w:tc>
        <w:tc>
          <w:tcPr>
            <w:tcW w:w="914" w:type="pct"/>
            <w:tcBorders>
              <w:top w:val="nil"/>
              <w:left w:val="nil"/>
              <w:bottom w:val="single" w:sz="4" w:space="0" w:color="auto"/>
              <w:right w:val="nil"/>
            </w:tcBorders>
            <w:vAlign w:val="bottom"/>
            <w:hideMark/>
          </w:tcPr>
          <w:p w14:paraId="4ED89C6F" w14:textId="77777777" w:rsidR="00091980" w:rsidRPr="008E7ABE" w:rsidRDefault="00091980" w:rsidP="00B66BBE">
            <w:pPr>
              <w:jc w:val="right"/>
              <w:rPr>
                <w:rFonts w:ascii="Arial" w:hAnsi="Arial" w:cs="Arial"/>
                <w:bCs/>
                <w:sz w:val="24"/>
                <w:szCs w:val="24"/>
              </w:rPr>
            </w:pPr>
            <w:r w:rsidRPr="008E7ABE">
              <w:rPr>
                <w:rFonts w:ascii="Arial" w:hAnsi="Arial" w:cs="Arial"/>
                <w:bCs/>
                <w:sz w:val="24"/>
                <w:szCs w:val="24"/>
              </w:rPr>
              <w:t>2014/15</w:t>
            </w:r>
          </w:p>
          <w:p w14:paraId="66F63294" w14:textId="77777777" w:rsidR="00091980" w:rsidRPr="008E7ABE" w:rsidRDefault="00091980" w:rsidP="00B66BBE">
            <w:pPr>
              <w:jc w:val="right"/>
              <w:rPr>
                <w:rFonts w:ascii="Arial" w:hAnsi="Arial" w:cs="Arial"/>
                <w:bCs/>
                <w:sz w:val="24"/>
                <w:szCs w:val="24"/>
              </w:rPr>
            </w:pPr>
            <w:r w:rsidRPr="008E7ABE">
              <w:rPr>
                <w:rFonts w:ascii="Arial" w:hAnsi="Arial" w:cs="Arial"/>
                <w:bCs/>
                <w:sz w:val="24"/>
                <w:szCs w:val="24"/>
              </w:rPr>
              <w:t>£m</w:t>
            </w:r>
          </w:p>
          <w:p w14:paraId="0DFF32F5" w14:textId="77777777" w:rsidR="00091980" w:rsidRPr="008E7ABE" w:rsidRDefault="00091980" w:rsidP="00B66BBE">
            <w:pPr>
              <w:jc w:val="right"/>
              <w:rPr>
                <w:rFonts w:ascii="Arial" w:hAnsi="Arial" w:cs="Arial"/>
                <w:bCs/>
                <w:sz w:val="24"/>
                <w:szCs w:val="24"/>
              </w:rPr>
            </w:pPr>
            <w:r w:rsidRPr="008E7ABE">
              <w:rPr>
                <w:rFonts w:ascii="Arial" w:hAnsi="Arial" w:cs="Arial"/>
                <w:bCs/>
                <w:sz w:val="24"/>
                <w:szCs w:val="24"/>
              </w:rPr>
              <w:t>Gain/(charge)</w:t>
            </w:r>
          </w:p>
        </w:tc>
      </w:tr>
      <w:tr w:rsidR="00091980" w14:paraId="649569D1" w14:textId="77777777" w:rsidTr="00B66BBE">
        <w:trPr>
          <w:trHeight w:val="254"/>
        </w:trPr>
        <w:tc>
          <w:tcPr>
            <w:tcW w:w="3135" w:type="pct"/>
            <w:vAlign w:val="bottom"/>
            <w:hideMark/>
          </w:tcPr>
          <w:p w14:paraId="056A609C" w14:textId="2C299D2A" w:rsidR="00091980" w:rsidRPr="009752B0" w:rsidRDefault="00091980" w:rsidP="00B66BBE">
            <w:pPr>
              <w:rPr>
                <w:rFonts w:ascii="Arial" w:hAnsi="Arial" w:cs="Arial"/>
                <w:sz w:val="24"/>
                <w:szCs w:val="24"/>
              </w:rPr>
            </w:pPr>
            <w:r w:rsidRPr="009752B0">
              <w:rPr>
                <w:rFonts w:ascii="Arial" w:hAnsi="Arial" w:cs="Arial"/>
                <w:sz w:val="24"/>
                <w:szCs w:val="24"/>
              </w:rPr>
              <w:t xml:space="preserve">UK &amp; Ireland </w:t>
            </w:r>
            <w:r w:rsidR="00F91E1D">
              <w:rPr>
                <w:rFonts w:ascii="Arial" w:hAnsi="Arial" w:cs="Arial"/>
                <w:sz w:val="24"/>
                <w:szCs w:val="24"/>
              </w:rPr>
              <w:t xml:space="preserve">and </w:t>
            </w:r>
            <w:r w:rsidR="00F54302">
              <w:rPr>
                <w:rFonts w:ascii="Arial" w:hAnsi="Arial" w:cs="Arial"/>
                <w:sz w:val="24"/>
                <w:szCs w:val="24"/>
              </w:rPr>
              <w:t>Europe</w:t>
            </w:r>
            <w:r w:rsidR="00F91E1D">
              <w:rPr>
                <w:rFonts w:ascii="Arial" w:hAnsi="Arial" w:cs="Arial"/>
                <w:sz w:val="24"/>
                <w:szCs w:val="24"/>
              </w:rPr>
              <w:t xml:space="preserve"> </w:t>
            </w:r>
            <w:r w:rsidRPr="009752B0">
              <w:rPr>
                <w:rFonts w:ascii="Arial" w:hAnsi="Arial" w:cs="Arial"/>
                <w:sz w:val="24"/>
                <w:szCs w:val="24"/>
              </w:rPr>
              <w:t>restructuring</w:t>
            </w:r>
          </w:p>
        </w:tc>
        <w:tc>
          <w:tcPr>
            <w:tcW w:w="951" w:type="pct"/>
            <w:vAlign w:val="bottom"/>
            <w:hideMark/>
          </w:tcPr>
          <w:p w14:paraId="5D08EF47" w14:textId="1EF42B0F" w:rsidR="00091980" w:rsidRDefault="00483958" w:rsidP="00B66BBE">
            <w:pPr>
              <w:jc w:val="right"/>
              <w:rPr>
                <w:rFonts w:ascii="Arial" w:hAnsi="Arial" w:cs="Arial"/>
                <w:b/>
                <w:sz w:val="24"/>
                <w:szCs w:val="24"/>
              </w:rPr>
            </w:pPr>
            <w:r>
              <w:rPr>
                <w:rFonts w:ascii="Arial" w:hAnsi="Arial" w:cs="Arial"/>
                <w:b/>
                <w:sz w:val="24"/>
                <w:szCs w:val="24"/>
              </w:rPr>
              <w:t>(1</w:t>
            </w:r>
            <w:r w:rsidR="00F91E1D">
              <w:rPr>
                <w:rFonts w:ascii="Arial" w:hAnsi="Arial" w:cs="Arial"/>
                <w:b/>
                <w:sz w:val="24"/>
                <w:szCs w:val="24"/>
              </w:rPr>
              <w:t>51</w:t>
            </w:r>
            <w:r w:rsidR="00091980">
              <w:rPr>
                <w:rFonts w:ascii="Arial" w:hAnsi="Arial" w:cs="Arial"/>
                <w:b/>
                <w:sz w:val="24"/>
                <w:szCs w:val="24"/>
              </w:rPr>
              <w:t>)</w:t>
            </w:r>
          </w:p>
        </w:tc>
        <w:tc>
          <w:tcPr>
            <w:tcW w:w="914" w:type="pct"/>
            <w:vAlign w:val="bottom"/>
            <w:hideMark/>
          </w:tcPr>
          <w:p w14:paraId="3AD04FE2" w14:textId="77777777" w:rsidR="00091980" w:rsidRPr="008E7ABE" w:rsidRDefault="00091980" w:rsidP="00B66BBE">
            <w:pPr>
              <w:jc w:val="right"/>
              <w:rPr>
                <w:rFonts w:ascii="Arial" w:hAnsi="Arial" w:cs="Arial"/>
                <w:sz w:val="24"/>
                <w:szCs w:val="24"/>
              </w:rPr>
            </w:pPr>
            <w:r>
              <w:rPr>
                <w:rFonts w:ascii="Arial" w:hAnsi="Arial" w:cs="Arial"/>
                <w:sz w:val="24"/>
                <w:szCs w:val="24"/>
              </w:rPr>
              <w:t>(6)</w:t>
            </w:r>
          </w:p>
        </w:tc>
      </w:tr>
      <w:tr w:rsidR="00091980" w14:paraId="3195E706" w14:textId="77777777" w:rsidTr="00B66BBE">
        <w:trPr>
          <w:trHeight w:val="254"/>
        </w:trPr>
        <w:tc>
          <w:tcPr>
            <w:tcW w:w="3135" w:type="pct"/>
            <w:vAlign w:val="bottom"/>
          </w:tcPr>
          <w:p w14:paraId="59090685" w14:textId="77777777" w:rsidR="00091980" w:rsidRPr="009752B0" w:rsidRDefault="00091980" w:rsidP="00B66BBE">
            <w:pPr>
              <w:rPr>
                <w:rFonts w:ascii="Arial" w:hAnsi="Arial" w:cs="Arial"/>
                <w:sz w:val="24"/>
                <w:szCs w:val="24"/>
              </w:rPr>
            </w:pPr>
            <w:r>
              <w:rPr>
                <w:rFonts w:ascii="Arial" w:hAnsi="Arial" w:cs="Arial"/>
                <w:sz w:val="24"/>
                <w:szCs w:val="24"/>
              </w:rPr>
              <w:t>Profit on disposal of B&amp;Q China</w:t>
            </w:r>
          </w:p>
        </w:tc>
        <w:tc>
          <w:tcPr>
            <w:tcW w:w="951" w:type="pct"/>
            <w:vAlign w:val="bottom"/>
          </w:tcPr>
          <w:p w14:paraId="4A4C0777" w14:textId="77777777" w:rsidR="00091980" w:rsidRPr="009752B0" w:rsidDel="00E2659B" w:rsidRDefault="00091980" w:rsidP="00B66BBE">
            <w:pPr>
              <w:jc w:val="right"/>
              <w:rPr>
                <w:rFonts w:ascii="Arial" w:hAnsi="Arial" w:cs="Arial"/>
                <w:b/>
                <w:sz w:val="24"/>
                <w:szCs w:val="24"/>
                <w:highlight w:val="yellow"/>
              </w:rPr>
            </w:pPr>
            <w:r w:rsidRPr="00CA4D98">
              <w:rPr>
                <w:rFonts w:ascii="Arial" w:hAnsi="Arial" w:cs="Arial"/>
                <w:b/>
                <w:sz w:val="24"/>
                <w:szCs w:val="24"/>
              </w:rPr>
              <w:t>143</w:t>
            </w:r>
          </w:p>
        </w:tc>
        <w:tc>
          <w:tcPr>
            <w:tcW w:w="914" w:type="pct"/>
            <w:vAlign w:val="bottom"/>
          </w:tcPr>
          <w:p w14:paraId="61C73054" w14:textId="77777777" w:rsidR="00091980" w:rsidRPr="008E7ABE" w:rsidDel="00E2659B" w:rsidRDefault="00091980" w:rsidP="00B66BBE">
            <w:pPr>
              <w:jc w:val="right"/>
              <w:rPr>
                <w:rFonts w:ascii="Arial" w:hAnsi="Arial" w:cs="Arial"/>
                <w:sz w:val="24"/>
                <w:szCs w:val="24"/>
              </w:rPr>
            </w:pPr>
            <w:r>
              <w:rPr>
                <w:rFonts w:ascii="Arial" w:hAnsi="Arial" w:cs="Arial"/>
                <w:sz w:val="24"/>
                <w:szCs w:val="24"/>
              </w:rPr>
              <w:t>-</w:t>
            </w:r>
          </w:p>
        </w:tc>
      </w:tr>
      <w:tr w:rsidR="00091980" w14:paraId="16296109" w14:textId="77777777" w:rsidTr="00B66BBE">
        <w:trPr>
          <w:trHeight w:val="254"/>
        </w:trPr>
        <w:tc>
          <w:tcPr>
            <w:tcW w:w="3135" w:type="pct"/>
            <w:vAlign w:val="bottom"/>
          </w:tcPr>
          <w:p w14:paraId="1A499FCC" w14:textId="5FE2C3F2" w:rsidR="00091980" w:rsidRPr="009752B0" w:rsidRDefault="00091980" w:rsidP="00B66BBE">
            <w:pPr>
              <w:rPr>
                <w:rFonts w:ascii="Arial" w:hAnsi="Arial" w:cs="Arial"/>
                <w:sz w:val="24"/>
                <w:szCs w:val="24"/>
              </w:rPr>
            </w:pPr>
            <w:r w:rsidRPr="009752B0">
              <w:rPr>
                <w:rFonts w:ascii="Arial" w:hAnsi="Arial" w:cs="Arial"/>
                <w:sz w:val="24"/>
                <w:szCs w:val="24"/>
              </w:rPr>
              <w:t>Disposal of properties</w:t>
            </w:r>
            <w:r w:rsidR="007900C4" w:rsidRPr="00506D26">
              <w:rPr>
                <w:rFonts w:ascii="Arial" w:hAnsi="Arial" w:cs="Arial"/>
                <w:sz w:val="24"/>
                <w:szCs w:val="24"/>
                <w:vertAlign w:val="superscript"/>
              </w:rPr>
              <w:t>(1</w:t>
            </w:r>
            <w:r w:rsidR="007900C4" w:rsidRPr="007C47AE">
              <w:rPr>
                <w:rFonts w:ascii="Arial" w:hAnsi="Arial" w:cs="Arial"/>
                <w:sz w:val="24"/>
                <w:szCs w:val="24"/>
                <w:vertAlign w:val="superscript"/>
              </w:rPr>
              <w:t>)</w:t>
            </w:r>
          </w:p>
        </w:tc>
        <w:tc>
          <w:tcPr>
            <w:tcW w:w="951" w:type="pct"/>
            <w:vAlign w:val="bottom"/>
          </w:tcPr>
          <w:p w14:paraId="158418C6" w14:textId="22CF3F03" w:rsidR="00091980" w:rsidRPr="005623A8" w:rsidRDefault="007900C4" w:rsidP="00B66BBE">
            <w:pPr>
              <w:jc w:val="right"/>
              <w:rPr>
                <w:rFonts w:ascii="Arial" w:hAnsi="Arial" w:cs="Arial"/>
                <w:b/>
                <w:sz w:val="24"/>
                <w:szCs w:val="24"/>
              </w:rPr>
            </w:pPr>
            <w:r>
              <w:rPr>
                <w:rFonts w:ascii="Arial" w:hAnsi="Arial" w:cs="Arial"/>
                <w:b/>
                <w:sz w:val="24"/>
                <w:szCs w:val="24"/>
              </w:rPr>
              <w:t>17</w:t>
            </w:r>
          </w:p>
        </w:tc>
        <w:tc>
          <w:tcPr>
            <w:tcW w:w="914" w:type="pct"/>
            <w:vAlign w:val="bottom"/>
          </w:tcPr>
          <w:p w14:paraId="07B7183C" w14:textId="77777777" w:rsidR="00091980" w:rsidRPr="008E7ABE" w:rsidRDefault="00091980" w:rsidP="00B66BBE">
            <w:pPr>
              <w:jc w:val="right"/>
              <w:rPr>
                <w:rFonts w:ascii="Arial" w:hAnsi="Arial" w:cs="Arial"/>
                <w:sz w:val="24"/>
                <w:szCs w:val="24"/>
              </w:rPr>
            </w:pPr>
            <w:r>
              <w:rPr>
                <w:rFonts w:ascii="Arial" w:hAnsi="Arial" w:cs="Arial"/>
                <w:sz w:val="24"/>
                <w:szCs w:val="24"/>
              </w:rPr>
              <w:t>21</w:t>
            </w:r>
          </w:p>
        </w:tc>
      </w:tr>
      <w:tr w:rsidR="00091980" w14:paraId="6421E041" w14:textId="77777777" w:rsidTr="00B66BBE">
        <w:trPr>
          <w:trHeight w:val="254"/>
        </w:trPr>
        <w:tc>
          <w:tcPr>
            <w:tcW w:w="3135" w:type="pct"/>
            <w:vAlign w:val="bottom"/>
            <w:hideMark/>
          </w:tcPr>
          <w:p w14:paraId="4C7C4254" w14:textId="77777777" w:rsidR="00091980" w:rsidRPr="009752B0" w:rsidRDefault="00091980" w:rsidP="00B66BBE">
            <w:pPr>
              <w:rPr>
                <w:rFonts w:ascii="Arial" w:hAnsi="Arial" w:cs="Arial"/>
                <w:sz w:val="24"/>
                <w:szCs w:val="24"/>
              </w:rPr>
            </w:pPr>
            <w:r>
              <w:rPr>
                <w:rFonts w:ascii="Arial" w:hAnsi="Arial" w:cs="Arial"/>
                <w:sz w:val="24"/>
                <w:szCs w:val="24"/>
              </w:rPr>
              <w:t>Transaction</w:t>
            </w:r>
            <w:r w:rsidRPr="009752B0">
              <w:rPr>
                <w:rFonts w:ascii="Arial" w:hAnsi="Arial" w:cs="Arial"/>
                <w:sz w:val="24"/>
                <w:szCs w:val="24"/>
              </w:rPr>
              <w:t xml:space="preserve"> costs</w:t>
            </w:r>
          </w:p>
        </w:tc>
        <w:tc>
          <w:tcPr>
            <w:tcW w:w="951" w:type="pct"/>
            <w:vAlign w:val="bottom"/>
            <w:hideMark/>
          </w:tcPr>
          <w:p w14:paraId="560962DC" w14:textId="77777777" w:rsidR="00091980" w:rsidRDefault="00091980" w:rsidP="00B66BBE">
            <w:pPr>
              <w:jc w:val="right"/>
              <w:rPr>
                <w:rFonts w:ascii="Arial" w:hAnsi="Arial" w:cs="Arial"/>
                <w:b/>
                <w:sz w:val="24"/>
                <w:szCs w:val="24"/>
              </w:rPr>
            </w:pPr>
            <w:r>
              <w:rPr>
                <w:rFonts w:ascii="Arial" w:hAnsi="Arial" w:cs="Arial"/>
                <w:b/>
                <w:sz w:val="24"/>
                <w:szCs w:val="24"/>
              </w:rPr>
              <w:t>-</w:t>
            </w:r>
          </w:p>
        </w:tc>
        <w:tc>
          <w:tcPr>
            <w:tcW w:w="914" w:type="pct"/>
            <w:vAlign w:val="bottom"/>
            <w:hideMark/>
          </w:tcPr>
          <w:p w14:paraId="412283AA" w14:textId="77777777" w:rsidR="00091980" w:rsidRPr="008E7ABE" w:rsidRDefault="00091980" w:rsidP="00B66BBE">
            <w:pPr>
              <w:jc w:val="right"/>
              <w:rPr>
                <w:rFonts w:ascii="Arial" w:hAnsi="Arial" w:cs="Arial"/>
                <w:sz w:val="24"/>
                <w:szCs w:val="24"/>
              </w:rPr>
            </w:pPr>
            <w:r w:rsidRPr="008E7ABE">
              <w:rPr>
                <w:rFonts w:ascii="Arial" w:hAnsi="Arial" w:cs="Arial"/>
                <w:sz w:val="24"/>
                <w:szCs w:val="24"/>
              </w:rPr>
              <w:t>(5)</w:t>
            </w:r>
          </w:p>
        </w:tc>
      </w:tr>
      <w:tr w:rsidR="00091980" w14:paraId="6A5462B0" w14:textId="77777777" w:rsidTr="00B66BBE">
        <w:trPr>
          <w:trHeight w:val="308"/>
        </w:trPr>
        <w:tc>
          <w:tcPr>
            <w:tcW w:w="3135" w:type="pct"/>
            <w:tcBorders>
              <w:top w:val="single" w:sz="4" w:space="0" w:color="auto"/>
              <w:left w:val="nil"/>
              <w:bottom w:val="nil"/>
              <w:right w:val="nil"/>
            </w:tcBorders>
            <w:vAlign w:val="bottom"/>
            <w:hideMark/>
          </w:tcPr>
          <w:p w14:paraId="02A5131B" w14:textId="77777777" w:rsidR="00091980" w:rsidRDefault="00091980" w:rsidP="00B66BBE">
            <w:pPr>
              <w:jc w:val="left"/>
              <w:rPr>
                <w:rFonts w:ascii="Arial" w:hAnsi="Arial" w:cs="Arial"/>
                <w:b/>
                <w:sz w:val="24"/>
                <w:szCs w:val="24"/>
              </w:rPr>
            </w:pPr>
            <w:r>
              <w:rPr>
                <w:rFonts w:ascii="Arial" w:hAnsi="Arial" w:cs="Arial"/>
                <w:b/>
                <w:sz w:val="24"/>
                <w:szCs w:val="24"/>
              </w:rPr>
              <w:t>Exceptional items before tax</w:t>
            </w:r>
          </w:p>
        </w:tc>
        <w:tc>
          <w:tcPr>
            <w:tcW w:w="951" w:type="pct"/>
            <w:tcBorders>
              <w:top w:val="single" w:sz="4" w:space="0" w:color="auto"/>
              <w:left w:val="nil"/>
              <w:bottom w:val="nil"/>
              <w:right w:val="nil"/>
            </w:tcBorders>
            <w:vAlign w:val="bottom"/>
            <w:hideMark/>
          </w:tcPr>
          <w:p w14:paraId="11DA9F18" w14:textId="27EC5FF3" w:rsidR="00091980" w:rsidRPr="005623A8" w:rsidRDefault="00483958" w:rsidP="00B66BBE">
            <w:pPr>
              <w:jc w:val="right"/>
              <w:rPr>
                <w:rFonts w:ascii="Arial" w:hAnsi="Arial" w:cs="Arial"/>
                <w:b/>
                <w:sz w:val="24"/>
                <w:szCs w:val="24"/>
              </w:rPr>
            </w:pPr>
            <w:r>
              <w:rPr>
                <w:rFonts w:ascii="Arial" w:hAnsi="Arial" w:cs="Arial"/>
                <w:b/>
                <w:sz w:val="24"/>
                <w:szCs w:val="24"/>
              </w:rPr>
              <w:t>9</w:t>
            </w:r>
          </w:p>
        </w:tc>
        <w:tc>
          <w:tcPr>
            <w:tcW w:w="914" w:type="pct"/>
            <w:tcBorders>
              <w:top w:val="single" w:sz="4" w:space="0" w:color="auto"/>
              <w:left w:val="nil"/>
              <w:bottom w:val="nil"/>
              <w:right w:val="nil"/>
            </w:tcBorders>
            <w:vAlign w:val="bottom"/>
            <w:hideMark/>
          </w:tcPr>
          <w:p w14:paraId="0B161C9D" w14:textId="77777777" w:rsidR="00091980" w:rsidRPr="008E7ABE" w:rsidRDefault="00091980" w:rsidP="00B66BBE">
            <w:pPr>
              <w:jc w:val="right"/>
              <w:rPr>
                <w:rFonts w:ascii="Arial" w:hAnsi="Arial" w:cs="Arial"/>
                <w:sz w:val="24"/>
                <w:szCs w:val="24"/>
              </w:rPr>
            </w:pPr>
            <w:r w:rsidRPr="008E7ABE">
              <w:rPr>
                <w:rFonts w:ascii="Arial" w:hAnsi="Arial" w:cs="Arial"/>
                <w:sz w:val="24"/>
                <w:szCs w:val="24"/>
              </w:rPr>
              <w:t>10</w:t>
            </w:r>
          </w:p>
        </w:tc>
      </w:tr>
      <w:tr w:rsidR="00091980" w14:paraId="6C4FCCD3" w14:textId="77777777" w:rsidTr="00B66BBE">
        <w:trPr>
          <w:trHeight w:val="308"/>
        </w:trPr>
        <w:tc>
          <w:tcPr>
            <w:tcW w:w="3135" w:type="pct"/>
            <w:vAlign w:val="bottom"/>
            <w:hideMark/>
          </w:tcPr>
          <w:p w14:paraId="425AE7DC" w14:textId="77777777" w:rsidR="00091980" w:rsidRDefault="00091980" w:rsidP="00B66BBE">
            <w:pPr>
              <w:jc w:val="left"/>
              <w:rPr>
                <w:rFonts w:ascii="Arial" w:hAnsi="Arial" w:cs="Arial"/>
                <w:sz w:val="24"/>
                <w:szCs w:val="24"/>
              </w:rPr>
            </w:pPr>
            <w:r w:rsidRPr="00106978">
              <w:rPr>
                <w:rFonts w:ascii="Arial" w:hAnsi="Arial" w:cs="Arial"/>
                <w:sz w:val="24"/>
                <w:szCs w:val="24"/>
              </w:rPr>
              <w:t>Exceptional tax items</w:t>
            </w:r>
          </w:p>
        </w:tc>
        <w:tc>
          <w:tcPr>
            <w:tcW w:w="951" w:type="pct"/>
            <w:vAlign w:val="bottom"/>
            <w:hideMark/>
          </w:tcPr>
          <w:p w14:paraId="347DA84E" w14:textId="77777777" w:rsidR="00091980" w:rsidRPr="005623A8" w:rsidRDefault="00091980" w:rsidP="00B66BBE">
            <w:pPr>
              <w:jc w:val="right"/>
              <w:rPr>
                <w:rFonts w:ascii="Arial" w:hAnsi="Arial" w:cs="Arial"/>
                <w:b/>
                <w:sz w:val="24"/>
                <w:szCs w:val="24"/>
              </w:rPr>
            </w:pPr>
            <w:r w:rsidRPr="00CA4D98">
              <w:rPr>
                <w:rFonts w:ascii="Arial" w:hAnsi="Arial" w:cs="Arial"/>
                <w:b/>
                <w:sz w:val="24"/>
                <w:szCs w:val="24"/>
              </w:rPr>
              <w:t>29</w:t>
            </w:r>
          </w:p>
        </w:tc>
        <w:tc>
          <w:tcPr>
            <w:tcW w:w="914" w:type="pct"/>
            <w:vAlign w:val="bottom"/>
            <w:hideMark/>
          </w:tcPr>
          <w:p w14:paraId="53AE99D1" w14:textId="77777777" w:rsidR="00091980" w:rsidRPr="008E7ABE" w:rsidRDefault="00091980" w:rsidP="00B66BBE">
            <w:pPr>
              <w:jc w:val="right"/>
              <w:rPr>
                <w:rFonts w:ascii="Arial" w:hAnsi="Arial" w:cs="Arial"/>
                <w:sz w:val="24"/>
                <w:szCs w:val="24"/>
              </w:rPr>
            </w:pPr>
            <w:r w:rsidRPr="008E7ABE">
              <w:rPr>
                <w:rFonts w:ascii="Arial" w:hAnsi="Arial" w:cs="Arial"/>
                <w:sz w:val="24"/>
                <w:szCs w:val="24"/>
              </w:rPr>
              <w:t>1</w:t>
            </w:r>
          </w:p>
        </w:tc>
      </w:tr>
      <w:tr w:rsidR="00091980" w14:paraId="17ED6704" w14:textId="77777777" w:rsidTr="00B66BBE">
        <w:trPr>
          <w:trHeight w:val="308"/>
        </w:trPr>
        <w:tc>
          <w:tcPr>
            <w:tcW w:w="3135" w:type="pct"/>
            <w:tcBorders>
              <w:top w:val="single" w:sz="4" w:space="0" w:color="auto"/>
              <w:left w:val="nil"/>
              <w:bottom w:val="single" w:sz="4" w:space="0" w:color="auto"/>
              <w:right w:val="nil"/>
            </w:tcBorders>
            <w:vAlign w:val="bottom"/>
            <w:hideMark/>
          </w:tcPr>
          <w:p w14:paraId="4C71BC0E" w14:textId="77777777" w:rsidR="00091980" w:rsidRDefault="00091980" w:rsidP="00B66BBE">
            <w:pPr>
              <w:jc w:val="left"/>
              <w:rPr>
                <w:rFonts w:ascii="Arial" w:hAnsi="Arial" w:cs="Arial"/>
                <w:b/>
                <w:sz w:val="24"/>
                <w:szCs w:val="24"/>
              </w:rPr>
            </w:pPr>
            <w:r>
              <w:rPr>
                <w:rFonts w:ascii="Arial" w:hAnsi="Arial" w:cs="Arial"/>
                <w:b/>
                <w:sz w:val="24"/>
                <w:szCs w:val="24"/>
              </w:rPr>
              <w:t>Net exceptional items</w:t>
            </w:r>
          </w:p>
        </w:tc>
        <w:tc>
          <w:tcPr>
            <w:tcW w:w="951" w:type="pct"/>
            <w:tcBorders>
              <w:top w:val="single" w:sz="4" w:space="0" w:color="auto"/>
              <w:left w:val="nil"/>
              <w:bottom w:val="single" w:sz="4" w:space="0" w:color="auto"/>
              <w:right w:val="nil"/>
            </w:tcBorders>
            <w:vAlign w:val="bottom"/>
            <w:hideMark/>
          </w:tcPr>
          <w:p w14:paraId="4248333D" w14:textId="0710A3DA" w:rsidR="00091980" w:rsidRPr="005623A8" w:rsidRDefault="00483958" w:rsidP="00B66BBE">
            <w:pPr>
              <w:jc w:val="right"/>
              <w:rPr>
                <w:rFonts w:ascii="Arial" w:hAnsi="Arial" w:cs="Arial"/>
                <w:b/>
                <w:sz w:val="24"/>
                <w:szCs w:val="24"/>
              </w:rPr>
            </w:pPr>
            <w:r>
              <w:rPr>
                <w:rFonts w:ascii="Arial" w:hAnsi="Arial" w:cs="Arial"/>
                <w:b/>
                <w:sz w:val="24"/>
                <w:szCs w:val="24"/>
              </w:rPr>
              <w:t>38</w:t>
            </w:r>
          </w:p>
        </w:tc>
        <w:tc>
          <w:tcPr>
            <w:tcW w:w="914" w:type="pct"/>
            <w:tcBorders>
              <w:top w:val="single" w:sz="4" w:space="0" w:color="auto"/>
              <w:left w:val="nil"/>
              <w:bottom w:val="single" w:sz="4" w:space="0" w:color="auto"/>
              <w:right w:val="nil"/>
            </w:tcBorders>
            <w:vAlign w:val="bottom"/>
            <w:hideMark/>
          </w:tcPr>
          <w:p w14:paraId="66E26FF1" w14:textId="77777777" w:rsidR="00091980" w:rsidRPr="008E7ABE" w:rsidRDefault="00091980" w:rsidP="00B66BBE">
            <w:pPr>
              <w:jc w:val="right"/>
              <w:rPr>
                <w:rFonts w:ascii="Arial" w:hAnsi="Arial" w:cs="Arial"/>
                <w:sz w:val="24"/>
                <w:szCs w:val="24"/>
              </w:rPr>
            </w:pPr>
            <w:r w:rsidRPr="008E7ABE">
              <w:rPr>
                <w:rFonts w:ascii="Arial" w:hAnsi="Arial" w:cs="Arial"/>
                <w:sz w:val="24"/>
                <w:szCs w:val="24"/>
              </w:rPr>
              <w:t>11</w:t>
            </w:r>
          </w:p>
        </w:tc>
      </w:tr>
    </w:tbl>
    <w:p w14:paraId="03C123F6" w14:textId="5C1DCB8B" w:rsidR="007900C4" w:rsidRPr="007429E1" w:rsidRDefault="00091980" w:rsidP="007900C4">
      <w:pPr>
        <w:jc w:val="left"/>
        <w:rPr>
          <w:rFonts w:ascii="Arial" w:hAnsi="Arial" w:cs="Arial"/>
          <w:sz w:val="24"/>
          <w:szCs w:val="24"/>
        </w:rPr>
      </w:pPr>
      <w:r w:rsidRPr="007900C4">
        <w:rPr>
          <w:rFonts w:ascii="Arial" w:hAnsi="Arial" w:cs="Arial"/>
          <w:b/>
          <w:sz w:val="24"/>
          <w:szCs w:val="24"/>
        </w:rPr>
        <w:t xml:space="preserve"> </w:t>
      </w:r>
      <w:r w:rsidR="007900C4" w:rsidRPr="007900C4">
        <w:rPr>
          <w:rFonts w:ascii="Arial" w:hAnsi="Arial" w:cs="Arial"/>
          <w:sz w:val="24"/>
          <w:szCs w:val="24"/>
          <w:vertAlign w:val="superscript"/>
        </w:rPr>
        <w:t>(</w:t>
      </w:r>
      <w:r w:rsidR="007900C4" w:rsidRPr="000952F8">
        <w:rPr>
          <w:rFonts w:ascii="Arial" w:hAnsi="Arial" w:cs="Arial"/>
          <w:sz w:val="24"/>
          <w:szCs w:val="24"/>
          <w:vertAlign w:val="superscript"/>
        </w:rPr>
        <w:t>1)</w:t>
      </w:r>
      <w:r w:rsidR="007900C4" w:rsidRPr="000952F8">
        <w:rPr>
          <w:rFonts w:ascii="Arial" w:hAnsi="Arial" w:cs="Arial"/>
          <w:sz w:val="24"/>
          <w:szCs w:val="24"/>
        </w:rPr>
        <w:t xml:space="preserve"> </w:t>
      </w:r>
      <w:r w:rsidR="007900C4">
        <w:rPr>
          <w:rFonts w:ascii="Arial" w:hAnsi="Arial" w:cs="Arial"/>
          <w:sz w:val="18"/>
          <w:szCs w:val="24"/>
        </w:rPr>
        <w:t>Disposal of properties includes the disposal of a property company</w:t>
      </w:r>
    </w:p>
    <w:p w14:paraId="5A53C793" w14:textId="4649CD8B" w:rsidR="003A298D" w:rsidRPr="00926779" w:rsidRDefault="003A298D" w:rsidP="00091980">
      <w:pPr>
        <w:rPr>
          <w:rFonts w:ascii="Arial" w:hAnsi="Arial" w:cs="Arial"/>
          <w:b/>
          <w:sz w:val="24"/>
          <w:szCs w:val="24"/>
        </w:rPr>
      </w:pPr>
    </w:p>
    <w:p w14:paraId="70BD80FC" w14:textId="22617C78" w:rsidR="00C3428D" w:rsidRDefault="003A298D" w:rsidP="00C3428D">
      <w:pPr>
        <w:spacing w:after="200"/>
        <w:contextualSpacing/>
        <w:jc w:val="left"/>
        <w:rPr>
          <w:rFonts w:ascii="Arial" w:hAnsi="Arial" w:cs="Arial"/>
          <w:sz w:val="24"/>
          <w:szCs w:val="24"/>
        </w:rPr>
      </w:pPr>
      <w:r w:rsidRPr="00D641A7">
        <w:rPr>
          <w:rFonts w:ascii="Arial" w:hAnsi="Arial" w:cs="Arial"/>
          <w:sz w:val="24"/>
          <w:szCs w:val="24"/>
        </w:rPr>
        <w:t xml:space="preserve">As previously announced, </w:t>
      </w:r>
      <w:r w:rsidR="00E41FCB" w:rsidRPr="00D641A7">
        <w:rPr>
          <w:rFonts w:ascii="Arial" w:hAnsi="Arial" w:cs="Arial"/>
          <w:sz w:val="24"/>
          <w:szCs w:val="24"/>
        </w:rPr>
        <w:t xml:space="preserve">B&amp;Q will close around </w:t>
      </w:r>
      <w:r w:rsidR="00FC0F41" w:rsidRPr="00D641A7">
        <w:rPr>
          <w:rFonts w:ascii="Arial" w:hAnsi="Arial" w:cs="Arial"/>
          <w:sz w:val="24"/>
          <w:szCs w:val="24"/>
        </w:rPr>
        <w:t>1</w:t>
      </w:r>
      <w:r w:rsidRPr="00D641A7">
        <w:rPr>
          <w:rFonts w:ascii="Arial" w:hAnsi="Arial" w:cs="Arial"/>
          <w:sz w:val="24"/>
          <w:szCs w:val="24"/>
        </w:rPr>
        <w:t>5%</w:t>
      </w:r>
      <w:r w:rsidR="00693B42" w:rsidRPr="00D641A7">
        <w:rPr>
          <w:rFonts w:ascii="Arial" w:hAnsi="Arial" w:cs="Arial"/>
          <w:sz w:val="24"/>
          <w:szCs w:val="24"/>
        </w:rPr>
        <w:t xml:space="preserve"> of </w:t>
      </w:r>
      <w:r w:rsidRPr="00D641A7">
        <w:rPr>
          <w:rFonts w:ascii="Arial" w:hAnsi="Arial" w:cs="Arial"/>
          <w:sz w:val="24"/>
          <w:szCs w:val="24"/>
        </w:rPr>
        <w:t>space</w:t>
      </w:r>
      <w:r w:rsidR="00E41FCB" w:rsidRPr="00D641A7">
        <w:rPr>
          <w:rFonts w:ascii="Arial" w:hAnsi="Arial" w:cs="Arial"/>
          <w:sz w:val="24"/>
          <w:szCs w:val="24"/>
        </w:rPr>
        <w:t xml:space="preserve"> </w:t>
      </w:r>
      <w:r w:rsidRPr="00D641A7">
        <w:rPr>
          <w:rFonts w:ascii="Arial" w:hAnsi="Arial" w:cs="Arial"/>
          <w:sz w:val="24"/>
          <w:szCs w:val="24"/>
        </w:rPr>
        <w:t>(c.6</w:t>
      </w:r>
      <w:r w:rsidR="004F4325" w:rsidRPr="00D641A7">
        <w:rPr>
          <w:rFonts w:ascii="Arial" w:hAnsi="Arial" w:cs="Arial"/>
          <w:sz w:val="24"/>
          <w:szCs w:val="24"/>
        </w:rPr>
        <w:t xml:space="preserve">0 stores; 6 right-sizes) </w:t>
      </w:r>
      <w:r w:rsidR="00FC0F41" w:rsidRPr="00D641A7">
        <w:rPr>
          <w:rFonts w:ascii="Arial" w:hAnsi="Arial" w:cs="Arial"/>
          <w:sz w:val="24"/>
          <w:szCs w:val="24"/>
        </w:rPr>
        <w:t>by the end of FY</w:t>
      </w:r>
      <w:r w:rsidR="00E41FCB" w:rsidRPr="00D641A7">
        <w:rPr>
          <w:rFonts w:ascii="Arial" w:hAnsi="Arial" w:cs="Arial"/>
          <w:sz w:val="24"/>
          <w:szCs w:val="24"/>
        </w:rPr>
        <w:t xml:space="preserve"> </w:t>
      </w:r>
      <w:r w:rsidR="00FC0F41" w:rsidRPr="00D641A7">
        <w:rPr>
          <w:rFonts w:ascii="Arial" w:hAnsi="Arial" w:cs="Arial"/>
          <w:sz w:val="24"/>
          <w:szCs w:val="24"/>
        </w:rPr>
        <w:t>2016/17</w:t>
      </w:r>
      <w:r w:rsidR="00D641A7">
        <w:rPr>
          <w:rFonts w:ascii="Arial" w:hAnsi="Arial" w:cs="Arial"/>
          <w:sz w:val="24"/>
          <w:szCs w:val="24"/>
        </w:rPr>
        <w:t>. There will also be a</w:t>
      </w:r>
      <w:r w:rsidR="007F5570" w:rsidRPr="00D641A7">
        <w:rPr>
          <w:rFonts w:ascii="Arial" w:hAnsi="Arial" w:cs="Arial"/>
          <w:sz w:val="24"/>
          <w:szCs w:val="24"/>
        </w:rPr>
        <w:t xml:space="preserve"> </w:t>
      </w:r>
      <w:r w:rsidR="00D641A7">
        <w:rPr>
          <w:rFonts w:ascii="Arial" w:hAnsi="Arial" w:cs="Arial"/>
          <w:sz w:val="24"/>
          <w:szCs w:val="24"/>
        </w:rPr>
        <w:t xml:space="preserve">few closures of </w:t>
      </w:r>
      <w:r w:rsidR="00C3428D" w:rsidRPr="00D641A7">
        <w:rPr>
          <w:rFonts w:ascii="Arial" w:hAnsi="Arial" w:cs="Arial"/>
          <w:sz w:val="24"/>
          <w:szCs w:val="24"/>
        </w:rPr>
        <w:t>loss making stores across Europe. During the period</w:t>
      </w:r>
      <w:r w:rsidR="00C3428D" w:rsidRPr="00926779">
        <w:rPr>
          <w:rFonts w:ascii="Arial" w:hAnsi="Arial" w:cs="Arial"/>
          <w:sz w:val="24"/>
          <w:szCs w:val="24"/>
        </w:rPr>
        <w:t xml:space="preserve"> we announced the decision to close two </w:t>
      </w:r>
      <w:proofErr w:type="spellStart"/>
      <w:r w:rsidR="00C3428D" w:rsidRPr="00926779">
        <w:rPr>
          <w:rFonts w:ascii="Arial" w:hAnsi="Arial" w:cs="Arial"/>
          <w:sz w:val="24"/>
          <w:szCs w:val="24"/>
        </w:rPr>
        <w:t>Castorama</w:t>
      </w:r>
      <w:proofErr w:type="spellEnd"/>
      <w:r w:rsidR="00C3428D" w:rsidRPr="00926779">
        <w:rPr>
          <w:rFonts w:ascii="Arial" w:hAnsi="Arial" w:cs="Arial"/>
          <w:sz w:val="24"/>
          <w:szCs w:val="24"/>
        </w:rPr>
        <w:t xml:space="preserve"> </w:t>
      </w:r>
      <w:r w:rsidR="00C3428D">
        <w:rPr>
          <w:rFonts w:ascii="Arial" w:hAnsi="Arial" w:cs="Arial"/>
          <w:sz w:val="24"/>
          <w:szCs w:val="24"/>
        </w:rPr>
        <w:t xml:space="preserve">France </w:t>
      </w:r>
      <w:r w:rsidR="00C3428D" w:rsidRPr="00926779">
        <w:rPr>
          <w:rFonts w:ascii="Arial" w:hAnsi="Arial" w:cs="Arial"/>
          <w:sz w:val="24"/>
          <w:szCs w:val="24"/>
        </w:rPr>
        <w:t>stores</w:t>
      </w:r>
      <w:r w:rsidR="00C3428D">
        <w:rPr>
          <w:rFonts w:ascii="Arial" w:hAnsi="Arial" w:cs="Arial"/>
          <w:sz w:val="24"/>
          <w:szCs w:val="24"/>
        </w:rPr>
        <w:t>.</w:t>
      </w:r>
    </w:p>
    <w:p w14:paraId="0EDEDD54" w14:textId="77777777" w:rsidR="00C3428D" w:rsidRDefault="00C3428D" w:rsidP="00C3428D">
      <w:pPr>
        <w:spacing w:after="200"/>
        <w:contextualSpacing/>
        <w:jc w:val="left"/>
        <w:rPr>
          <w:rFonts w:ascii="Arial" w:hAnsi="Arial" w:cs="Arial"/>
          <w:sz w:val="24"/>
          <w:szCs w:val="24"/>
        </w:rPr>
      </w:pPr>
    </w:p>
    <w:p w14:paraId="7DC70D66" w14:textId="07578B00" w:rsidR="00C3428D" w:rsidRDefault="00C3428D" w:rsidP="00C3428D">
      <w:pPr>
        <w:spacing w:after="200"/>
        <w:contextualSpacing/>
        <w:jc w:val="left"/>
        <w:rPr>
          <w:rFonts w:ascii="Arial" w:hAnsi="Arial" w:cs="Arial"/>
          <w:sz w:val="24"/>
          <w:szCs w:val="24"/>
        </w:rPr>
      </w:pPr>
      <w:r w:rsidRPr="00926779">
        <w:rPr>
          <w:rFonts w:ascii="Arial" w:hAnsi="Arial" w:cs="Arial"/>
          <w:sz w:val="24"/>
          <w:szCs w:val="24"/>
        </w:rPr>
        <w:t>This is expected to give rise to an exceptional charge of around £350 million relating principally to onerous lease provisions. At H1 2015/16</w:t>
      </w:r>
      <w:r>
        <w:rPr>
          <w:rFonts w:ascii="Arial" w:hAnsi="Arial" w:cs="Arial"/>
          <w:sz w:val="24"/>
          <w:szCs w:val="24"/>
        </w:rPr>
        <w:t xml:space="preserve"> an </w:t>
      </w:r>
      <w:r w:rsidRPr="00926779">
        <w:rPr>
          <w:rFonts w:ascii="Arial" w:hAnsi="Arial" w:cs="Arial"/>
          <w:sz w:val="24"/>
          <w:szCs w:val="24"/>
        </w:rPr>
        <w:t>exceptional charge</w:t>
      </w:r>
      <w:r>
        <w:rPr>
          <w:rFonts w:ascii="Arial" w:hAnsi="Arial" w:cs="Arial"/>
          <w:sz w:val="24"/>
          <w:szCs w:val="24"/>
        </w:rPr>
        <w:t xml:space="preserve"> for £151</w:t>
      </w:r>
      <w:r w:rsidR="00BB74AF">
        <w:rPr>
          <w:rFonts w:ascii="Arial" w:hAnsi="Arial" w:cs="Arial"/>
          <w:sz w:val="24"/>
          <w:szCs w:val="24"/>
        </w:rPr>
        <w:t xml:space="preserve"> </w:t>
      </w:r>
      <w:r>
        <w:rPr>
          <w:rFonts w:ascii="Arial" w:hAnsi="Arial" w:cs="Arial"/>
          <w:sz w:val="24"/>
          <w:szCs w:val="24"/>
        </w:rPr>
        <w:t>m</w:t>
      </w:r>
      <w:r w:rsidR="00BB74AF">
        <w:rPr>
          <w:rFonts w:ascii="Arial" w:hAnsi="Arial" w:cs="Arial"/>
          <w:sz w:val="24"/>
          <w:szCs w:val="24"/>
        </w:rPr>
        <w:t>illion</w:t>
      </w:r>
      <w:r>
        <w:rPr>
          <w:rFonts w:ascii="Arial" w:hAnsi="Arial" w:cs="Arial"/>
          <w:sz w:val="24"/>
          <w:szCs w:val="24"/>
        </w:rPr>
        <w:t xml:space="preserve"> was recorded.</w:t>
      </w:r>
      <w:r w:rsidRPr="00926779">
        <w:rPr>
          <w:rFonts w:ascii="Arial" w:hAnsi="Arial" w:cs="Arial"/>
          <w:sz w:val="24"/>
          <w:szCs w:val="24"/>
        </w:rPr>
        <w:t xml:space="preserve"> </w:t>
      </w:r>
    </w:p>
    <w:p w14:paraId="10858AC2" w14:textId="77777777" w:rsidR="00C3428D" w:rsidRDefault="00C3428D" w:rsidP="00C3428D">
      <w:pPr>
        <w:spacing w:after="200"/>
        <w:contextualSpacing/>
        <w:jc w:val="left"/>
        <w:rPr>
          <w:rFonts w:ascii="Arial" w:hAnsi="Arial" w:cs="Arial"/>
          <w:sz w:val="24"/>
          <w:szCs w:val="24"/>
        </w:rPr>
      </w:pPr>
    </w:p>
    <w:p w14:paraId="0372D9F6" w14:textId="35FC8F8C" w:rsidR="009940A8" w:rsidRDefault="009940A8" w:rsidP="009940A8">
      <w:pPr>
        <w:spacing w:after="200"/>
        <w:contextualSpacing/>
        <w:jc w:val="left"/>
        <w:rPr>
          <w:rFonts w:ascii="Arial" w:hAnsi="Arial" w:cs="Arial"/>
          <w:sz w:val="24"/>
          <w:szCs w:val="24"/>
        </w:rPr>
      </w:pPr>
      <w:r w:rsidRPr="00926779">
        <w:rPr>
          <w:rFonts w:ascii="Arial" w:hAnsi="Arial" w:cs="Arial"/>
          <w:sz w:val="24"/>
          <w:szCs w:val="24"/>
        </w:rPr>
        <w:t xml:space="preserve">Profits were recorded in the period </w:t>
      </w:r>
      <w:r w:rsidR="00E41FCB">
        <w:rPr>
          <w:rFonts w:ascii="Arial" w:hAnsi="Arial" w:cs="Arial"/>
          <w:sz w:val="24"/>
          <w:szCs w:val="24"/>
        </w:rPr>
        <w:t>following the</w:t>
      </w:r>
      <w:r>
        <w:rPr>
          <w:rFonts w:ascii="Arial" w:hAnsi="Arial" w:cs="Arial"/>
          <w:sz w:val="24"/>
          <w:szCs w:val="24"/>
        </w:rPr>
        <w:t xml:space="preserve"> </w:t>
      </w:r>
      <w:r w:rsidRPr="00926779">
        <w:rPr>
          <w:rFonts w:ascii="Arial" w:hAnsi="Arial" w:cs="Arial"/>
          <w:sz w:val="24"/>
          <w:szCs w:val="24"/>
        </w:rPr>
        <w:t xml:space="preserve">disposal of </w:t>
      </w:r>
      <w:r w:rsidR="00031E2E">
        <w:rPr>
          <w:rFonts w:ascii="Arial" w:hAnsi="Arial" w:cs="Arial"/>
          <w:sz w:val="24"/>
          <w:szCs w:val="24"/>
        </w:rPr>
        <w:t>a</w:t>
      </w:r>
      <w:r w:rsidRPr="00926779">
        <w:rPr>
          <w:rFonts w:ascii="Arial" w:hAnsi="Arial" w:cs="Arial"/>
          <w:sz w:val="24"/>
          <w:szCs w:val="24"/>
        </w:rPr>
        <w:t xml:space="preserve"> controlling 70% stake in B&amp;Q China</w:t>
      </w:r>
      <w:r>
        <w:rPr>
          <w:rFonts w:ascii="Arial" w:hAnsi="Arial" w:cs="Arial"/>
          <w:sz w:val="24"/>
          <w:szCs w:val="24"/>
        </w:rPr>
        <w:t>.</w:t>
      </w:r>
      <w:r w:rsidRPr="00926779">
        <w:rPr>
          <w:rFonts w:ascii="Arial" w:hAnsi="Arial" w:cs="Arial"/>
          <w:sz w:val="24"/>
          <w:szCs w:val="24"/>
        </w:rPr>
        <w:t xml:space="preserve"> </w:t>
      </w:r>
      <w:r w:rsidR="00031E2E">
        <w:rPr>
          <w:rFonts w:ascii="Arial" w:hAnsi="Arial" w:cs="Arial"/>
          <w:sz w:val="24"/>
          <w:szCs w:val="24"/>
        </w:rPr>
        <w:t>The</w:t>
      </w:r>
      <w:r w:rsidR="00031E2E" w:rsidRPr="00B743DC">
        <w:rPr>
          <w:rFonts w:ascii="Arial" w:hAnsi="Arial" w:cs="Arial"/>
          <w:sz w:val="24"/>
          <w:szCs w:val="24"/>
        </w:rPr>
        <w:t xml:space="preserve"> </w:t>
      </w:r>
      <w:r w:rsidR="00C8334C">
        <w:rPr>
          <w:rFonts w:ascii="Arial" w:hAnsi="Arial" w:cs="Arial"/>
          <w:sz w:val="24"/>
          <w:szCs w:val="24"/>
        </w:rPr>
        <w:t>disposal</w:t>
      </w:r>
      <w:r w:rsidR="00C8334C" w:rsidRPr="00B743DC">
        <w:rPr>
          <w:rFonts w:ascii="Arial" w:hAnsi="Arial" w:cs="Arial"/>
          <w:sz w:val="24"/>
          <w:szCs w:val="24"/>
        </w:rPr>
        <w:t xml:space="preserve"> </w:t>
      </w:r>
      <w:r w:rsidRPr="00B743DC">
        <w:rPr>
          <w:rFonts w:ascii="Arial" w:hAnsi="Arial" w:cs="Arial"/>
          <w:sz w:val="24"/>
          <w:szCs w:val="24"/>
        </w:rPr>
        <w:t xml:space="preserve">to </w:t>
      </w:r>
      <w:proofErr w:type="spellStart"/>
      <w:r w:rsidRPr="00B743DC">
        <w:rPr>
          <w:rFonts w:ascii="Arial" w:hAnsi="Arial" w:cs="Arial"/>
          <w:sz w:val="24"/>
          <w:szCs w:val="24"/>
        </w:rPr>
        <w:t>Wumei</w:t>
      </w:r>
      <w:proofErr w:type="spellEnd"/>
      <w:r w:rsidRPr="00B743DC">
        <w:rPr>
          <w:rFonts w:ascii="Arial" w:hAnsi="Arial" w:cs="Arial"/>
          <w:sz w:val="24"/>
          <w:szCs w:val="24"/>
        </w:rPr>
        <w:t xml:space="preserve"> Holdings </w:t>
      </w:r>
      <w:proofErr w:type="spellStart"/>
      <w:r w:rsidRPr="00B743DC">
        <w:rPr>
          <w:rFonts w:ascii="Arial" w:hAnsi="Arial" w:cs="Arial"/>
          <w:sz w:val="24"/>
          <w:szCs w:val="24"/>
        </w:rPr>
        <w:t>Inc</w:t>
      </w:r>
      <w:proofErr w:type="spellEnd"/>
      <w:r w:rsidRPr="00B743DC">
        <w:rPr>
          <w:rFonts w:ascii="Arial" w:hAnsi="Arial" w:cs="Arial"/>
          <w:sz w:val="24"/>
          <w:szCs w:val="24"/>
        </w:rPr>
        <w:t xml:space="preserve"> </w:t>
      </w:r>
      <w:r w:rsidR="00C124A4">
        <w:rPr>
          <w:rFonts w:ascii="Arial" w:hAnsi="Arial" w:cs="Arial"/>
          <w:sz w:val="24"/>
          <w:szCs w:val="24"/>
        </w:rPr>
        <w:t xml:space="preserve">completed </w:t>
      </w:r>
      <w:r w:rsidRPr="00B743DC">
        <w:rPr>
          <w:rFonts w:ascii="Arial" w:hAnsi="Arial" w:cs="Arial"/>
          <w:sz w:val="24"/>
          <w:szCs w:val="24"/>
        </w:rPr>
        <w:t xml:space="preserve">on 30 April 2015 for a </w:t>
      </w:r>
      <w:r w:rsidR="00C8334C">
        <w:rPr>
          <w:rFonts w:ascii="Arial" w:hAnsi="Arial" w:cs="Arial"/>
          <w:sz w:val="24"/>
          <w:szCs w:val="24"/>
        </w:rPr>
        <w:t>gross</w:t>
      </w:r>
      <w:r w:rsidR="00C8334C" w:rsidRPr="00B743DC">
        <w:rPr>
          <w:rFonts w:ascii="Arial" w:hAnsi="Arial" w:cs="Arial"/>
          <w:sz w:val="24"/>
          <w:szCs w:val="24"/>
        </w:rPr>
        <w:t xml:space="preserve"> </w:t>
      </w:r>
      <w:r w:rsidRPr="00B743DC">
        <w:rPr>
          <w:rFonts w:ascii="Arial" w:hAnsi="Arial" w:cs="Arial"/>
          <w:sz w:val="24"/>
          <w:szCs w:val="24"/>
        </w:rPr>
        <w:t>cash consideration of £140</w:t>
      </w:r>
      <w:r>
        <w:rPr>
          <w:rFonts w:ascii="Arial" w:hAnsi="Arial" w:cs="Arial"/>
          <w:sz w:val="24"/>
          <w:szCs w:val="24"/>
        </w:rPr>
        <w:t xml:space="preserve"> </w:t>
      </w:r>
      <w:r w:rsidRPr="00B743DC">
        <w:rPr>
          <w:rFonts w:ascii="Arial" w:hAnsi="Arial" w:cs="Arial"/>
          <w:sz w:val="24"/>
          <w:szCs w:val="24"/>
        </w:rPr>
        <w:t>m</w:t>
      </w:r>
      <w:r>
        <w:rPr>
          <w:rFonts w:ascii="Arial" w:hAnsi="Arial" w:cs="Arial"/>
          <w:sz w:val="24"/>
          <w:szCs w:val="24"/>
        </w:rPr>
        <w:t>illion</w:t>
      </w:r>
      <w:r w:rsidR="00BB74AF">
        <w:rPr>
          <w:rFonts w:ascii="Arial" w:hAnsi="Arial" w:cs="Arial"/>
          <w:sz w:val="24"/>
          <w:szCs w:val="24"/>
        </w:rPr>
        <w:t xml:space="preserve"> resulting in a </w:t>
      </w:r>
      <w:r w:rsidRPr="00B743DC">
        <w:rPr>
          <w:rFonts w:ascii="Arial" w:hAnsi="Arial" w:cs="Arial"/>
          <w:sz w:val="24"/>
          <w:szCs w:val="24"/>
        </w:rPr>
        <w:t xml:space="preserve">gain </w:t>
      </w:r>
      <w:r w:rsidR="00BB74AF">
        <w:rPr>
          <w:rFonts w:ascii="Arial" w:hAnsi="Arial" w:cs="Arial"/>
          <w:sz w:val="24"/>
          <w:szCs w:val="24"/>
        </w:rPr>
        <w:t>of</w:t>
      </w:r>
      <w:r w:rsidRPr="00B743DC">
        <w:rPr>
          <w:rFonts w:ascii="Arial" w:hAnsi="Arial" w:cs="Arial"/>
          <w:sz w:val="24"/>
          <w:szCs w:val="24"/>
        </w:rPr>
        <w:t xml:space="preserve"> £143 million. </w:t>
      </w:r>
    </w:p>
    <w:p w14:paraId="61B9CFBC" w14:textId="77777777" w:rsidR="00F52E92" w:rsidRPr="00B743DC" w:rsidRDefault="00F52E92" w:rsidP="00B743DC">
      <w:pPr>
        <w:spacing w:after="200"/>
        <w:contextualSpacing/>
        <w:jc w:val="left"/>
        <w:rPr>
          <w:rFonts w:ascii="Arial" w:hAnsi="Arial" w:cs="Arial"/>
          <w:sz w:val="24"/>
          <w:szCs w:val="24"/>
        </w:rPr>
      </w:pPr>
    </w:p>
    <w:p w14:paraId="70C23306" w14:textId="77777777" w:rsidR="003A298D" w:rsidRPr="00D160A1" w:rsidRDefault="003A298D" w:rsidP="003A298D">
      <w:pPr>
        <w:jc w:val="left"/>
        <w:rPr>
          <w:rFonts w:ascii="Arial" w:hAnsi="Arial" w:cs="Arial"/>
          <w:b/>
          <w:bCs/>
          <w:color w:val="FF0000"/>
          <w:sz w:val="24"/>
          <w:szCs w:val="24"/>
        </w:rPr>
      </w:pPr>
      <w:r w:rsidRPr="00D160A1">
        <w:rPr>
          <w:rFonts w:ascii="Arial" w:hAnsi="Arial" w:cs="Arial"/>
          <w:b/>
          <w:bCs/>
          <w:sz w:val="24"/>
          <w:szCs w:val="24"/>
        </w:rPr>
        <w:t>Earnings per share</w:t>
      </w:r>
    </w:p>
    <w:p w14:paraId="652C6058" w14:textId="77777777" w:rsidR="003A298D" w:rsidRPr="004B173A" w:rsidRDefault="003A298D" w:rsidP="003A298D">
      <w:pPr>
        <w:jc w:val="left"/>
        <w:rPr>
          <w:rFonts w:ascii="Arial" w:hAnsi="Arial" w:cs="Arial"/>
          <w:b/>
          <w:bCs/>
          <w:color w:val="FF0000"/>
          <w:sz w:val="24"/>
          <w:szCs w:val="24"/>
          <w:highlight w:val="yellow"/>
        </w:rPr>
      </w:pPr>
    </w:p>
    <w:p w14:paraId="7278F0D9" w14:textId="10F0D79F" w:rsidR="003A298D" w:rsidRDefault="003A298D" w:rsidP="003A298D">
      <w:pPr>
        <w:jc w:val="left"/>
        <w:rPr>
          <w:rFonts w:ascii="Arial" w:hAnsi="Arial" w:cs="Arial"/>
          <w:sz w:val="24"/>
          <w:szCs w:val="24"/>
        </w:rPr>
      </w:pPr>
      <w:r w:rsidRPr="00D160A1">
        <w:rPr>
          <w:rFonts w:ascii="Arial" w:hAnsi="Arial" w:cs="Arial"/>
          <w:b/>
          <w:sz w:val="24"/>
          <w:szCs w:val="24"/>
        </w:rPr>
        <w:t>Adjusted basic earnings per share</w:t>
      </w:r>
      <w:r w:rsidRPr="00D160A1">
        <w:rPr>
          <w:rFonts w:ascii="Arial" w:hAnsi="Arial" w:cs="Arial" w:hint="eastAsia"/>
          <w:sz w:val="24"/>
          <w:szCs w:val="24"/>
        </w:rPr>
        <w:t xml:space="preserve"> </w:t>
      </w:r>
      <w:r w:rsidR="003C3EAC">
        <w:rPr>
          <w:rFonts w:ascii="Arial" w:hAnsi="Arial" w:cs="Arial"/>
          <w:sz w:val="24"/>
          <w:szCs w:val="24"/>
        </w:rPr>
        <w:t xml:space="preserve">was </w:t>
      </w:r>
      <w:r w:rsidR="002A2133">
        <w:rPr>
          <w:rFonts w:ascii="Arial" w:hAnsi="Arial" w:cs="Arial"/>
          <w:sz w:val="24"/>
          <w:szCs w:val="24"/>
        </w:rPr>
        <w:t>flat</w:t>
      </w:r>
      <w:r>
        <w:rPr>
          <w:rFonts w:ascii="Arial" w:hAnsi="Arial" w:cs="Arial"/>
          <w:sz w:val="24"/>
          <w:szCs w:val="24"/>
        </w:rPr>
        <w:t xml:space="preserve"> </w:t>
      </w:r>
      <w:r w:rsidR="008536C9">
        <w:rPr>
          <w:rFonts w:ascii="Arial" w:hAnsi="Arial" w:cs="Arial"/>
          <w:sz w:val="24"/>
          <w:szCs w:val="24"/>
        </w:rPr>
        <w:t xml:space="preserve">at </w:t>
      </w:r>
      <w:r w:rsidR="002A2133" w:rsidRPr="00382193">
        <w:rPr>
          <w:rFonts w:ascii="Arial" w:hAnsi="Arial" w:cs="Arial"/>
          <w:sz w:val="24"/>
          <w:szCs w:val="24"/>
        </w:rPr>
        <w:t>12.3</w:t>
      </w:r>
      <w:r w:rsidRPr="00382193">
        <w:rPr>
          <w:rFonts w:ascii="Arial" w:hAnsi="Arial" w:cs="Arial"/>
          <w:sz w:val="24"/>
          <w:szCs w:val="24"/>
        </w:rPr>
        <w:t>p (2014/15</w:t>
      </w:r>
      <w:r w:rsidRPr="00382193">
        <w:rPr>
          <w:rFonts w:ascii="Arial" w:hAnsi="Arial" w:cs="Arial" w:hint="eastAsia"/>
          <w:sz w:val="24"/>
          <w:szCs w:val="24"/>
        </w:rPr>
        <w:t xml:space="preserve">: </w:t>
      </w:r>
      <w:r w:rsidR="002A2133" w:rsidRPr="00382193">
        <w:rPr>
          <w:rFonts w:ascii="Arial" w:hAnsi="Arial" w:cs="Arial"/>
          <w:sz w:val="24"/>
          <w:szCs w:val="24"/>
        </w:rPr>
        <w:t>12</w:t>
      </w:r>
      <w:r w:rsidRPr="00382193">
        <w:rPr>
          <w:rFonts w:ascii="Arial" w:hAnsi="Arial" w:cs="Arial"/>
          <w:sz w:val="24"/>
          <w:szCs w:val="24"/>
        </w:rPr>
        <w:t>.3</w:t>
      </w:r>
      <w:r w:rsidRPr="00382193">
        <w:rPr>
          <w:rFonts w:ascii="Arial" w:hAnsi="Arial" w:cs="Arial" w:hint="eastAsia"/>
          <w:sz w:val="24"/>
          <w:szCs w:val="24"/>
        </w:rPr>
        <w:t>p</w:t>
      </w:r>
      <w:r w:rsidRPr="00D160A1">
        <w:rPr>
          <w:rFonts w:ascii="Arial" w:hAnsi="Arial" w:cs="Arial" w:hint="eastAsia"/>
          <w:sz w:val="24"/>
          <w:szCs w:val="24"/>
        </w:rPr>
        <w:t>)</w:t>
      </w:r>
      <w:r w:rsidR="008B70FB">
        <w:rPr>
          <w:rFonts w:ascii="Arial" w:hAnsi="Arial" w:cs="Arial"/>
          <w:sz w:val="24"/>
          <w:szCs w:val="24"/>
        </w:rPr>
        <w:t xml:space="preserve">, which </w:t>
      </w:r>
      <w:r w:rsidRPr="00D160A1">
        <w:rPr>
          <w:rFonts w:ascii="Arial" w:hAnsi="Arial" w:cs="Arial"/>
          <w:sz w:val="24"/>
          <w:szCs w:val="24"/>
        </w:rPr>
        <w:t>exclude</w:t>
      </w:r>
      <w:r w:rsidR="008B70FB">
        <w:rPr>
          <w:rFonts w:ascii="Arial" w:hAnsi="Arial" w:cs="Arial"/>
          <w:sz w:val="24"/>
          <w:szCs w:val="24"/>
        </w:rPr>
        <w:t>s</w:t>
      </w:r>
      <w:r w:rsidRPr="00D160A1">
        <w:rPr>
          <w:rFonts w:ascii="Arial" w:hAnsi="Arial" w:cs="Arial" w:hint="eastAsia"/>
          <w:sz w:val="24"/>
          <w:szCs w:val="24"/>
        </w:rPr>
        <w:t xml:space="preserve"> the impact of</w:t>
      </w:r>
      <w:r w:rsidR="00BB74AF">
        <w:rPr>
          <w:rFonts w:ascii="Arial" w:hAnsi="Arial" w:cs="Arial"/>
          <w:sz w:val="24"/>
          <w:szCs w:val="24"/>
        </w:rPr>
        <w:t xml:space="preserve"> B&amp;Q China operating losses,</w:t>
      </w:r>
      <w:r w:rsidRPr="00D160A1">
        <w:rPr>
          <w:rFonts w:ascii="Arial" w:hAnsi="Arial" w:cs="Arial" w:hint="eastAsia"/>
          <w:sz w:val="24"/>
          <w:szCs w:val="24"/>
        </w:rPr>
        <w:t xml:space="preserve"> exceptional items, financing fair value </w:t>
      </w:r>
      <w:proofErr w:type="spellStart"/>
      <w:r w:rsidRPr="00D160A1">
        <w:rPr>
          <w:rFonts w:ascii="Arial" w:hAnsi="Arial" w:cs="Arial" w:hint="eastAsia"/>
          <w:sz w:val="24"/>
          <w:szCs w:val="24"/>
        </w:rPr>
        <w:t>remeasurements</w:t>
      </w:r>
      <w:proofErr w:type="spellEnd"/>
      <w:r w:rsidRPr="00D160A1">
        <w:rPr>
          <w:rFonts w:ascii="Arial" w:hAnsi="Arial" w:cs="Arial" w:hint="eastAsia"/>
          <w:sz w:val="24"/>
          <w:szCs w:val="24"/>
        </w:rPr>
        <w:t xml:space="preserve"> and the effect of prior year tax </w:t>
      </w:r>
      <w:r w:rsidRPr="00D160A1">
        <w:rPr>
          <w:rFonts w:ascii="Arial" w:hAnsi="Arial" w:cs="Arial"/>
          <w:sz w:val="24"/>
          <w:szCs w:val="24"/>
        </w:rPr>
        <w:t>items. Including these items</w:t>
      </w:r>
      <w:r w:rsidRPr="00D160A1">
        <w:rPr>
          <w:rFonts w:ascii="Arial" w:hAnsi="Arial" w:cs="Arial" w:hint="eastAsia"/>
          <w:sz w:val="24"/>
          <w:szCs w:val="24"/>
        </w:rPr>
        <w:t xml:space="preserve"> </w:t>
      </w:r>
      <w:r w:rsidRPr="00D160A1">
        <w:rPr>
          <w:rFonts w:ascii="Arial" w:hAnsi="Arial" w:cs="Arial"/>
          <w:b/>
          <w:sz w:val="24"/>
          <w:szCs w:val="24"/>
        </w:rPr>
        <w:t xml:space="preserve">basic earnings per </w:t>
      </w:r>
      <w:r w:rsidRPr="00382193">
        <w:rPr>
          <w:rFonts w:ascii="Arial" w:hAnsi="Arial" w:cs="Arial"/>
          <w:b/>
          <w:sz w:val="24"/>
          <w:szCs w:val="24"/>
        </w:rPr>
        <w:t>share</w:t>
      </w:r>
      <w:r w:rsidRPr="00382193">
        <w:rPr>
          <w:rFonts w:ascii="Arial" w:hAnsi="Arial" w:cs="Arial" w:hint="eastAsia"/>
          <w:sz w:val="24"/>
          <w:szCs w:val="24"/>
        </w:rPr>
        <w:t xml:space="preserve"> </w:t>
      </w:r>
      <w:r w:rsidR="005F784F" w:rsidRPr="00382193">
        <w:rPr>
          <w:rFonts w:ascii="Arial" w:hAnsi="Arial" w:cs="Arial"/>
          <w:sz w:val="24"/>
          <w:szCs w:val="24"/>
        </w:rPr>
        <w:t>in</w:t>
      </w:r>
      <w:r w:rsidRPr="00382193">
        <w:rPr>
          <w:rFonts w:ascii="Arial" w:hAnsi="Arial" w:cs="Arial"/>
          <w:sz w:val="24"/>
          <w:szCs w:val="24"/>
        </w:rPr>
        <w:t xml:space="preserve">creased by </w:t>
      </w:r>
      <w:r w:rsidR="005F784F" w:rsidRPr="00382193">
        <w:rPr>
          <w:rFonts w:ascii="Arial" w:hAnsi="Arial" w:cs="Arial"/>
          <w:sz w:val="24"/>
          <w:szCs w:val="24"/>
        </w:rPr>
        <w:t>10.6</w:t>
      </w:r>
      <w:r w:rsidRPr="00382193">
        <w:rPr>
          <w:rFonts w:ascii="Arial" w:hAnsi="Arial" w:cs="Arial"/>
          <w:sz w:val="24"/>
          <w:szCs w:val="24"/>
        </w:rPr>
        <w:t xml:space="preserve">% to </w:t>
      </w:r>
      <w:r w:rsidR="005F784F" w:rsidRPr="00382193">
        <w:rPr>
          <w:rFonts w:ascii="Arial" w:hAnsi="Arial" w:cs="Arial"/>
          <w:sz w:val="24"/>
          <w:szCs w:val="24"/>
        </w:rPr>
        <w:t>13.6</w:t>
      </w:r>
      <w:r w:rsidRPr="00382193">
        <w:rPr>
          <w:rFonts w:ascii="Arial" w:hAnsi="Arial" w:cs="Arial"/>
          <w:sz w:val="24"/>
          <w:szCs w:val="24"/>
        </w:rPr>
        <w:t>p (2014/15</w:t>
      </w:r>
      <w:r w:rsidRPr="00382193">
        <w:rPr>
          <w:rFonts w:ascii="Arial" w:hAnsi="Arial" w:cs="Arial" w:hint="eastAsia"/>
          <w:sz w:val="24"/>
          <w:szCs w:val="24"/>
        </w:rPr>
        <w:t xml:space="preserve">: </w:t>
      </w:r>
      <w:r w:rsidR="005F784F" w:rsidRPr="00382193">
        <w:rPr>
          <w:rFonts w:ascii="Arial" w:hAnsi="Arial" w:cs="Arial"/>
          <w:sz w:val="24"/>
          <w:szCs w:val="24"/>
        </w:rPr>
        <w:t>12.3</w:t>
      </w:r>
      <w:r w:rsidRPr="00382193">
        <w:rPr>
          <w:rFonts w:ascii="Arial" w:hAnsi="Arial" w:cs="Arial" w:hint="eastAsia"/>
          <w:sz w:val="24"/>
          <w:szCs w:val="24"/>
        </w:rPr>
        <w:t xml:space="preserve">p) as </w:t>
      </w:r>
      <w:r w:rsidRPr="00382193">
        <w:rPr>
          <w:rFonts w:ascii="Arial" w:hAnsi="Arial" w:cs="Arial"/>
          <w:sz w:val="24"/>
          <w:szCs w:val="24"/>
        </w:rPr>
        <w:t>set out below</w:t>
      </w:r>
      <w:r w:rsidRPr="00D160A1">
        <w:rPr>
          <w:rFonts w:ascii="Arial" w:hAnsi="Arial" w:cs="Arial"/>
          <w:sz w:val="24"/>
          <w:szCs w:val="24"/>
        </w:rPr>
        <w:t>:</w:t>
      </w:r>
    </w:p>
    <w:p w14:paraId="0B9052F2" w14:textId="77777777" w:rsidR="000A14C5" w:rsidRDefault="000A14C5" w:rsidP="003A298D">
      <w:pPr>
        <w:jc w:val="left"/>
        <w:rPr>
          <w:rFonts w:ascii="Arial" w:hAnsi="Arial" w:cs="Arial"/>
          <w:sz w:val="24"/>
          <w:szCs w:val="24"/>
        </w:rPr>
      </w:pPr>
    </w:p>
    <w:p w14:paraId="3ACAB314" w14:textId="77777777" w:rsidR="000A14C5" w:rsidRDefault="000A14C5" w:rsidP="003A298D">
      <w:pPr>
        <w:jc w:val="left"/>
        <w:rPr>
          <w:rFonts w:ascii="Arial" w:hAnsi="Arial" w:cs="Arial"/>
          <w:sz w:val="24"/>
          <w:szCs w:val="24"/>
        </w:rPr>
      </w:pPr>
    </w:p>
    <w:p w14:paraId="0D44E3B4" w14:textId="77777777" w:rsidR="000A14C5" w:rsidRDefault="000A14C5" w:rsidP="003A298D">
      <w:pPr>
        <w:jc w:val="left"/>
        <w:rPr>
          <w:rFonts w:ascii="Arial" w:hAnsi="Arial" w:cs="Arial"/>
          <w:sz w:val="24"/>
          <w:szCs w:val="24"/>
        </w:rPr>
      </w:pPr>
    </w:p>
    <w:p w14:paraId="089474FE" w14:textId="77777777" w:rsidR="00091980" w:rsidRDefault="00091980" w:rsidP="003A298D">
      <w:pPr>
        <w:jc w:val="left"/>
        <w:rPr>
          <w:rFonts w:ascii="Arial" w:hAnsi="Arial" w:cs="Arial"/>
          <w:sz w:val="24"/>
          <w:szCs w:val="24"/>
        </w:rPr>
      </w:pPr>
    </w:p>
    <w:tbl>
      <w:tblPr>
        <w:tblW w:w="5000" w:type="pct"/>
        <w:tblLook w:val="01E0" w:firstRow="1" w:lastRow="1" w:firstColumn="1" w:lastColumn="1" w:noHBand="0" w:noVBand="0"/>
      </w:tblPr>
      <w:tblGrid>
        <w:gridCol w:w="4420"/>
        <w:gridCol w:w="1362"/>
        <w:gridCol w:w="1361"/>
        <w:gridCol w:w="1249"/>
        <w:gridCol w:w="1249"/>
      </w:tblGrid>
      <w:tr w:rsidR="00091980" w:rsidRPr="002434A0" w14:paraId="3688EDAA" w14:textId="77777777" w:rsidTr="00B66BBE">
        <w:tc>
          <w:tcPr>
            <w:tcW w:w="2292" w:type="pct"/>
            <w:tcBorders>
              <w:top w:val="nil"/>
              <w:left w:val="nil"/>
              <w:bottom w:val="single" w:sz="4" w:space="0" w:color="auto"/>
              <w:right w:val="nil"/>
            </w:tcBorders>
          </w:tcPr>
          <w:p w14:paraId="11DD13DE" w14:textId="77777777" w:rsidR="00091980" w:rsidRDefault="00091980" w:rsidP="00B66BBE">
            <w:pPr>
              <w:rPr>
                <w:rFonts w:ascii="Arial" w:hAnsi="Arial" w:cs="Arial"/>
                <w:sz w:val="24"/>
                <w:szCs w:val="24"/>
              </w:rPr>
            </w:pPr>
          </w:p>
        </w:tc>
        <w:tc>
          <w:tcPr>
            <w:tcW w:w="706" w:type="pct"/>
            <w:tcBorders>
              <w:top w:val="nil"/>
              <w:left w:val="nil"/>
              <w:bottom w:val="single" w:sz="4" w:space="0" w:color="auto"/>
              <w:right w:val="nil"/>
            </w:tcBorders>
          </w:tcPr>
          <w:p w14:paraId="694FDD2D" w14:textId="77777777" w:rsidR="00091980" w:rsidRDefault="00091980" w:rsidP="00B66BBE">
            <w:pPr>
              <w:jc w:val="right"/>
              <w:rPr>
                <w:rFonts w:ascii="Arial" w:hAnsi="Arial" w:cs="Arial"/>
                <w:b/>
                <w:sz w:val="24"/>
                <w:szCs w:val="24"/>
              </w:rPr>
            </w:pPr>
          </w:p>
          <w:p w14:paraId="37E4E3A9" w14:textId="77777777" w:rsidR="00091980" w:rsidRPr="002434A0" w:rsidRDefault="00091980" w:rsidP="00B66BBE">
            <w:pPr>
              <w:jc w:val="right"/>
              <w:rPr>
                <w:rFonts w:ascii="Arial" w:hAnsi="Arial" w:cs="Arial"/>
                <w:b/>
                <w:sz w:val="24"/>
                <w:szCs w:val="24"/>
              </w:rPr>
            </w:pPr>
            <w:r w:rsidRPr="002434A0">
              <w:rPr>
                <w:rFonts w:ascii="Arial" w:hAnsi="Arial" w:cs="Arial"/>
                <w:b/>
                <w:sz w:val="24"/>
                <w:szCs w:val="24"/>
              </w:rPr>
              <w:t>Earnings</w:t>
            </w:r>
          </w:p>
          <w:p w14:paraId="62FE9BD7" w14:textId="77777777" w:rsidR="00091980" w:rsidRPr="00D461B1" w:rsidRDefault="00091980" w:rsidP="00B66BBE">
            <w:pPr>
              <w:jc w:val="right"/>
              <w:rPr>
                <w:rFonts w:ascii="Arial" w:hAnsi="Arial" w:cs="Arial"/>
                <w:b/>
                <w:sz w:val="24"/>
                <w:szCs w:val="24"/>
                <w:highlight w:val="yellow"/>
              </w:rPr>
            </w:pPr>
            <w:r w:rsidRPr="002434A0">
              <w:rPr>
                <w:rFonts w:ascii="Arial" w:hAnsi="Arial" w:cs="Arial"/>
                <w:b/>
                <w:sz w:val="24"/>
                <w:szCs w:val="24"/>
              </w:rPr>
              <w:t>£m</w:t>
            </w:r>
          </w:p>
        </w:tc>
        <w:tc>
          <w:tcPr>
            <w:tcW w:w="706" w:type="pct"/>
            <w:tcBorders>
              <w:top w:val="nil"/>
              <w:left w:val="nil"/>
              <w:bottom w:val="single" w:sz="4" w:space="0" w:color="auto"/>
              <w:right w:val="nil"/>
            </w:tcBorders>
            <w:hideMark/>
          </w:tcPr>
          <w:p w14:paraId="5CAD71F4" w14:textId="77777777" w:rsidR="00091980" w:rsidRPr="002434A0" w:rsidRDefault="00091980" w:rsidP="00B66BBE">
            <w:pPr>
              <w:jc w:val="right"/>
              <w:rPr>
                <w:rFonts w:ascii="Arial" w:hAnsi="Arial" w:cs="Arial"/>
                <w:b/>
                <w:sz w:val="24"/>
                <w:szCs w:val="24"/>
              </w:rPr>
            </w:pPr>
            <w:r w:rsidRPr="002434A0">
              <w:rPr>
                <w:rFonts w:ascii="Arial" w:hAnsi="Arial" w:cs="Arial"/>
                <w:b/>
                <w:sz w:val="24"/>
                <w:szCs w:val="24"/>
              </w:rPr>
              <w:t>2015/16</w:t>
            </w:r>
          </w:p>
          <w:p w14:paraId="04F9783C" w14:textId="77777777" w:rsidR="00091980" w:rsidRPr="002434A0" w:rsidRDefault="00091980" w:rsidP="00B66BBE">
            <w:pPr>
              <w:jc w:val="right"/>
              <w:rPr>
                <w:rFonts w:ascii="Arial" w:hAnsi="Arial" w:cs="Arial"/>
                <w:b/>
                <w:sz w:val="24"/>
                <w:szCs w:val="24"/>
              </w:rPr>
            </w:pPr>
            <w:r w:rsidRPr="002434A0">
              <w:rPr>
                <w:rFonts w:ascii="Arial" w:hAnsi="Arial" w:cs="Arial"/>
                <w:b/>
                <w:sz w:val="24"/>
                <w:szCs w:val="24"/>
              </w:rPr>
              <w:t>EPS</w:t>
            </w:r>
          </w:p>
          <w:p w14:paraId="71863A0F" w14:textId="77777777" w:rsidR="00091980" w:rsidRPr="00D461B1" w:rsidRDefault="00091980" w:rsidP="00B66BBE">
            <w:pPr>
              <w:jc w:val="right"/>
              <w:rPr>
                <w:rFonts w:ascii="Arial" w:hAnsi="Arial" w:cs="Arial"/>
                <w:b/>
                <w:sz w:val="24"/>
                <w:szCs w:val="24"/>
                <w:highlight w:val="yellow"/>
              </w:rPr>
            </w:pPr>
            <w:r w:rsidRPr="002434A0">
              <w:rPr>
                <w:rFonts w:ascii="Arial" w:hAnsi="Arial" w:cs="Arial"/>
                <w:b/>
                <w:sz w:val="24"/>
                <w:szCs w:val="24"/>
              </w:rPr>
              <w:t>pence</w:t>
            </w:r>
          </w:p>
        </w:tc>
        <w:tc>
          <w:tcPr>
            <w:tcW w:w="648" w:type="pct"/>
            <w:tcBorders>
              <w:top w:val="nil"/>
              <w:left w:val="nil"/>
              <w:bottom w:val="single" w:sz="4" w:space="0" w:color="auto"/>
              <w:right w:val="nil"/>
            </w:tcBorders>
          </w:tcPr>
          <w:p w14:paraId="456E4E5B" w14:textId="77777777" w:rsidR="00091980" w:rsidRPr="00D461B1" w:rsidRDefault="00091980" w:rsidP="00B66BBE">
            <w:pPr>
              <w:jc w:val="right"/>
              <w:rPr>
                <w:rFonts w:ascii="Arial" w:hAnsi="Arial" w:cs="Arial"/>
                <w:sz w:val="24"/>
                <w:szCs w:val="24"/>
                <w:highlight w:val="yellow"/>
              </w:rPr>
            </w:pPr>
          </w:p>
          <w:p w14:paraId="33C0CB1B" w14:textId="77777777" w:rsidR="00091980" w:rsidRPr="002434A0" w:rsidRDefault="00091980" w:rsidP="00B66BBE">
            <w:pPr>
              <w:jc w:val="right"/>
              <w:rPr>
                <w:rFonts w:ascii="Arial" w:hAnsi="Arial" w:cs="Arial"/>
                <w:sz w:val="24"/>
                <w:szCs w:val="24"/>
              </w:rPr>
            </w:pPr>
            <w:r w:rsidRPr="002434A0">
              <w:rPr>
                <w:rFonts w:ascii="Arial" w:hAnsi="Arial" w:cs="Arial"/>
                <w:sz w:val="24"/>
                <w:szCs w:val="24"/>
              </w:rPr>
              <w:t>Earnings</w:t>
            </w:r>
          </w:p>
          <w:p w14:paraId="063CA0AE" w14:textId="77777777" w:rsidR="00091980" w:rsidRPr="00D461B1" w:rsidRDefault="00091980" w:rsidP="00B66BBE">
            <w:pPr>
              <w:jc w:val="right"/>
              <w:rPr>
                <w:rFonts w:ascii="Arial" w:hAnsi="Arial" w:cs="Arial"/>
                <w:sz w:val="24"/>
                <w:szCs w:val="24"/>
                <w:highlight w:val="yellow"/>
              </w:rPr>
            </w:pPr>
            <w:r w:rsidRPr="002434A0">
              <w:rPr>
                <w:rFonts w:ascii="Arial" w:hAnsi="Arial" w:cs="Arial"/>
                <w:sz w:val="24"/>
                <w:szCs w:val="24"/>
              </w:rPr>
              <w:t>£m</w:t>
            </w:r>
          </w:p>
        </w:tc>
        <w:tc>
          <w:tcPr>
            <w:tcW w:w="648" w:type="pct"/>
            <w:tcBorders>
              <w:top w:val="nil"/>
              <w:left w:val="nil"/>
              <w:bottom w:val="single" w:sz="4" w:space="0" w:color="auto"/>
              <w:right w:val="nil"/>
            </w:tcBorders>
            <w:hideMark/>
          </w:tcPr>
          <w:p w14:paraId="5EECECD4" w14:textId="77777777" w:rsidR="00091980" w:rsidRPr="002434A0" w:rsidRDefault="00091980" w:rsidP="00B66BBE">
            <w:pPr>
              <w:jc w:val="right"/>
              <w:rPr>
                <w:rFonts w:ascii="Arial" w:hAnsi="Arial" w:cs="Arial"/>
                <w:sz w:val="24"/>
                <w:szCs w:val="24"/>
              </w:rPr>
            </w:pPr>
            <w:r w:rsidRPr="002434A0">
              <w:rPr>
                <w:rFonts w:ascii="Arial" w:hAnsi="Arial" w:cs="Arial"/>
                <w:sz w:val="24"/>
                <w:szCs w:val="24"/>
              </w:rPr>
              <w:t>2014/15</w:t>
            </w:r>
          </w:p>
          <w:p w14:paraId="42467501" w14:textId="77777777" w:rsidR="00091980" w:rsidRPr="002434A0" w:rsidRDefault="00091980" w:rsidP="00B66BBE">
            <w:pPr>
              <w:jc w:val="right"/>
              <w:rPr>
                <w:rFonts w:ascii="Arial" w:hAnsi="Arial" w:cs="Arial"/>
                <w:sz w:val="24"/>
                <w:szCs w:val="24"/>
              </w:rPr>
            </w:pPr>
            <w:r w:rsidRPr="002434A0">
              <w:rPr>
                <w:rFonts w:ascii="Arial" w:hAnsi="Arial" w:cs="Arial"/>
                <w:sz w:val="24"/>
                <w:szCs w:val="24"/>
              </w:rPr>
              <w:t>EPS</w:t>
            </w:r>
          </w:p>
          <w:p w14:paraId="24038819" w14:textId="77777777" w:rsidR="00091980" w:rsidRPr="002434A0" w:rsidRDefault="00091980" w:rsidP="00B66BBE">
            <w:pPr>
              <w:jc w:val="right"/>
              <w:rPr>
                <w:rFonts w:ascii="Arial" w:hAnsi="Arial" w:cs="Arial"/>
                <w:sz w:val="24"/>
                <w:szCs w:val="24"/>
              </w:rPr>
            </w:pPr>
            <w:r w:rsidRPr="002434A0">
              <w:rPr>
                <w:rFonts w:ascii="Arial" w:hAnsi="Arial" w:cs="Arial"/>
                <w:sz w:val="24"/>
                <w:szCs w:val="24"/>
              </w:rPr>
              <w:t>pence</w:t>
            </w:r>
          </w:p>
        </w:tc>
      </w:tr>
      <w:tr w:rsidR="00091980" w:rsidRPr="002434A0" w14:paraId="4AC0B757" w14:textId="77777777" w:rsidTr="00B66BBE">
        <w:tc>
          <w:tcPr>
            <w:tcW w:w="2292" w:type="pct"/>
            <w:tcBorders>
              <w:top w:val="single" w:sz="4" w:space="0" w:color="auto"/>
              <w:left w:val="nil"/>
              <w:bottom w:val="nil"/>
              <w:right w:val="nil"/>
            </w:tcBorders>
            <w:hideMark/>
          </w:tcPr>
          <w:p w14:paraId="3E1270A5" w14:textId="77777777" w:rsidR="00091980" w:rsidRPr="002434A0" w:rsidRDefault="00091980" w:rsidP="00B66BBE">
            <w:pPr>
              <w:rPr>
                <w:rFonts w:ascii="Arial" w:hAnsi="Arial" w:cs="Arial"/>
                <w:sz w:val="24"/>
                <w:szCs w:val="24"/>
              </w:rPr>
            </w:pPr>
            <w:r w:rsidRPr="002434A0">
              <w:rPr>
                <w:rFonts w:ascii="Arial" w:hAnsi="Arial" w:cs="Arial"/>
                <w:b/>
                <w:sz w:val="24"/>
                <w:szCs w:val="24"/>
              </w:rPr>
              <w:t>Adjusted basic earnings per share</w:t>
            </w:r>
          </w:p>
        </w:tc>
        <w:tc>
          <w:tcPr>
            <w:tcW w:w="706" w:type="pct"/>
            <w:tcBorders>
              <w:top w:val="single" w:sz="4" w:space="0" w:color="auto"/>
              <w:left w:val="nil"/>
              <w:bottom w:val="nil"/>
              <w:right w:val="nil"/>
            </w:tcBorders>
            <w:hideMark/>
          </w:tcPr>
          <w:p w14:paraId="64783445" w14:textId="77777777" w:rsidR="00091980" w:rsidRPr="00CA4D98" w:rsidRDefault="00091980" w:rsidP="00B66BBE">
            <w:pPr>
              <w:jc w:val="right"/>
              <w:rPr>
                <w:rFonts w:ascii="Arial" w:hAnsi="Arial" w:cs="Arial"/>
                <w:b/>
                <w:sz w:val="24"/>
                <w:szCs w:val="24"/>
              </w:rPr>
            </w:pPr>
            <w:r w:rsidRPr="00CA4D98">
              <w:rPr>
                <w:rFonts w:ascii="Arial" w:hAnsi="Arial" w:cs="Arial"/>
                <w:b/>
                <w:sz w:val="24"/>
                <w:szCs w:val="24"/>
              </w:rPr>
              <w:t>285</w:t>
            </w:r>
          </w:p>
        </w:tc>
        <w:tc>
          <w:tcPr>
            <w:tcW w:w="706" w:type="pct"/>
            <w:tcBorders>
              <w:top w:val="single" w:sz="4" w:space="0" w:color="auto"/>
              <w:left w:val="nil"/>
              <w:bottom w:val="nil"/>
              <w:right w:val="nil"/>
            </w:tcBorders>
            <w:hideMark/>
          </w:tcPr>
          <w:p w14:paraId="727A1C19" w14:textId="77777777" w:rsidR="00091980" w:rsidRPr="00CA4D98" w:rsidRDefault="00091980" w:rsidP="00B66BBE">
            <w:pPr>
              <w:jc w:val="right"/>
              <w:rPr>
                <w:rFonts w:ascii="Arial" w:hAnsi="Arial" w:cs="Arial"/>
                <w:b/>
                <w:sz w:val="24"/>
                <w:szCs w:val="24"/>
              </w:rPr>
            </w:pPr>
            <w:r w:rsidRPr="00CA4D98">
              <w:rPr>
                <w:rFonts w:ascii="Arial" w:hAnsi="Arial" w:cs="Arial"/>
                <w:b/>
                <w:sz w:val="24"/>
                <w:szCs w:val="24"/>
              </w:rPr>
              <w:t>12.3</w:t>
            </w:r>
          </w:p>
        </w:tc>
        <w:tc>
          <w:tcPr>
            <w:tcW w:w="648" w:type="pct"/>
            <w:tcBorders>
              <w:top w:val="single" w:sz="4" w:space="0" w:color="auto"/>
              <w:left w:val="nil"/>
              <w:bottom w:val="nil"/>
              <w:right w:val="nil"/>
            </w:tcBorders>
            <w:hideMark/>
          </w:tcPr>
          <w:p w14:paraId="5194CD89" w14:textId="77777777" w:rsidR="00091980" w:rsidRPr="000246CC" w:rsidRDefault="00091980" w:rsidP="00B66BBE">
            <w:pPr>
              <w:jc w:val="right"/>
              <w:rPr>
                <w:rFonts w:ascii="Arial" w:hAnsi="Arial" w:cs="Arial"/>
                <w:sz w:val="24"/>
                <w:szCs w:val="24"/>
              </w:rPr>
            </w:pPr>
            <w:r w:rsidRPr="00CA4D98">
              <w:rPr>
                <w:rFonts w:ascii="Arial" w:hAnsi="Arial" w:cs="Arial"/>
                <w:sz w:val="24"/>
                <w:szCs w:val="24"/>
              </w:rPr>
              <w:t>291</w:t>
            </w:r>
          </w:p>
        </w:tc>
        <w:tc>
          <w:tcPr>
            <w:tcW w:w="648" w:type="pct"/>
            <w:tcBorders>
              <w:top w:val="single" w:sz="4" w:space="0" w:color="auto"/>
              <w:left w:val="nil"/>
              <w:bottom w:val="nil"/>
              <w:right w:val="nil"/>
            </w:tcBorders>
            <w:hideMark/>
          </w:tcPr>
          <w:p w14:paraId="549DF4AF" w14:textId="77777777" w:rsidR="00091980" w:rsidRPr="008E7ABE" w:rsidRDefault="00091980" w:rsidP="00B66BBE">
            <w:pPr>
              <w:jc w:val="right"/>
              <w:rPr>
                <w:rFonts w:ascii="Arial" w:hAnsi="Arial" w:cs="Arial"/>
                <w:sz w:val="24"/>
                <w:szCs w:val="24"/>
              </w:rPr>
            </w:pPr>
            <w:r>
              <w:rPr>
                <w:rFonts w:ascii="Arial" w:hAnsi="Arial" w:cs="Arial"/>
                <w:sz w:val="24"/>
                <w:szCs w:val="24"/>
              </w:rPr>
              <w:t>12</w:t>
            </w:r>
            <w:r w:rsidRPr="008E7ABE">
              <w:rPr>
                <w:rFonts w:ascii="Arial" w:hAnsi="Arial" w:cs="Arial"/>
                <w:sz w:val="24"/>
                <w:szCs w:val="24"/>
              </w:rPr>
              <w:t>.3</w:t>
            </w:r>
          </w:p>
        </w:tc>
      </w:tr>
      <w:tr w:rsidR="00091980" w:rsidRPr="002434A0" w14:paraId="54AE112F" w14:textId="77777777" w:rsidTr="00B66BBE">
        <w:tc>
          <w:tcPr>
            <w:tcW w:w="2292" w:type="pct"/>
          </w:tcPr>
          <w:p w14:paraId="5E464F4F" w14:textId="77777777" w:rsidR="00091980" w:rsidRPr="002434A0" w:rsidRDefault="00091980" w:rsidP="00B66BBE">
            <w:pPr>
              <w:rPr>
                <w:rFonts w:ascii="Arial" w:hAnsi="Arial" w:cs="Arial"/>
                <w:sz w:val="24"/>
                <w:szCs w:val="24"/>
              </w:rPr>
            </w:pPr>
            <w:r>
              <w:rPr>
                <w:rFonts w:ascii="Arial" w:hAnsi="Arial" w:cs="Arial"/>
                <w:sz w:val="24"/>
                <w:szCs w:val="24"/>
              </w:rPr>
              <w:t>B&amp;Q China operating loss</w:t>
            </w:r>
          </w:p>
        </w:tc>
        <w:tc>
          <w:tcPr>
            <w:tcW w:w="706" w:type="pct"/>
          </w:tcPr>
          <w:p w14:paraId="4A5D6736" w14:textId="77777777" w:rsidR="00091980" w:rsidRPr="00CA4D98" w:rsidRDefault="00091980" w:rsidP="00B66BBE">
            <w:pPr>
              <w:jc w:val="right"/>
              <w:rPr>
                <w:rFonts w:ascii="Arial" w:hAnsi="Arial" w:cs="Arial"/>
                <w:b/>
                <w:sz w:val="24"/>
                <w:szCs w:val="24"/>
              </w:rPr>
            </w:pPr>
            <w:r w:rsidRPr="00CA4D98">
              <w:rPr>
                <w:rFonts w:ascii="Arial" w:hAnsi="Arial" w:cs="Arial"/>
                <w:b/>
                <w:sz w:val="24"/>
                <w:szCs w:val="24"/>
              </w:rPr>
              <w:t>(4)</w:t>
            </w:r>
          </w:p>
        </w:tc>
        <w:tc>
          <w:tcPr>
            <w:tcW w:w="706" w:type="pct"/>
          </w:tcPr>
          <w:p w14:paraId="7C4D5077" w14:textId="77777777" w:rsidR="00091980" w:rsidRPr="00CA4D98" w:rsidRDefault="00091980" w:rsidP="00B66BBE">
            <w:pPr>
              <w:jc w:val="right"/>
              <w:rPr>
                <w:rFonts w:ascii="Arial" w:hAnsi="Arial" w:cs="Arial"/>
                <w:b/>
                <w:sz w:val="24"/>
                <w:szCs w:val="24"/>
              </w:rPr>
            </w:pPr>
            <w:r w:rsidRPr="00CA4D98">
              <w:rPr>
                <w:rFonts w:ascii="Arial" w:hAnsi="Arial" w:cs="Arial"/>
                <w:b/>
                <w:sz w:val="24"/>
                <w:szCs w:val="24"/>
              </w:rPr>
              <w:t>(0.2)</w:t>
            </w:r>
          </w:p>
        </w:tc>
        <w:tc>
          <w:tcPr>
            <w:tcW w:w="648" w:type="pct"/>
          </w:tcPr>
          <w:p w14:paraId="3D14DADE" w14:textId="77777777" w:rsidR="00091980" w:rsidRPr="00CA4D98" w:rsidRDefault="00091980" w:rsidP="00B66BBE">
            <w:pPr>
              <w:jc w:val="right"/>
              <w:rPr>
                <w:rFonts w:ascii="Arial" w:hAnsi="Arial" w:cs="Arial"/>
                <w:sz w:val="24"/>
                <w:szCs w:val="24"/>
              </w:rPr>
            </w:pPr>
            <w:r w:rsidRPr="00CA4D98">
              <w:rPr>
                <w:rFonts w:ascii="Arial" w:hAnsi="Arial" w:cs="Arial"/>
                <w:sz w:val="24"/>
                <w:szCs w:val="24"/>
              </w:rPr>
              <w:t>(11)</w:t>
            </w:r>
          </w:p>
        </w:tc>
        <w:tc>
          <w:tcPr>
            <w:tcW w:w="648" w:type="pct"/>
          </w:tcPr>
          <w:p w14:paraId="641D5761" w14:textId="77777777" w:rsidR="00091980" w:rsidRPr="00CA4D98" w:rsidRDefault="00091980" w:rsidP="00B66BBE">
            <w:pPr>
              <w:jc w:val="right"/>
              <w:rPr>
                <w:rFonts w:ascii="Arial" w:hAnsi="Arial" w:cs="Arial"/>
                <w:sz w:val="24"/>
                <w:szCs w:val="24"/>
              </w:rPr>
            </w:pPr>
            <w:r w:rsidRPr="00CA4D98">
              <w:rPr>
                <w:rFonts w:ascii="Arial" w:hAnsi="Arial" w:cs="Arial"/>
                <w:sz w:val="24"/>
                <w:szCs w:val="24"/>
              </w:rPr>
              <w:t>(0.5)</w:t>
            </w:r>
          </w:p>
        </w:tc>
      </w:tr>
      <w:tr w:rsidR="00091980" w:rsidRPr="002434A0" w14:paraId="59507F96" w14:textId="77777777" w:rsidTr="00B66BBE">
        <w:tc>
          <w:tcPr>
            <w:tcW w:w="2292" w:type="pct"/>
            <w:hideMark/>
          </w:tcPr>
          <w:p w14:paraId="34D615F6" w14:textId="77777777" w:rsidR="00091980" w:rsidRPr="002434A0" w:rsidRDefault="00091980" w:rsidP="00B66BBE">
            <w:pPr>
              <w:rPr>
                <w:rFonts w:ascii="Arial" w:hAnsi="Arial" w:cs="Arial"/>
                <w:sz w:val="24"/>
                <w:szCs w:val="24"/>
              </w:rPr>
            </w:pPr>
            <w:r w:rsidRPr="002434A0">
              <w:rPr>
                <w:rFonts w:ascii="Arial" w:hAnsi="Arial" w:cs="Arial"/>
                <w:sz w:val="24"/>
                <w:szCs w:val="24"/>
              </w:rPr>
              <w:t>Net exceptional items</w:t>
            </w:r>
          </w:p>
        </w:tc>
        <w:tc>
          <w:tcPr>
            <w:tcW w:w="706" w:type="pct"/>
            <w:shd w:val="clear" w:color="auto" w:fill="auto"/>
            <w:hideMark/>
          </w:tcPr>
          <w:p w14:paraId="141548B3" w14:textId="6B649015" w:rsidR="00091980" w:rsidRPr="00CA4D98" w:rsidRDefault="00121D2D" w:rsidP="00B66BBE">
            <w:pPr>
              <w:jc w:val="right"/>
              <w:rPr>
                <w:rFonts w:ascii="Arial" w:hAnsi="Arial" w:cs="Arial"/>
                <w:b/>
                <w:sz w:val="24"/>
                <w:szCs w:val="24"/>
              </w:rPr>
            </w:pPr>
            <w:r>
              <w:rPr>
                <w:rFonts w:ascii="Arial" w:hAnsi="Arial" w:cs="Arial"/>
                <w:b/>
                <w:sz w:val="24"/>
                <w:szCs w:val="24"/>
              </w:rPr>
              <w:t>38</w:t>
            </w:r>
          </w:p>
        </w:tc>
        <w:tc>
          <w:tcPr>
            <w:tcW w:w="706" w:type="pct"/>
            <w:shd w:val="clear" w:color="auto" w:fill="auto"/>
            <w:hideMark/>
          </w:tcPr>
          <w:p w14:paraId="0F92B5B3" w14:textId="1FE2D0C7" w:rsidR="00091980" w:rsidRPr="00CA4D98" w:rsidRDefault="00121D2D" w:rsidP="00BB74AF">
            <w:pPr>
              <w:jc w:val="right"/>
              <w:rPr>
                <w:rFonts w:ascii="Arial" w:hAnsi="Arial" w:cs="Arial"/>
                <w:b/>
                <w:sz w:val="24"/>
                <w:szCs w:val="24"/>
              </w:rPr>
            </w:pPr>
            <w:r>
              <w:rPr>
                <w:rFonts w:ascii="Arial" w:hAnsi="Arial" w:cs="Arial"/>
                <w:b/>
                <w:sz w:val="24"/>
                <w:szCs w:val="24"/>
              </w:rPr>
              <w:t>1.</w:t>
            </w:r>
            <w:r w:rsidR="00BB74AF">
              <w:rPr>
                <w:rFonts w:ascii="Arial" w:hAnsi="Arial" w:cs="Arial"/>
                <w:b/>
                <w:sz w:val="24"/>
                <w:szCs w:val="24"/>
              </w:rPr>
              <w:t>6</w:t>
            </w:r>
          </w:p>
        </w:tc>
        <w:tc>
          <w:tcPr>
            <w:tcW w:w="648" w:type="pct"/>
            <w:shd w:val="clear" w:color="auto" w:fill="auto"/>
            <w:hideMark/>
          </w:tcPr>
          <w:p w14:paraId="0A515020" w14:textId="77777777" w:rsidR="00091980" w:rsidRPr="00914FF1" w:rsidRDefault="00091980" w:rsidP="00B66BBE">
            <w:pPr>
              <w:jc w:val="right"/>
              <w:rPr>
                <w:rFonts w:ascii="Arial" w:hAnsi="Arial" w:cs="Arial"/>
                <w:sz w:val="24"/>
                <w:szCs w:val="24"/>
              </w:rPr>
            </w:pPr>
            <w:r w:rsidRPr="00CA4D98">
              <w:rPr>
                <w:rFonts w:ascii="Arial" w:hAnsi="Arial" w:cs="Arial"/>
                <w:sz w:val="24"/>
                <w:szCs w:val="24"/>
              </w:rPr>
              <w:t>11</w:t>
            </w:r>
          </w:p>
        </w:tc>
        <w:tc>
          <w:tcPr>
            <w:tcW w:w="648" w:type="pct"/>
            <w:shd w:val="clear" w:color="auto" w:fill="auto"/>
            <w:hideMark/>
          </w:tcPr>
          <w:p w14:paraId="6C7B82A9" w14:textId="77777777" w:rsidR="00091980" w:rsidRPr="00914FF1" w:rsidRDefault="00091980" w:rsidP="00B66BBE">
            <w:pPr>
              <w:jc w:val="right"/>
              <w:rPr>
                <w:rFonts w:ascii="Arial" w:hAnsi="Arial" w:cs="Arial"/>
                <w:sz w:val="24"/>
                <w:szCs w:val="24"/>
              </w:rPr>
            </w:pPr>
            <w:r w:rsidRPr="00CA4D98">
              <w:rPr>
                <w:rFonts w:ascii="Arial" w:hAnsi="Arial" w:cs="Arial"/>
                <w:sz w:val="24"/>
                <w:szCs w:val="24"/>
              </w:rPr>
              <w:t>0.5</w:t>
            </w:r>
          </w:p>
        </w:tc>
      </w:tr>
      <w:tr w:rsidR="00091980" w:rsidRPr="002434A0" w14:paraId="0FA7C0C6" w14:textId="77777777" w:rsidTr="00B66BBE">
        <w:tc>
          <w:tcPr>
            <w:tcW w:w="2292" w:type="pct"/>
            <w:vAlign w:val="bottom"/>
            <w:hideMark/>
          </w:tcPr>
          <w:p w14:paraId="003B7071" w14:textId="77777777" w:rsidR="00091980" w:rsidRPr="002434A0" w:rsidRDefault="00091980" w:rsidP="00B66BBE">
            <w:pPr>
              <w:jc w:val="left"/>
              <w:rPr>
                <w:rFonts w:ascii="Arial" w:hAnsi="Arial" w:cs="Arial"/>
                <w:sz w:val="24"/>
                <w:szCs w:val="24"/>
              </w:rPr>
            </w:pPr>
            <w:r w:rsidRPr="002434A0">
              <w:rPr>
                <w:rFonts w:ascii="Arial" w:hAnsi="Arial" w:cs="Arial"/>
                <w:sz w:val="24"/>
                <w:szCs w:val="24"/>
              </w:rPr>
              <w:t>Prior year tax items</w:t>
            </w:r>
          </w:p>
        </w:tc>
        <w:tc>
          <w:tcPr>
            <w:tcW w:w="706" w:type="pct"/>
            <w:hideMark/>
          </w:tcPr>
          <w:p w14:paraId="03555574" w14:textId="77777777" w:rsidR="00091980" w:rsidRPr="00CA4D98" w:rsidRDefault="00091980" w:rsidP="00B66BBE">
            <w:pPr>
              <w:jc w:val="right"/>
              <w:rPr>
                <w:rFonts w:ascii="Arial" w:hAnsi="Arial" w:cs="Arial"/>
                <w:b/>
                <w:sz w:val="24"/>
                <w:szCs w:val="24"/>
              </w:rPr>
            </w:pPr>
            <w:r w:rsidRPr="00CA4D98">
              <w:rPr>
                <w:rFonts w:ascii="Arial" w:hAnsi="Arial" w:cs="Arial"/>
                <w:b/>
                <w:sz w:val="24"/>
                <w:szCs w:val="24"/>
              </w:rPr>
              <w:t>1</w:t>
            </w:r>
          </w:p>
        </w:tc>
        <w:tc>
          <w:tcPr>
            <w:tcW w:w="706" w:type="pct"/>
            <w:vAlign w:val="bottom"/>
            <w:hideMark/>
          </w:tcPr>
          <w:p w14:paraId="7BBBF1AB" w14:textId="77777777" w:rsidR="00091980" w:rsidRPr="00CA4D98" w:rsidRDefault="00091980" w:rsidP="00B66BBE">
            <w:pPr>
              <w:jc w:val="right"/>
              <w:rPr>
                <w:rFonts w:ascii="Arial" w:hAnsi="Arial" w:cs="Arial"/>
                <w:b/>
                <w:sz w:val="24"/>
                <w:szCs w:val="24"/>
              </w:rPr>
            </w:pPr>
            <w:r w:rsidRPr="00CA4D98">
              <w:rPr>
                <w:rFonts w:ascii="Arial" w:hAnsi="Arial" w:cs="Arial"/>
                <w:b/>
                <w:sz w:val="24"/>
                <w:szCs w:val="24"/>
              </w:rPr>
              <w:t>-</w:t>
            </w:r>
          </w:p>
        </w:tc>
        <w:tc>
          <w:tcPr>
            <w:tcW w:w="648" w:type="pct"/>
            <w:hideMark/>
          </w:tcPr>
          <w:p w14:paraId="743333FA" w14:textId="77777777" w:rsidR="00091980" w:rsidRPr="00914FF1" w:rsidRDefault="00091980" w:rsidP="00B66BBE">
            <w:pPr>
              <w:jc w:val="right"/>
              <w:rPr>
                <w:rFonts w:ascii="Arial" w:hAnsi="Arial" w:cs="Arial"/>
                <w:sz w:val="24"/>
                <w:szCs w:val="24"/>
              </w:rPr>
            </w:pPr>
            <w:r w:rsidRPr="00CA4D98">
              <w:rPr>
                <w:rFonts w:ascii="Arial" w:hAnsi="Arial" w:cs="Arial"/>
                <w:sz w:val="24"/>
                <w:szCs w:val="24"/>
              </w:rPr>
              <w:t>(1)</w:t>
            </w:r>
          </w:p>
        </w:tc>
        <w:tc>
          <w:tcPr>
            <w:tcW w:w="648" w:type="pct"/>
            <w:vAlign w:val="bottom"/>
            <w:hideMark/>
          </w:tcPr>
          <w:p w14:paraId="6B5DFC5F" w14:textId="77777777" w:rsidR="00091980" w:rsidRPr="00914FF1" w:rsidRDefault="00091980" w:rsidP="00B66BBE">
            <w:pPr>
              <w:jc w:val="right"/>
              <w:rPr>
                <w:rFonts w:ascii="Arial" w:hAnsi="Arial" w:cs="Arial"/>
                <w:sz w:val="24"/>
                <w:szCs w:val="24"/>
              </w:rPr>
            </w:pPr>
            <w:r w:rsidRPr="00CA4D98">
              <w:rPr>
                <w:rFonts w:ascii="Arial" w:hAnsi="Arial" w:cs="Arial"/>
                <w:sz w:val="24"/>
                <w:szCs w:val="24"/>
              </w:rPr>
              <w:t>(0.1)</w:t>
            </w:r>
          </w:p>
        </w:tc>
      </w:tr>
      <w:tr w:rsidR="00091980" w:rsidRPr="002434A0" w14:paraId="732C04A6" w14:textId="77777777" w:rsidTr="00B66BBE">
        <w:tc>
          <w:tcPr>
            <w:tcW w:w="2292" w:type="pct"/>
            <w:vAlign w:val="bottom"/>
            <w:hideMark/>
          </w:tcPr>
          <w:p w14:paraId="319B33F0" w14:textId="77777777" w:rsidR="00091980" w:rsidRPr="002434A0" w:rsidRDefault="00091980" w:rsidP="00B66BBE">
            <w:pPr>
              <w:jc w:val="left"/>
              <w:rPr>
                <w:rFonts w:ascii="Arial" w:hAnsi="Arial" w:cs="Arial"/>
                <w:sz w:val="24"/>
                <w:szCs w:val="24"/>
              </w:rPr>
            </w:pPr>
            <w:r w:rsidRPr="002434A0">
              <w:rPr>
                <w:rFonts w:ascii="Arial" w:hAnsi="Arial" w:cs="Arial"/>
                <w:sz w:val="24"/>
                <w:szCs w:val="24"/>
              </w:rPr>
              <w:t>FFVR (net of tax)</w:t>
            </w:r>
          </w:p>
        </w:tc>
        <w:tc>
          <w:tcPr>
            <w:tcW w:w="706" w:type="pct"/>
            <w:hideMark/>
          </w:tcPr>
          <w:p w14:paraId="2A244705" w14:textId="77777777" w:rsidR="00091980" w:rsidRPr="00CA4D98" w:rsidRDefault="00091980" w:rsidP="00B66BBE">
            <w:pPr>
              <w:jc w:val="right"/>
              <w:rPr>
                <w:rFonts w:ascii="Arial" w:hAnsi="Arial" w:cs="Arial"/>
                <w:b/>
                <w:sz w:val="24"/>
                <w:szCs w:val="24"/>
              </w:rPr>
            </w:pPr>
            <w:r w:rsidRPr="00CA4D98">
              <w:rPr>
                <w:rFonts w:ascii="Arial" w:hAnsi="Arial" w:cs="Arial"/>
                <w:b/>
                <w:sz w:val="24"/>
                <w:szCs w:val="24"/>
              </w:rPr>
              <w:t>(</w:t>
            </w:r>
            <w:r>
              <w:rPr>
                <w:rFonts w:ascii="Arial" w:hAnsi="Arial" w:cs="Arial"/>
                <w:b/>
                <w:sz w:val="24"/>
                <w:szCs w:val="24"/>
              </w:rPr>
              <w:t>2</w:t>
            </w:r>
            <w:r w:rsidRPr="00CA4D98">
              <w:rPr>
                <w:rFonts w:ascii="Arial" w:hAnsi="Arial" w:cs="Arial"/>
                <w:b/>
                <w:sz w:val="24"/>
                <w:szCs w:val="24"/>
              </w:rPr>
              <w:t>)</w:t>
            </w:r>
          </w:p>
        </w:tc>
        <w:tc>
          <w:tcPr>
            <w:tcW w:w="706" w:type="pct"/>
            <w:vAlign w:val="bottom"/>
            <w:hideMark/>
          </w:tcPr>
          <w:p w14:paraId="4CC55392" w14:textId="5B702713" w:rsidR="00091980" w:rsidRPr="00CA4D98" w:rsidRDefault="00121D2D" w:rsidP="00B66BBE">
            <w:pPr>
              <w:jc w:val="right"/>
              <w:rPr>
                <w:rFonts w:ascii="Arial" w:hAnsi="Arial" w:cs="Arial"/>
                <w:b/>
                <w:sz w:val="24"/>
                <w:szCs w:val="24"/>
              </w:rPr>
            </w:pPr>
            <w:r>
              <w:rPr>
                <w:rFonts w:ascii="Arial" w:hAnsi="Arial" w:cs="Arial"/>
                <w:b/>
                <w:sz w:val="24"/>
                <w:szCs w:val="24"/>
              </w:rPr>
              <w:t>(0.</w:t>
            </w:r>
            <w:r w:rsidR="00BB74AF">
              <w:rPr>
                <w:rFonts w:ascii="Arial" w:hAnsi="Arial" w:cs="Arial"/>
                <w:b/>
                <w:sz w:val="24"/>
                <w:szCs w:val="24"/>
              </w:rPr>
              <w:t>1</w:t>
            </w:r>
            <w:r w:rsidR="00091980" w:rsidRPr="00CA4D98">
              <w:rPr>
                <w:rFonts w:ascii="Arial" w:hAnsi="Arial" w:cs="Arial"/>
                <w:b/>
                <w:sz w:val="24"/>
                <w:szCs w:val="24"/>
              </w:rPr>
              <w:t>)</w:t>
            </w:r>
          </w:p>
        </w:tc>
        <w:tc>
          <w:tcPr>
            <w:tcW w:w="648" w:type="pct"/>
            <w:hideMark/>
          </w:tcPr>
          <w:p w14:paraId="4923F030" w14:textId="77777777" w:rsidR="00091980" w:rsidRPr="00914FF1" w:rsidRDefault="00091980" w:rsidP="00B66BBE">
            <w:pPr>
              <w:jc w:val="right"/>
              <w:rPr>
                <w:rFonts w:ascii="Arial" w:hAnsi="Arial" w:cs="Arial"/>
                <w:sz w:val="24"/>
                <w:szCs w:val="24"/>
              </w:rPr>
            </w:pPr>
            <w:r w:rsidRPr="00CA4D98">
              <w:rPr>
                <w:rFonts w:ascii="Arial" w:hAnsi="Arial" w:cs="Arial"/>
                <w:sz w:val="24"/>
                <w:szCs w:val="24"/>
              </w:rPr>
              <w:t>1</w:t>
            </w:r>
          </w:p>
        </w:tc>
        <w:tc>
          <w:tcPr>
            <w:tcW w:w="648" w:type="pct"/>
            <w:vAlign w:val="bottom"/>
            <w:hideMark/>
          </w:tcPr>
          <w:p w14:paraId="02C24DB7" w14:textId="77777777" w:rsidR="00091980" w:rsidRPr="00914FF1" w:rsidRDefault="00091980" w:rsidP="00B66BBE">
            <w:pPr>
              <w:jc w:val="right"/>
              <w:rPr>
                <w:rFonts w:ascii="Arial" w:hAnsi="Arial" w:cs="Arial"/>
                <w:sz w:val="24"/>
                <w:szCs w:val="24"/>
              </w:rPr>
            </w:pPr>
            <w:r w:rsidRPr="00CA4D98">
              <w:rPr>
                <w:rFonts w:ascii="Arial" w:hAnsi="Arial" w:cs="Arial"/>
                <w:sz w:val="24"/>
                <w:szCs w:val="24"/>
              </w:rPr>
              <w:t>0.1</w:t>
            </w:r>
          </w:p>
        </w:tc>
      </w:tr>
      <w:tr w:rsidR="00091980" w:rsidRPr="002434A0" w14:paraId="0C2F1EB1" w14:textId="77777777" w:rsidTr="00B66BBE">
        <w:trPr>
          <w:trHeight w:val="70"/>
        </w:trPr>
        <w:tc>
          <w:tcPr>
            <w:tcW w:w="2292" w:type="pct"/>
            <w:tcBorders>
              <w:top w:val="single" w:sz="4" w:space="0" w:color="auto"/>
              <w:left w:val="nil"/>
              <w:bottom w:val="single" w:sz="4" w:space="0" w:color="auto"/>
              <w:right w:val="nil"/>
            </w:tcBorders>
            <w:hideMark/>
          </w:tcPr>
          <w:p w14:paraId="7ABB43B9" w14:textId="77777777" w:rsidR="00091980" w:rsidRPr="002434A0" w:rsidRDefault="00091980" w:rsidP="00B66BBE">
            <w:pPr>
              <w:rPr>
                <w:rFonts w:ascii="Arial" w:hAnsi="Arial" w:cs="Arial"/>
                <w:b/>
                <w:sz w:val="24"/>
                <w:szCs w:val="24"/>
              </w:rPr>
            </w:pPr>
            <w:r w:rsidRPr="002434A0">
              <w:rPr>
                <w:rFonts w:ascii="Arial" w:hAnsi="Arial" w:cs="Arial"/>
                <w:b/>
                <w:sz w:val="24"/>
                <w:szCs w:val="24"/>
              </w:rPr>
              <w:t>Basic earnings per share</w:t>
            </w:r>
          </w:p>
        </w:tc>
        <w:tc>
          <w:tcPr>
            <w:tcW w:w="706" w:type="pct"/>
            <w:tcBorders>
              <w:top w:val="single" w:sz="4" w:space="0" w:color="auto"/>
              <w:left w:val="nil"/>
              <w:bottom w:val="single" w:sz="4" w:space="0" w:color="auto"/>
              <w:right w:val="nil"/>
            </w:tcBorders>
            <w:hideMark/>
          </w:tcPr>
          <w:p w14:paraId="7D2204DE" w14:textId="5465EE5E" w:rsidR="00091980" w:rsidRPr="00CA4D98" w:rsidRDefault="00121D2D" w:rsidP="00B66BBE">
            <w:pPr>
              <w:jc w:val="right"/>
              <w:rPr>
                <w:rFonts w:ascii="Arial" w:hAnsi="Arial" w:cs="Arial"/>
                <w:b/>
                <w:sz w:val="24"/>
                <w:szCs w:val="24"/>
              </w:rPr>
            </w:pPr>
            <w:r>
              <w:rPr>
                <w:rFonts w:ascii="Arial" w:hAnsi="Arial" w:cs="Arial"/>
                <w:b/>
                <w:sz w:val="24"/>
                <w:szCs w:val="24"/>
              </w:rPr>
              <w:t>318</w:t>
            </w:r>
          </w:p>
        </w:tc>
        <w:tc>
          <w:tcPr>
            <w:tcW w:w="706" w:type="pct"/>
            <w:tcBorders>
              <w:top w:val="single" w:sz="4" w:space="0" w:color="auto"/>
              <w:left w:val="nil"/>
              <w:bottom w:val="single" w:sz="4" w:space="0" w:color="auto"/>
              <w:right w:val="nil"/>
            </w:tcBorders>
            <w:hideMark/>
          </w:tcPr>
          <w:p w14:paraId="1D21B1CF" w14:textId="77777777" w:rsidR="00091980" w:rsidRPr="00CA4D98" w:rsidRDefault="00091980" w:rsidP="00B66BBE">
            <w:pPr>
              <w:jc w:val="right"/>
              <w:rPr>
                <w:rFonts w:ascii="Arial" w:hAnsi="Arial" w:cs="Arial"/>
                <w:b/>
                <w:sz w:val="24"/>
                <w:szCs w:val="24"/>
              </w:rPr>
            </w:pPr>
            <w:r w:rsidRPr="00CA4D98">
              <w:rPr>
                <w:rFonts w:ascii="Arial" w:hAnsi="Arial" w:cs="Arial"/>
                <w:b/>
                <w:sz w:val="24"/>
                <w:szCs w:val="24"/>
              </w:rPr>
              <w:t>13.6</w:t>
            </w:r>
          </w:p>
        </w:tc>
        <w:tc>
          <w:tcPr>
            <w:tcW w:w="648" w:type="pct"/>
            <w:tcBorders>
              <w:top w:val="single" w:sz="4" w:space="0" w:color="auto"/>
              <w:left w:val="nil"/>
              <w:bottom w:val="single" w:sz="4" w:space="0" w:color="auto"/>
              <w:right w:val="nil"/>
            </w:tcBorders>
            <w:hideMark/>
          </w:tcPr>
          <w:p w14:paraId="30AF211A" w14:textId="77777777" w:rsidR="00091980" w:rsidRPr="00CA4D98" w:rsidRDefault="00091980" w:rsidP="00B66BBE">
            <w:pPr>
              <w:jc w:val="right"/>
              <w:rPr>
                <w:rFonts w:ascii="Arial" w:hAnsi="Arial" w:cs="Arial"/>
                <w:sz w:val="24"/>
                <w:szCs w:val="24"/>
              </w:rPr>
            </w:pPr>
            <w:r w:rsidRPr="00CA4D98">
              <w:rPr>
                <w:rFonts w:ascii="Arial" w:hAnsi="Arial" w:cs="Arial"/>
                <w:sz w:val="24"/>
                <w:szCs w:val="24"/>
              </w:rPr>
              <w:t>291</w:t>
            </w:r>
          </w:p>
        </w:tc>
        <w:tc>
          <w:tcPr>
            <w:tcW w:w="648" w:type="pct"/>
            <w:tcBorders>
              <w:top w:val="single" w:sz="4" w:space="0" w:color="auto"/>
              <w:left w:val="nil"/>
              <w:bottom w:val="single" w:sz="4" w:space="0" w:color="auto"/>
              <w:right w:val="nil"/>
            </w:tcBorders>
            <w:hideMark/>
          </w:tcPr>
          <w:p w14:paraId="4995A030" w14:textId="77777777" w:rsidR="00091980" w:rsidRPr="008E7ABE" w:rsidRDefault="00091980" w:rsidP="00B66BBE">
            <w:pPr>
              <w:jc w:val="right"/>
              <w:rPr>
                <w:rFonts w:ascii="Arial" w:hAnsi="Arial" w:cs="Arial"/>
                <w:sz w:val="24"/>
                <w:szCs w:val="24"/>
              </w:rPr>
            </w:pPr>
            <w:r>
              <w:rPr>
                <w:rFonts w:ascii="Arial" w:hAnsi="Arial" w:cs="Arial"/>
                <w:sz w:val="24"/>
                <w:szCs w:val="24"/>
              </w:rPr>
              <w:t>12.3</w:t>
            </w:r>
          </w:p>
        </w:tc>
      </w:tr>
    </w:tbl>
    <w:p w14:paraId="3AEEE264" w14:textId="77777777" w:rsidR="003A298D" w:rsidRPr="00D160A1" w:rsidRDefault="003A298D" w:rsidP="003A298D">
      <w:pPr>
        <w:jc w:val="left"/>
        <w:rPr>
          <w:rFonts w:ascii="Arial" w:hAnsi="Arial" w:cs="Arial"/>
          <w:sz w:val="24"/>
          <w:szCs w:val="24"/>
        </w:rPr>
      </w:pPr>
    </w:p>
    <w:p w14:paraId="38F50540" w14:textId="77777777" w:rsidR="003A298D" w:rsidRPr="00D160A1" w:rsidRDefault="003A298D" w:rsidP="003A298D">
      <w:pPr>
        <w:jc w:val="left"/>
        <w:rPr>
          <w:rFonts w:ascii="Arial" w:hAnsi="Arial" w:cs="Arial"/>
          <w:b/>
          <w:bCs/>
          <w:sz w:val="24"/>
          <w:szCs w:val="24"/>
        </w:rPr>
      </w:pPr>
      <w:r w:rsidRPr="00D160A1">
        <w:rPr>
          <w:rFonts w:ascii="Arial" w:hAnsi="Arial" w:cs="Arial"/>
          <w:b/>
          <w:bCs/>
          <w:sz w:val="24"/>
          <w:szCs w:val="24"/>
        </w:rPr>
        <w:t>Dividends and capital returns</w:t>
      </w:r>
    </w:p>
    <w:p w14:paraId="2AD732CE" w14:textId="77777777" w:rsidR="003A298D" w:rsidRPr="00D160A1" w:rsidRDefault="003A298D" w:rsidP="003A298D">
      <w:pPr>
        <w:jc w:val="left"/>
        <w:rPr>
          <w:rFonts w:ascii="Arial" w:hAnsi="Arial" w:cs="Arial"/>
          <w:b/>
          <w:bCs/>
          <w:color w:val="FF0000"/>
          <w:sz w:val="24"/>
          <w:szCs w:val="24"/>
        </w:rPr>
      </w:pPr>
    </w:p>
    <w:p w14:paraId="1CC4D86A" w14:textId="6690516B" w:rsidR="003A298D" w:rsidRPr="00D160A1" w:rsidRDefault="003A298D" w:rsidP="003A298D">
      <w:pPr>
        <w:jc w:val="left"/>
        <w:rPr>
          <w:rFonts w:ascii="Arial" w:hAnsi="Arial" w:cs="Arial"/>
          <w:sz w:val="24"/>
          <w:szCs w:val="24"/>
        </w:rPr>
      </w:pPr>
      <w:r w:rsidRPr="00D160A1">
        <w:rPr>
          <w:rFonts w:ascii="Arial" w:hAnsi="Arial" w:cs="Arial" w:hint="eastAsia"/>
          <w:sz w:val="24"/>
          <w:szCs w:val="24"/>
        </w:rPr>
        <w:t xml:space="preserve">The </w:t>
      </w:r>
      <w:r w:rsidRPr="00D160A1">
        <w:rPr>
          <w:rFonts w:ascii="Arial" w:hAnsi="Arial" w:cs="Arial"/>
          <w:sz w:val="24"/>
          <w:szCs w:val="24"/>
        </w:rPr>
        <w:t xml:space="preserve">Board </w:t>
      </w:r>
      <w:r w:rsidR="008B70FB">
        <w:rPr>
          <w:rFonts w:ascii="Arial" w:hAnsi="Arial" w:cs="Arial"/>
          <w:sz w:val="24"/>
          <w:szCs w:val="24"/>
        </w:rPr>
        <w:t>has</w:t>
      </w:r>
      <w:r w:rsidRPr="00D160A1">
        <w:rPr>
          <w:rFonts w:ascii="Arial" w:hAnsi="Arial" w:cs="Arial"/>
          <w:sz w:val="24"/>
          <w:szCs w:val="24"/>
        </w:rPr>
        <w:t xml:space="preserve"> decla</w:t>
      </w:r>
      <w:r w:rsidR="008B70FB">
        <w:rPr>
          <w:rFonts w:ascii="Arial" w:hAnsi="Arial" w:cs="Arial"/>
          <w:sz w:val="24"/>
          <w:szCs w:val="24"/>
        </w:rPr>
        <w:t>red</w:t>
      </w:r>
      <w:r w:rsidRPr="00D160A1">
        <w:rPr>
          <w:rFonts w:ascii="Arial" w:hAnsi="Arial" w:cs="Arial"/>
          <w:sz w:val="24"/>
          <w:szCs w:val="24"/>
        </w:rPr>
        <w:t xml:space="preserve"> an interim ordinary</w:t>
      </w:r>
      <w:r w:rsidRPr="00D160A1">
        <w:rPr>
          <w:rFonts w:ascii="Arial" w:hAnsi="Arial" w:cs="Arial" w:hint="eastAsia"/>
          <w:sz w:val="24"/>
          <w:szCs w:val="24"/>
        </w:rPr>
        <w:t xml:space="preserve"> dividend </w:t>
      </w:r>
      <w:r w:rsidRPr="0021682C">
        <w:rPr>
          <w:rFonts w:ascii="Arial" w:hAnsi="Arial" w:cs="Arial"/>
          <w:sz w:val="24"/>
          <w:szCs w:val="24"/>
        </w:rPr>
        <w:t xml:space="preserve">of </w:t>
      </w:r>
      <w:r w:rsidR="0021682C" w:rsidRPr="009325A3">
        <w:rPr>
          <w:rFonts w:ascii="Arial" w:hAnsi="Arial" w:cs="Arial"/>
          <w:sz w:val="24"/>
          <w:szCs w:val="24"/>
        </w:rPr>
        <w:t>3.18</w:t>
      </w:r>
      <w:r w:rsidRPr="009325A3">
        <w:rPr>
          <w:rFonts w:ascii="Arial" w:hAnsi="Arial" w:cs="Arial"/>
          <w:sz w:val="24"/>
          <w:szCs w:val="24"/>
        </w:rPr>
        <w:t xml:space="preserve">p, an increase of </w:t>
      </w:r>
      <w:r w:rsidR="0021682C" w:rsidRPr="009325A3">
        <w:rPr>
          <w:rFonts w:ascii="Arial" w:hAnsi="Arial" w:cs="Arial"/>
          <w:sz w:val="24"/>
          <w:szCs w:val="24"/>
        </w:rPr>
        <w:t>1.0</w:t>
      </w:r>
      <w:r w:rsidRPr="009325A3">
        <w:rPr>
          <w:rFonts w:ascii="Arial" w:hAnsi="Arial" w:cs="Arial"/>
          <w:sz w:val="24"/>
          <w:szCs w:val="24"/>
        </w:rPr>
        <w:t>%</w:t>
      </w:r>
      <w:r w:rsidRPr="00D160A1">
        <w:rPr>
          <w:rFonts w:ascii="Arial" w:hAnsi="Arial" w:cs="Arial" w:hint="eastAsia"/>
          <w:sz w:val="24"/>
          <w:szCs w:val="24"/>
        </w:rPr>
        <w:t xml:space="preserve"> (2014/15: </w:t>
      </w:r>
      <w:r w:rsidRPr="00D160A1">
        <w:rPr>
          <w:rFonts w:ascii="Arial" w:hAnsi="Arial" w:cs="Arial"/>
          <w:sz w:val="24"/>
          <w:szCs w:val="24"/>
        </w:rPr>
        <w:t>3.15</w:t>
      </w:r>
      <w:r w:rsidRPr="00D160A1">
        <w:rPr>
          <w:rFonts w:ascii="Arial" w:hAnsi="Arial" w:cs="Arial" w:hint="eastAsia"/>
          <w:sz w:val="24"/>
          <w:szCs w:val="24"/>
        </w:rPr>
        <w:t xml:space="preserve">p). </w:t>
      </w:r>
      <w:r w:rsidR="008B70FB">
        <w:rPr>
          <w:rFonts w:ascii="Arial" w:hAnsi="Arial" w:cs="Arial"/>
          <w:sz w:val="24"/>
          <w:szCs w:val="24"/>
        </w:rPr>
        <w:t>As previously announced, w</w:t>
      </w:r>
      <w:r w:rsidRPr="00D160A1">
        <w:rPr>
          <w:rFonts w:ascii="Arial" w:hAnsi="Arial" w:cs="Arial"/>
          <w:sz w:val="24"/>
          <w:szCs w:val="24"/>
        </w:rPr>
        <w:t xml:space="preserve">e are comfortable with </w:t>
      </w:r>
      <w:r w:rsidR="008B70FB">
        <w:rPr>
          <w:rFonts w:ascii="Arial" w:hAnsi="Arial" w:cs="Arial"/>
          <w:sz w:val="24"/>
          <w:szCs w:val="24"/>
        </w:rPr>
        <w:t xml:space="preserve">full year </w:t>
      </w:r>
      <w:r w:rsidRPr="00D160A1">
        <w:rPr>
          <w:rFonts w:ascii="Arial" w:hAnsi="Arial" w:cs="Arial"/>
          <w:sz w:val="24"/>
          <w:szCs w:val="24"/>
        </w:rPr>
        <w:t xml:space="preserve">dividend cover in the range of 2.0 to 2.5 times, a level the Board believes is prudent and consistent with the capital needs of the business.  </w:t>
      </w:r>
    </w:p>
    <w:p w14:paraId="46AF0A3D" w14:textId="77777777" w:rsidR="003A298D" w:rsidRPr="00D160A1" w:rsidRDefault="003A298D" w:rsidP="003A298D">
      <w:pPr>
        <w:jc w:val="left"/>
        <w:rPr>
          <w:rFonts w:ascii="Arial" w:hAnsi="Arial" w:cs="Arial"/>
          <w:sz w:val="24"/>
          <w:szCs w:val="24"/>
        </w:rPr>
      </w:pPr>
    </w:p>
    <w:p w14:paraId="442894AF" w14:textId="620532D0" w:rsidR="003A298D" w:rsidRPr="00D160A1" w:rsidRDefault="003A298D" w:rsidP="003A298D">
      <w:pPr>
        <w:jc w:val="left"/>
        <w:rPr>
          <w:rFonts w:ascii="Arial" w:hAnsi="Arial" w:cs="Arial"/>
          <w:sz w:val="24"/>
          <w:szCs w:val="24"/>
        </w:rPr>
      </w:pPr>
      <w:r w:rsidRPr="00D160A1">
        <w:rPr>
          <w:rFonts w:ascii="Arial" w:hAnsi="Arial" w:cs="Arial"/>
          <w:sz w:val="24"/>
          <w:szCs w:val="24"/>
        </w:rPr>
        <w:t xml:space="preserve">The interim dividend will be paid on </w:t>
      </w:r>
      <w:r w:rsidR="008B70FB">
        <w:rPr>
          <w:rFonts w:ascii="Arial" w:hAnsi="Arial" w:cs="Arial"/>
          <w:sz w:val="24"/>
          <w:szCs w:val="24"/>
        </w:rPr>
        <w:t xml:space="preserve">13 </w:t>
      </w:r>
      <w:r w:rsidRPr="00D160A1">
        <w:rPr>
          <w:rFonts w:ascii="Arial" w:hAnsi="Arial" w:cs="Arial"/>
          <w:sz w:val="24"/>
          <w:szCs w:val="24"/>
        </w:rPr>
        <w:t xml:space="preserve">November 2015 to shareholders on the register at close of business on </w:t>
      </w:r>
      <w:r w:rsidR="00B71236">
        <w:rPr>
          <w:rFonts w:ascii="Arial" w:hAnsi="Arial" w:cs="Arial"/>
          <w:sz w:val="24"/>
          <w:szCs w:val="24"/>
        </w:rPr>
        <w:t>9</w:t>
      </w:r>
      <w:r w:rsidR="008B70FB">
        <w:rPr>
          <w:rFonts w:ascii="Arial" w:hAnsi="Arial" w:cs="Arial"/>
          <w:sz w:val="24"/>
          <w:szCs w:val="24"/>
        </w:rPr>
        <w:t xml:space="preserve"> </w:t>
      </w:r>
      <w:r w:rsidRPr="00D160A1">
        <w:rPr>
          <w:rFonts w:ascii="Arial" w:hAnsi="Arial" w:cs="Arial"/>
          <w:sz w:val="24"/>
          <w:szCs w:val="24"/>
        </w:rPr>
        <w:t>October</w:t>
      </w:r>
      <w:bookmarkStart w:id="6" w:name="_GoBack"/>
      <w:bookmarkEnd w:id="6"/>
      <w:r w:rsidRPr="00D160A1">
        <w:rPr>
          <w:rFonts w:ascii="Arial" w:hAnsi="Arial" w:cs="Arial"/>
          <w:sz w:val="24"/>
          <w:szCs w:val="24"/>
        </w:rPr>
        <w:t xml:space="preserve"> 2015. A dividend reinvestment plan (DRIP) is available to shareholders who would prefer to invest their dividends in the shares of the Company. The shares will go ex-dividend on </w:t>
      </w:r>
      <w:r w:rsidR="008B70FB">
        <w:rPr>
          <w:rFonts w:ascii="Arial" w:hAnsi="Arial" w:cs="Arial"/>
          <w:sz w:val="24"/>
          <w:szCs w:val="24"/>
        </w:rPr>
        <w:t xml:space="preserve">8 </w:t>
      </w:r>
      <w:r w:rsidRPr="00D160A1">
        <w:rPr>
          <w:rFonts w:ascii="Arial" w:hAnsi="Arial" w:cs="Arial"/>
          <w:sz w:val="24"/>
          <w:szCs w:val="24"/>
        </w:rPr>
        <w:t xml:space="preserve">October 2015. For those shareholders electing to receive the DRIP the last date for receipt of election is </w:t>
      </w:r>
      <w:r w:rsidR="008B70FB">
        <w:rPr>
          <w:rFonts w:ascii="Arial" w:hAnsi="Arial" w:cs="Arial"/>
          <w:sz w:val="24"/>
          <w:szCs w:val="24"/>
        </w:rPr>
        <w:t xml:space="preserve">23 </w:t>
      </w:r>
      <w:r w:rsidRPr="00D160A1">
        <w:rPr>
          <w:rFonts w:ascii="Arial" w:hAnsi="Arial" w:cs="Arial"/>
          <w:sz w:val="24"/>
          <w:szCs w:val="24"/>
        </w:rPr>
        <w:t>October 2015.</w:t>
      </w:r>
    </w:p>
    <w:p w14:paraId="63DCE533" w14:textId="77777777" w:rsidR="003A298D" w:rsidRPr="00D160A1" w:rsidRDefault="003A298D" w:rsidP="003A298D">
      <w:pPr>
        <w:jc w:val="left"/>
        <w:rPr>
          <w:rFonts w:ascii="Arial" w:hAnsi="Arial" w:cs="Arial"/>
          <w:sz w:val="24"/>
          <w:szCs w:val="24"/>
        </w:rPr>
      </w:pPr>
    </w:p>
    <w:p w14:paraId="2C51B763" w14:textId="6AFF1F7A" w:rsidR="003A298D" w:rsidRPr="00676684" w:rsidRDefault="003A298D" w:rsidP="003A298D">
      <w:pPr>
        <w:ind w:right="-368"/>
        <w:jc w:val="left"/>
        <w:rPr>
          <w:rFonts w:ascii="Arial" w:hAnsi="Arial" w:cs="Arial"/>
          <w:sz w:val="24"/>
          <w:szCs w:val="24"/>
        </w:rPr>
      </w:pPr>
      <w:r w:rsidRPr="00D160A1">
        <w:rPr>
          <w:rFonts w:ascii="Arial" w:hAnsi="Arial" w:cs="Arial"/>
          <w:sz w:val="24"/>
          <w:szCs w:val="24"/>
        </w:rPr>
        <w:t xml:space="preserve">In addition to the ordinary dividend Kingfisher has implemented a multi-year capital returns programme to return surplus capital to shareholders. </w:t>
      </w:r>
      <w:r w:rsidR="008B70FB">
        <w:rPr>
          <w:rFonts w:ascii="Arial" w:hAnsi="Arial" w:cs="Arial"/>
          <w:sz w:val="24"/>
          <w:szCs w:val="24"/>
        </w:rPr>
        <w:t>Of the £200 million due to be returned in FY 2015/16, £139 million has been returned during H1</w:t>
      </w:r>
      <w:r w:rsidR="003B6486">
        <w:rPr>
          <w:rFonts w:ascii="Arial" w:hAnsi="Arial" w:cs="Arial"/>
          <w:sz w:val="24"/>
          <w:szCs w:val="24"/>
        </w:rPr>
        <w:t xml:space="preserve"> (£160m to date)</w:t>
      </w:r>
      <w:r w:rsidR="008B70FB">
        <w:rPr>
          <w:rFonts w:ascii="Arial" w:hAnsi="Arial" w:cs="Arial"/>
          <w:sz w:val="24"/>
          <w:szCs w:val="24"/>
        </w:rPr>
        <w:t xml:space="preserve"> via </w:t>
      </w:r>
      <w:r w:rsidR="00453AB5">
        <w:rPr>
          <w:rFonts w:ascii="Arial" w:hAnsi="Arial" w:cs="Arial"/>
          <w:sz w:val="24"/>
          <w:szCs w:val="24"/>
        </w:rPr>
        <w:t>share buy</w:t>
      </w:r>
      <w:r w:rsidR="008B70FB">
        <w:rPr>
          <w:rFonts w:ascii="Arial" w:hAnsi="Arial" w:cs="Arial"/>
          <w:sz w:val="24"/>
          <w:szCs w:val="24"/>
        </w:rPr>
        <w:t xml:space="preserve">back </w:t>
      </w:r>
      <w:r w:rsidRPr="00D160A1">
        <w:rPr>
          <w:rFonts w:ascii="Arial" w:hAnsi="Arial" w:cs="Arial"/>
          <w:sz w:val="24"/>
          <w:szCs w:val="24"/>
        </w:rPr>
        <w:t>with the balance expected to be returned as a share buyback over the remainder of the year.</w:t>
      </w:r>
    </w:p>
    <w:p w14:paraId="55F50CFB" w14:textId="77777777" w:rsidR="003A298D" w:rsidRDefault="003A298D" w:rsidP="003A298D"/>
    <w:p w14:paraId="34FFE5FB" w14:textId="77777777" w:rsidR="003A298D" w:rsidRPr="00D461B1" w:rsidRDefault="003A298D" w:rsidP="003A298D">
      <w:pPr>
        <w:jc w:val="left"/>
        <w:rPr>
          <w:rFonts w:ascii="Arial" w:hAnsi="Arial" w:cs="Arial"/>
          <w:b/>
          <w:sz w:val="24"/>
          <w:szCs w:val="24"/>
        </w:rPr>
      </w:pPr>
      <w:r w:rsidRPr="00D461B1">
        <w:rPr>
          <w:rFonts w:ascii="Arial" w:hAnsi="Arial" w:cs="Arial"/>
          <w:b/>
          <w:sz w:val="24"/>
          <w:szCs w:val="24"/>
        </w:rPr>
        <w:t>Taxation</w:t>
      </w:r>
    </w:p>
    <w:p w14:paraId="58269E22" w14:textId="77777777" w:rsidR="003A298D" w:rsidRPr="00D461B1" w:rsidRDefault="003A298D" w:rsidP="003A298D">
      <w:pPr>
        <w:jc w:val="left"/>
        <w:rPr>
          <w:rFonts w:ascii="Arial" w:hAnsi="Arial" w:cs="Arial"/>
          <w:b/>
          <w:sz w:val="24"/>
          <w:szCs w:val="24"/>
        </w:rPr>
      </w:pPr>
    </w:p>
    <w:p w14:paraId="13FD87FF" w14:textId="028CA1F1" w:rsidR="00251194" w:rsidRDefault="003A298D" w:rsidP="00251194">
      <w:pPr>
        <w:autoSpaceDE w:val="0"/>
        <w:autoSpaceDN w:val="0"/>
        <w:adjustRightInd w:val="0"/>
        <w:jc w:val="left"/>
        <w:rPr>
          <w:rFonts w:ascii="Arial" w:hAnsi="Arial" w:cs="Arial"/>
          <w:sz w:val="24"/>
          <w:szCs w:val="24"/>
        </w:rPr>
      </w:pPr>
      <w:r w:rsidRPr="00D461B1">
        <w:rPr>
          <w:rFonts w:ascii="Arial" w:hAnsi="Arial" w:cs="Arial"/>
          <w:sz w:val="24"/>
          <w:szCs w:val="24"/>
        </w:rPr>
        <w:t>The effective rate of corporation tax, calculated on profit before exceptional items and prior ye</w:t>
      </w:r>
      <w:r w:rsidR="00646BD3">
        <w:rPr>
          <w:rFonts w:ascii="Arial" w:hAnsi="Arial" w:cs="Arial"/>
          <w:sz w:val="24"/>
          <w:szCs w:val="24"/>
        </w:rPr>
        <w:t xml:space="preserve">ar tax </w:t>
      </w:r>
      <w:r w:rsidR="00091980">
        <w:rPr>
          <w:rFonts w:ascii="Arial" w:hAnsi="Arial" w:cs="Arial"/>
          <w:sz w:val="24"/>
          <w:szCs w:val="24"/>
        </w:rPr>
        <w:t xml:space="preserve">adjustments, </w:t>
      </w:r>
      <w:r w:rsidR="003C3EAC">
        <w:rPr>
          <w:rFonts w:ascii="Arial" w:hAnsi="Arial" w:cs="Arial"/>
          <w:sz w:val="24"/>
          <w:szCs w:val="24"/>
        </w:rPr>
        <w:t xml:space="preserve">was </w:t>
      </w:r>
      <w:r w:rsidR="00091980">
        <w:rPr>
          <w:rFonts w:ascii="Arial" w:hAnsi="Arial" w:cs="Arial"/>
          <w:sz w:val="24"/>
          <w:szCs w:val="24"/>
        </w:rPr>
        <w:t>26% (2014/15: 27</w:t>
      </w:r>
      <w:r w:rsidRPr="00D461B1">
        <w:rPr>
          <w:rFonts w:ascii="Arial" w:hAnsi="Arial" w:cs="Arial"/>
          <w:sz w:val="24"/>
          <w:szCs w:val="24"/>
        </w:rPr>
        <w:t>%).</w:t>
      </w:r>
      <w:r w:rsidR="00251194" w:rsidRPr="00251194">
        <w:rPr>
          <w:rFonts w:ascii="Arial" w:hAnsi="Arial" w:cs="Arial"/>
          <w:sz w:val="24"/>
          <w:szCs w:val="24"/>
        </w:rPr>
        <w:t xml:space="preserve"> </w:t>
      </w:r>
    </w:p>
    <w:p w14:paraId="66CB412C" w14:textId="77777777" w:rsidR="00422B92" w:rsidRDefault="00422B92" w:rsidP="00251194">
      <w:pPr>
        <w:autoSpaceDE w:val="0"/>
        <w:autoSpaceDN w:val="0"/>
        <w:adjustRightInd w:val="0"/>
        <w:jc w:val="left"/>
        <w:rPr>
          <w:rFonts w:ascii="Arial" w:hAnsi="Arial" w:cs="Arial"/>
          <w:sz w:val="24"/>
          <w:szCs w:val="24"/>
        </w:rPr>
      </w:pPr>
    </w:p>
    <w:p w14:paraId="5C8D50EC" w14:textId="21E6B824" w:rsidR="003A298D" w:rsidRPr="00D461B1" w:rsidRDefault="00251194" w:rsidP="00926779">
      <w:pPr>
        <w:autoSpaceDE w:val="0"/>
        <w:autoSpaceDN w:val="0"/>
        <w:adjustRightInd w:val="0"/>
        <w:jc w:val="left"/>
        <w:rPr>
          <w:rFonts w:ascii="Arial" w:hAnsi="Arial" w:cs="Arial"/>
          <w:sz w:val="24"/>
          <w:szCs w:val="24"/>
        </w:rPr>
      </w:pPr>
      <w:r w:rsidRPr="00D461B1">
        <w:rPr>
          <w:rFonts w:ascii="Arial" w:hAnsi="Arial" w:cs="Arial"/>
          <w:sz w:val="24"/>
          <w:szCs w:val="24"/>
        </w:rPr>
        <w:t xml:space="preserve">The overall rate of tax includes the impact of exceptional items and prior year tax adjustments. The impact of such items in the period results in a rate of 18% reflecting one off transactions which are not subject to tax. </w:t>
      </w:r>
    </w:p>
    <w:p w14:paraId="6FA7D845" w14:textId="77777777" w:rsidR="00091980" w:rsidRDefault="00091980" w:rsidP="00091980">
      <w:pPr>
        <w:rPr>
          <w:rFonts w:ascii="Arial" w:hAnsi="Arial" w:cs="Arial"/>
          <w:sz w:val="24"/>
          <w:szCs w:val="24"/>
        </w:rPr>
      </w:pPr>
    </w:p>
    <w:p w14:paraId="58F6E474" w14:textId="77777777" w:rsidR="00087315" w:rsidRPr="00D461B1" w:rsidRDefault="00087315" w:rsidP="00091980">
      <w:pPr>
        <w:rPr>
          <w:rFonts w:ascii="Arial" w:hAnsi="Arial" w:cs="Arial"/>
          <w:sz w:val="24"/>
          <w:szCs w:val="24"/>
        </w:rPr>
      </w:pPr>
    </w:p>
    <w:tbl>
      <w:tblPr>
        <w:tblW w:w="5000" w:type="pct"/>
        <w:tblLook w:val="01E0" w:firstRow="1" w:lastRow="1" w:firstColumn="1" w:lastColumn="1" w:noHBand="0" w:noVBand="0"/>
      </w:tblPr>
      <w:tblGrid>
        <w:gridCol w:w="4652"/>
        <w:gridCol w:w="1247"/>
        <w:gridCol w:w="1248"/>
        <w:gridCol w:w="1248"/>
        <w:gridCol w:w="1246"/>
      </w:tblGrid>
      <w:tr w:rsidR="00091980" w:rsidRPr="00D461B1" w14:paraId="733137FC" w14:textId="77777777" w:rsidTr="00B66BBE">
        <w:trPr>
          <w:trHeight w:val="516"/>
        </w:trPr>
        <w:tc>
          <w:tcPr>
            <w:tcW w:w="2413" w:type="pct"/>
            <w:tcBorders>
              <w:top w:val="nil"/>
              <w:left w:val="nil"/>
              <w:bottom w:val="single" w:sz="4" w:space="0" w:color="auto"/>
              <w:right w:val="nil"/>
            </w:tcBorders>
            <w:hideMark/>
          </w:tcPr>
          <w:p w14:paraId="1520C6BB" w14:textId="77777777" w:rsidR="00091980" w:rsidRPr="00D461B1" w:rsidRDefault="00091980" w:rsidP="00B66BBE">
            <w:pPr>
              <w:rPr>
                <w:rFonts w:ascii="Arial" w:hAnsi="Arial" w:cs="Arial"/>
                <w:b/>
                <w:sz w:val="24"/>
                <w:szCs w:val="24"/>
              </w:rPr>
            </w:pPr>
            <w:r w:rsidRPr="00D461B1">
              <w:rPr>
                <w:rFonts w:ascii="Arial" w:hAnsi="Arial" w:cs="Arial"/>
                <w:b/>
                <w:sz w:val="24"/>
                <w:szCs w:val="24"/>
              </w:rPr>
              <w:t>Effective tax rate calculation</w:t>
            </w:r>
          </w:p>
        </w:tc>
        <w:tc>
          <w:tcPr>
            <w:tcW w:w="647" w:type="pct"/>
            <w:tcBorders>
              <w:top w:val="nil"/>
              <w:left w:val="nil"/>
              <w:bottom w:val="single" w:sz="4" w:space="0" w:color="auto"/>
              <w:right w:val="nil"/>
            </w:tcBorders>
            <w:hideMark/>
          </w:tcPr>
          <w:p w14:paraId="2574AA8F" w14:textId="77777777" w:rsidR="00091980" w:rsidRPr="00D461B1" w:rsidRDefault="00091980" w:rsidP="00B66BBE">
            <w:pPr>
              <w:jc w:val="right"/>
              <w:rPr>
                <w:rFonts w:ascii="Arial" w:hAnsi="Arial" w:cs="Arial"/>
                <w:b/>
                <w:sz w:val="24"/>
                <w:szCs w:val="24"/>
              </w:rPr>
            </w:pPr>
            <w:r w:rsidRPr="00D461B1">
              <w:rPr>
                <w:rFonts w:ascii="Arial" w:hAnsi="Arial" w:cs="Arial"/>
                <w:b/>
                <w:sz w:val="24"/>
                <w:szCs w:val="24"/>
              </w:rPr>
              <w:t>Profit</w:t>
            </w:r>
          </w:p>
          <w:p w14:paraId="07BFF363" w14:textId="77777777" w:rsidR="00091980" w:rsidRPr="00D461B1" w:rsidRDefault="00091980" w:rsidP="00B66BBE">
            <w:pPr>
              <w:jc w:val="right"/>
              <w:rPr>
                <w:rFonts w:ascii="Arial" w:hAnsi="Arial" w:cs="Arial"/>
                <w:b/>
                <w:sz w:val="24"/>
                <w:szCs w:val="24"/>
              </w:rPr>
            </w:pPr>
            <w:r w:rsidRPr="00D461B1">
              <w:rPr>
                <w:rFonts w:ascii="Arial" w:hAnsi="Arial" w:cs="Arial"/>
                <w:b/>
                <w:sz w:val="24"/>
                <w:szCs w:val="24"/>
              </w:rPr>
              <w:t>£m</w:t>
            </w:r>
          </w:p>
        </w:tc>
        <w:tc>
          <w:tcPr>
            <w:tcW w:w="647" w:type="pct"/>
            <w:tcBorders>
              <w:top w:val="nil"/>
              <w:left w:val="nil"/>
              <w:bottom w:val="single" w:sz="4" w:space="0" w:color="auto"/>
              <w:right w:val="nil"/>
            </w:tcBorders>
            <w:hideMark/>
          </w:tcPr>
          <w:p w14:paraId="69E8E2B9" w14:textId="77777777" w:rsidR="00091980" w:rsidRPr="00D461B1" w:rsidRDefault="00091980" w:rsidP="00B66BBE">
            <w:pPr>
              <w:jc w:val="right"/>
              <w:rPr>
                <w:rFonts w:ascii="Arial" w:hAnsi="Arial" w:cs="Arial"/>
                <w:b/>
                <w:sz w:val="24"/>
                <w:szCs w:val="24"/>
              </w:rPr>
            </w:pPr>
            <w:r w:rsidRPr="00D461B1">
              <w:rPr>
                <w:rFonts w:ascii="Arial" w:hAnsi="Arial" w:cs="Arial"/>
                <w:b/>
                <w:sz w:val="24"/>
                <w:szCs w:val="24"/>
              </w:rPr>
              <w:t xml:space="preserve">Tax </w:t>
            </w:r>
          </w:p>
          <w:p w14:paraId="264EB12B" w14:textId="77777777" w:rsidR="00091980" w:rsidRPr="00D461B1" w:rsidRDefault="00091980" w:rsidP="00B66BBE">
            <w:pPr>
              <w:jc w:val="right"/>
              <w:rPr>
                <w:rFonts w:ascii="Arial" w:hAnsi="Arial" w:cs="Arial"/>
                <w:b/>
                <w:sz w:val="24"/>
                <w:szCs w:val="24"/>
              </w:rPr>
            </w:pPr>
            <w:r w:rsidRPr="00D461B1">
              <w:rPr>
                <w:rFonts w:ascii="Arial" w:hAnsi="Arial" w:cs="Arial"/>
                <w:b/>
                <w:sz w:val="24"/>
                <w:szCs w:val="24"/>
              </w:rPr>
              <w:t>£m</w:t>
            </w:r>
          </w:p>
        </w:tc>
        <w:tc>
          <w:tcPr>
            <w:tcW w:w="647" w:type="pct"/>
            <w:tcBorders>
              <w:top w:val="nil"/>
              <w:left w:val="nil"/>
              <w:bottom w:val="single" w:sz="4" w:space="0" w:color="auto"/>
              <w:right w:val="nil"/>
            </w:tcBorders>
            <w:hideMark/>
          </w:tcPr>
          <w:p w14:paraId="33EF8FEB" w14:textId="77777777" w:rsidR="00091980" w:rsidRPr="00D461B1" w:rsidRDefault="00091980" w:rsidP="00B66BBE">
            <w:pPr>
              <w:jc w:val="right"/>
              <w:rPr>
                <w:rFonts w:ascii="Arial" w:hAnsi="Arial" w:cs="Arial"/>
                <w:b/>
                <w:sz w:val="24"/>
                <w:szCs w:val="24"/>
              </w:rPr>
            </w:pPr>
            <w:r w:rsidRPr="00D461B1">
              <w:rPr>
                <w:rFonts w:ascii="Arial" w:hAnsi="Arial" w:cs="Arial"/>
                <w:b/>
                <w:sz w:val="24"/>
                <w:szCs w:val="24"/>
              </w:rPr>
              <w:t>2015/16 %</w:t>
            </w:r>
          </w:p>
        </w:tc>
        <w:tc>
          <w:tcPr>
            <w:tcW w:w="647" w:type="pct"/>
            <w:tcBorders>
              <w:top w:val="nil"/>
              <w:left w:val="nil"/>
              <w:bottom w:val="single" w:sz="4" w:space="0" w:color="auto"/>
              <w:right w:val="nil"/>
            </w:tcBorders>
            <w:hideMark/>
          </w:tcPr>
          <w:p w14:paraId="08710749" w14:textId="77777777" w:rsidR="00091980" w:rsidRPr="00D461B1" w:rsidRDefault="00091980" w:rsidP="00B66BBE">
            <w:pPr>
              <w:jc w:val="right"/>
              <w:rPr>
                <w:rFonts w:ascii="Arial" w:hAnsi="Arial" w:cs="Arial"/>
                <w:sz w:val="24"/>
                <w:szCs w:val="24"/>
              </w:rPr>
            </w:pPr>
            <w:r w:rsidRPr="00D461B1">
              <w:rPr>
                <w:rFonts w:ascii="Arial" w:hAnsi="Arial" w:cs="Arial"/>
                <w:sz w:val="24"/>
                <w:szCs w:val="24"/>
              </w:rPr>
              <w:t>2014/15 %</w:t>
            </w:r>
          </w:p>
        </w:tc>
      </w:tr>
      <w:tr w:rsidR="00091980" w:rsidRPr="00D461B1" w14:paraId="3F46906C" w14:textId="77777777" w:rsidTr="00B66BBE">
        <w:tc>
          <w:tcPr>
            <w:tcW w:w="2413" w:type="pct"/>
            <w:tcBorders>
              <w:top w:val="single" w:sz="4" w:space="0" w:color="auto"/>
              <w:left w:val="nil"/>
              <w:bottom w:val="nil"/>
              <w:right w:val="nil"/>
            </w:tcBorders>
            <w:hideMark/>
          </w:tcPr>
          <w:p w14:paraId="423DAECA" w14:textId="77777777" w:rsidR="00091980" w:rsidRPr="00D461B1" w:rsidRDefault="00091980" w:rsidP="00B66BBE">
            <w:pPr>
              <w:rPr>
                <w:rFonts w:ascii="Arial" w:hAnsi="Arial" w:cs="Arial"/>
                <w:sz w:val="24"/>
                <w:szCs w:val="24"/>
              </w:rPr>
            </w:pPr>
            <w:r w:rsidRPr="00D461B1">
              <w:rPr>
                <w:rFonts w:ascii="Arial" w:hAnsi="Arial" w:cs="Arial"/>
                <w:sz w:val="24"/>
                <w:szCs w:val="24"/>
              </w:rPr>
              <w:t xml:space="preserve">Profit before tax and </w:t>
            </w:r>
            <w:r>
              <w:rPr>
                <w:rFonts w:ascii="Arial" w:hAnsi="Arial" w:cs="Arial"/>
                <w:sz w:val="24"/>
                <w:szCs w:val="24"/>
              </w:rPr>
              <w:t>exceptional items</w:t>
            </w:r>
          </w:p>
        </w:tc>
        <w:tc>
          <w:tcPr>
            <w:tcW w:w="647" w:type="pct"/>
            <w:tcBorders>
              <w:top w:val="single" w:sz="4" w:space="0" w:color="auto"/>
              <w:left w:val="nil"/>
              <w:bottom w:val="nil"/>
              <w:right w:val="nil"/>
            </w:tcBorders>
          </w:tcPr>
          <w:p w14:paraId="5367591E" w14:textId="77777777" w:rsidR="00091980" w:rsidRPr="00D461B1" w:rsidRDefault="00091980" w:rsidP="00B66BBE">
            <w:pPr>
              <w:jc w:val="right"/>
              <w:rPr>
                <w:rFonts w:ascii="Arial" w:hAnsi="Arial" w:cs="Arial"/>
                <w:b/>
                <w:sz w:val="24"/>
                <w:szCs w:val="24"/>
              </w:rPr>
            </w:pPr>
            <w:r>
              <w:rPr>
                <w:rFonts w:ascii="Arial" w:hAnsi="Arial" w:cs="Arial"/>
                <w:b/>
                <w:sz w:val="24"/>
                <w:szCs w:val="24"/>
              </w:rPr>
              <w:t>377</w:t>
            </w:r>
          </w:p>
        </w:tc>
        <w:tc>
          <w:tcPr>
            <w:tcW w:w="647" w:type="pct"/>
            <w:tcBorders>
              <w:top w:val="single" w:sz="4" w:space="0" w:color="auto"/>
              <w:left w:val="nil"/>
              <w:bottom w:val="nil"/>
              <w:right w:val="nil"/>
            </w:tcBorders>
          </w:tcPr>
          <w:p w14:paraId="3ED2B6A8" w14:textId="77777777" w:rsidR="00091980" w:rsidRPr="00D461B1" w:rsidRDefault="00091980" w:rsidP="00B66BBE">
            <w:pPr>
              <w:jc w:val="right"/>
              <w:rPr>
                <w:rFonts w:ascii="Arial" w:hAnsi="Arial" w:cs="Arial"/>
                <w:b/>
                <w:sz w:val="24"/>
                <w:szCs w:val="24"/>
              </w:rPr>
            </w:pPr>
            <w:r w:rsidRPr="00D461B1">
              <w:rPr>
                <w:rFonts w:ascii="Arial" w:hAnsi="Arial" w:cs="Arial"/>
                <w:b/>
                <w:sz w:val="24"/>
                <w:szCs w:val="24"/>
              </w:rPr>
              <w:t>(98)</w:t>
            </w:r>
          </w:p>
        </w:tc>
        <w:tc>
          <w:tcPr>
            <w:tcW w:w="647" w:type="pct"/>
            <w:tcBorders>
              <w:top w:val="single" w:sz="4" w:space="0" w:color="auto"/>
              <w:left w:val="nil"/>
              <w:bottom w:val="nil"/>
              <w:right w:val="nil"/>
            </w:tcBorders>
            <w:hideMark/>
          </w:tcPr>
          <w:p w14:paraId="34B60DF1" w14:textId="77777777" w:rsidR="00091980" w:rsidRPr="00D461B1" w:rsidRDefault="00091980" w:rsidP="00B66BBE">
            <w:pPr>
              <w:jc w:val="right"/>
              <w:rPr>
                <w:rFonts w:ascii="Arial" w:hAnsi="Arial" w:cs="Arial"/>
                <w:b/>
                <w:sz w:val="24"/>
                <w:szCs w:val="24"/>
              </w:rPr>
            </w:pPr>
            <w:r w:rsidRPr="00D461B1">
              <w:rPr>
                <w:rFonts w:ascii="Arial" w:hAnsi="Arial" w:cs="Arial"/>
                <w:b/>
                <w:sz w:val="24"/>
                <w:szCs w:val="24"/>
              </w:rPr>
              <w:t>26%</w:t>
            </w:r>
          </w:p>
        </w:tc>
        <w:tc>
          <w:tcPr>
            <w:tcW w:w="647" w:type="pct"/>
            <w:tcBorders>
              <w:top w:val="single" w:sz="4" w:space="0" w:color="auto"/>
              <w:left w:val="nil"/>
              <w:bottom w:val="nil"/>
              <w:right w:val="nil"/>
            </w:tcBorders>
            <w:hideMark/>
          </w:tcPr>
          <w:p w14:paraId="4741B842" w14:textId="77777777" w:rsidR="00091980" w:rsidRPr="00D461B1" w:rsidRDefault="00091980" w:rsidP="00B66BBE">
            <w:pPr>
              <w:jc w:val="right"/>
              <w:rPr>
                <w:rFonts w:ascii="Arial" w:hAnsi="Arial" w:cs="Arial"/>
                <w:sz w:val="24"/>
                <w:szCs w:val="24"/>
              </w:rPr>
            </w:pPr>
            <w:r>
              <w:rPr>
                <w:rFonts w:ascii="Arial" w:hAnsi="Arial" w:cs="Arial"/>
                <w:sz w:val="24"/>
                <w:szCs w:val="24"/>
              </w:rPr>
              <w:t>27</w:t>
            </w:r>
            <w:r w:rsidRPr="00D461B1">
              <w:rPr>
                <w:rFonts w:ascii="Arial" w:hAnsi="Arial" w:cs="Arial"/>
                <w:sz w:val="24"/>
                <w:szCs w:val="24"/>
              </w:rPr>
              <w:t>%</w:t>
            </w:r>
          </w:p>
        </w:tc>
      </w:tr>
      <w:tr w:rsidR="00091980" w:rsidRPr="00D461B1" w14:paraId="77306E88" w14:textId="77777777" w:rsidTr="00B66BBE">
        <w:tc>
          <w:tcPr>
            <w:tcW w:w="2413" w:type="pct"/>
            <w:hideMark/>
          </w:tcPr>
          <w:p w14:paraId="111F4DEA" w14:textId="77777777" w:rsidR="00091980" w:rsidRPr="00D461B1" w:rsidRDefault="00091980" w:rsidP="00B66BBE">
            <w:pPr>
              <w:rPr>
                <w:rFonts w:ascii="Arial" w:hAnsi="Arial" w:cs="Arial"/>
                <w:sz w:val="24"/>
                <w:szCs w:val="24"/>
              </w:rPr>
            </w:pPr>
            <w:r w:rsidRPr="00D461B1">
              <w:rPr>
                <w:rFonts w:ascii="Arial" w:hAnsi="Arial" w:cs="Arial"/>
                <w:sz w:val="24"/>
                <w:szCs w:val="24"/>
              </w:rPr>
              <w:t>Exceptional items</w:t>
            </w:r>
          </w:p>
        </w:tc>
        <w:tc>
          <w:tcPr>
            <w:tcW w:w="647" w:type="pct"/>
          </w:tcPr>
          <w:p w14:paraId="78FCB2D7" w14:textId="58B0A3CC" w:rsidR="00091980" w:rsidRPr="00D461B1" w:rsidRDefault="00121D2D" w:rsidP="00B66BBE">
            <w:pPr>
              <w:jc w:val="right"/>
              <w:rPr>
                <w:rFonts w:ascii="Arial" w:hAnsi="Arial" w:cs="Arial"/>
                <w:b/>
                <w:sz w:val="24"/>
                <w:szCs w:val="24"/>
              </w:rPr>
            </w:pPr>
            <w:r>
              <w:rPr>
                <w:rFonts w:ascii="Arial" w:hAnsi="Arial" w:cs="Arial"/>
                <w:b/>
                <w:sz w:val="24"/>
                <w:szCs w:val="24"/>
              </w:rPr>
              <w:t>9</w:t>
            </w:r>
          </w:p>
        </w:tc>
        <w:tc>
          <w:tcPr>
            <w:tcW w:w="647" w:type="pct"/>
          </w:tcPr>
          <w:p w14:paraId="1165E216" w14:textId="77777777" w:rsidR="00091980" w:rsidRPr="00D461B1" w:rsidRDefault="00091980" w:rsidP="00B66BBE">
            <w:pPr>
              <w:jc w:val="right"/>
              <w:rPr>
                <w:rFonts w:ascii="Arial" w:hAnsi="Arial" w:cs="Arial"/>
                <w:b/>
                <w:sz w:val="24"/>
                <w:szCs w:val="24"/>
              </w:rPr>
            </w:pPr>
            <w:r>
              <w:rPr>
                <w:rFonts w:ascii="Arial" w:hAnsi="Arial" w:cs="Arial"/>
                <w:b/>
                <w:sz w:val="24"/>
                <w:szCs w:val="24"/>
              </w:rPr>
              <w:t>29</w:t>
            </w:r>
          </w:p>
        </w:tc>
        <w:tc>
          <w:tcPr>
            <w:tcW w:w="647" w:type="pct"/>
          </w:tcPr>
          <w:p w14:paraId="0C9F22C3" w14:textId="77777777" w:rsidR="00091980" w:rsidRPr="00D461B1" w:rsidRDefault="00091980" w:rsidP="00B66BBE">
            <w:pPr>
              <w:jc w:val="right"/>
              <w:rPr>
                <w:rFonts w:ascii="Arial" w:hAnsi="Arial" w:cs="Arial"/>
                <w:b/>
                <w:sz w:val="24"/>
                <w:szCs w:val="24"/>
              </w:rPr>
            </w:pPr>
          </w:p>
        </w:tc>
        <w:tc>
          <w:tcPr>
            <w:tcW w:w="647" w:type="pct"/>
          </w:tcPr>
          <w:p w14:paraId="5005523B" w14:textId="77777777" w:rsidR="00091980" w:rsidRPr="00D461B1" w:rsidRDefault="00091980" w:rsidP="00B66BBE">
            <w:pPr>
              <w:jc w:val="right"/>
              <w:rPr>
                <w:rFonts w:ascii="Arial" w:hAnsi="Arial" w:cs="Arial"/>
                <w:sz w:val="24"/>
                <w:szCs w:val="24"/>
              </w:rPr>
            </w:pPr>
          </w:p>
        </w:tc>
      </w:tr>
      <w:tr w:rsidR="00091980" w:rsidRPr="00D461B1" w14:paraId="4B4E57D3" w14:textId="77777777" w:rsidTr="00B66BBE">
        <w:tc>
          <w:tcPr>
            <w:tcW w:w="2413" w:type="pct"/>
            <w:tcBorders>
              <w:top w:val="nil"/>
              <w:left w:val="nil"/>
              <w:bottom w:val="single" w:sz="4" w:space="0" w:color="auto"/>
              <w:right w:val="nil"/>
            </w:tcBorders>
            <w:hideMark/>
          </w:tcPr>
          <w:p w14:paraId="180D5417" w14:textId="77777777" w:rsidR="00091980" w:rsidRPr="00D461B1" w:rsidRDefault="00091980" w:rsidP="00B66BBE">
            <w:pPr>
              <w:rPr>
                <w:rFonts w:ascii="Arial" w:hAnsi="Arial" w:cs="Arial"/>
                <w:sz w:val="24"/>
                <w:szCs w:val="24"/>
              </w:rPr>
            </w:pPr>
            <w:r w:rsidRPr="00D461B1">
              <w:rPr>
                <w:rFonts w:ascii="Arial" w:hAnsi="Arial" w:cs="Arial"/>
                <w:sz w:val="24"/>
                <w:szCs w:val="24"/>
              </w:rPr>
              <w:t xml:space="preserve">Prior year items </w:t>
            </w:r>
          </w:p>
        </w:tc>
        <w:tc>
          <w:tcPr>
            <w:tcW w:w="647" w:type="pct"/>
            <w:tcBorders>
              <w:top w:val="nil"/>
              <w:left w:val="nil"/>
              <w:bottom w:val="single" w:sz="4" w:space="0" w:color="auto"/>
              <w:right w:val="nil"/>
            </w:tcBorders>
          </w:tcPr>
          <w:p w14:paraId="525FB36C" w14:textId="77777777" w:rsidR="00091980" w:rsidRPr="00D461B1" w:rsidRDefault="00091980" w:rsidP="00B66BBE">
            <w:pPr>
              <w:jc w:val="right"/>
              <w:rPr>
                <w:rFonts w:ascii="Arial" w:hAnsi="Arial" w:cs="Arial"/>
                <w:b/>
                <w:sz w:val="24"/>
                <w:szCs w:val="24"/>
              </w:rPr>
            </w:pPr>
          </w:p>
        </w:tc>
        <w:tc>
          <w:tcPr>
            <w:tcW w:w="647" w:type="pct"/>
            <w:tcBorders>
              <w:top w:val="nil"/>
              <w:left w:val="nil"/>
              <w:bottom w:val="single" w:sz="4" w:space="0" w:color="auto"/>
              <w:right w:val="nil"/>
            </w:tcBorders>
          </w:tcPr>
          <w:p w14:paraId="3C73117F" w14:textId="77777777" w:rsidR="00091980" w:rsidRPr="00D461B1" w:rsidRDefault="00091980" w:rsidP="00B66BBE">
            <w:pPr>
              <w:jc w:val="right"/>
              <w:rPr>
                <w:rFonts w:ascii="Arial" w:hAnsi="Arial" w:cs="Arial"/>
                <w:b/>
                <w:sz w:val="24"/>
                <w:szCs w:val="24"/>
              </w:rPr>
            </w:pPr>
            <w:r>
              <w:rPr>
                <w:rFonts w:ascii="Arial" w:hAnsi="Arial" w:cs="Arial"/>
                <w:b/>
                <w:sz w:val="24"/>
                <w:szCs w:val="24"/>
              </w:rPr>
              <w:t>1</w:t>
            </w:r>
          </w:p>
        </w:tc>
        <w:tc>
          <w:tcPr>
            <w:tcW w:w="647" w:type="pct"/>
            <w:tcBorders>
              <w:top w:val="nil"/>
              <w:left w:val="nil"/>
              <w:bottom w:val="single" w:sz="4" w:space="0" w:color="auto"/>
              <w:right w:val="nil"/>
            </w:tcBorders>
          </w:tcPr>
          <w:p w14:paraId="2573181E" w14:textId="77777777" w:rsidR="00091980" w:rsidRPr="00D461B1" w:rsidRDefault="00091980" w:rsidP="00B66BBE">
            <w:pPr>
              <w:jc w:val="right"/>
              <w:rPr>
                <w:rFonts w:ascii="Arial" w:hAnsi="Arial" w:cs="Arial"/>
                <w:b/>
                <w:sz w:val="24"/>
                <w:szCs w:val="24"/>
              </w:rPr>
            </w:pPr>
          </w:p>
        </w:tc>
        <w:tc>
          <w:tcPr>
            <w:tcW w:w="647" w:type="pct"/>
            <w:tcBorders>
              <w:top w:val="nil"/>
              <w:left w:val="nil"/>
              <w:bottom w:val="single" w:sz="4" w:space="0" w:color="auto"/>
              <w:right w:val="nil"/>
            </w:tcBorders>
          </w:tcPr>
          <w:p w14:paraId="4B710EB7" w14:textId="77777777" w:rsidR="00091980" w:rsidRPr="00D461B1" w:rsidRDefault="00091980" w:rsidP="00B66BBE">
            <w:pPr>
              <w:jc w:val="right"/>
              <w:rPr>
                <w:rFonts w:ascii="Arial" w:hAnsi="Arial" w:cs="Arial"/>
                <w:sz w:val="24"/>
                <w:szCs w:val="24"/>
              </w:rPr>
            </w:pPr>
          </w:p>
        </w:tc>
      </w:tr>
      <w:tr w:rsidR="00091980" w:rsidRPr="00D461B1" w14:paraId="2739A323" w14:textId="77777777" w:rsidTr="00B66BBE">
        <w:tc>
          <w:tcPr>
            <w:tcW w:w="2413" w:type="pct"/>
            <w:tcBorders>
              <w:top w:val="single" w:sz="4" w:space="0" w:color="auto"/>
              <w:left w:val="nil"/>
              <w:bottom w:val="single" w:sz="4" w:space="0" w:color="auto"/>
              <w:right w:val="nil"/>
            </w:tcBorders>
            <w:hideMark/>
          </w:tcPr>
          <w:p w14:paraId="178C0F39" w14:textId="77777777" w:rsidR="00091980" w:rsidRPr="00D461B1" w:rsidRDefault="00091980" w:rsidP="00B66BBE">
            <w:pPr>
              <w:rPr>
                <w:rFonts w:ascii="Arial" w:hAnsi="Arial" w:cs="Arial"/>
                <w:b/>
                <w:sz w:val="24"/>
                <w:szCs w:val="24"/>
              </w:rPr>
            </w:pPr>
            <w:r w:rsidRPr="00D461B1">
              <w:rPr>
                <w:rFonts w:ascii="Arial" w:hAnsi="Arial" w:cs="Arial"/>
                <w:b/>
                <w:sz w:val="24"/>
                <w:szCs w:val="24"/>
              </w:rPr>
              <w:t>Total overall</w:t>
            </w:r>
          </w:p>
        </w:tc>
        <w:tc>
          <w:tcPr>
            <w:tcW w:w="647" w:type="pct"/>
            <w:tcBorders>
              <w:top w:val="single" w:sz="4" w:space="0" w:color="auto"/>
              <w:left w:val="nil"/>
              <w:bottom w:val="single" w:sz="4" w:space="0" w:color="auto"/>
              <w:right w:val="nil"/>
            </w:tcBorders>
          </w:tcPr>
          <w:p w14:paraId="7330C1D0" w14:textId="17B449DA" w:rsidR="00091980" w:rsidRPr="00D461B1" w:rsidRDefault="00121D2D" w:rsidP="00B66BBE">
            <w:pPr>
              <w:jc w:val="right"/>
              <w:rPr>
                <w:rFonts w:ascii="Arial" w:hAnsi="Arial" w:cs="Arial"/>
                <w:b/>
                <w:sz w:val="24"/>
                <w:szCs w:val="24"/>
              </w:rPr>
            </w:pPr>
            <w:r>
              <w:rPr>
                <w:rFonts w:ascii="Arial" w:hAnsi="Arial" w:cs="Arial"/>
                <w:b/>
                <w:sz w:val="24"/>
                <w:szCs w:val="24"/>
              </w:rPr>
              <w:t>386</w:t>
            </w:r>
          </w:p>
        </w:tc>
        <w:tc>
          <w:tcPr>
            <w:tcW w:w="647" w:type="pct"/>
            <w:tcBorders>
              <w:top w:val="single" w:sz="4" w:space="0" w:color="auto"/>
              <w:left w:val="nil"/>
              <w:bottom w:val="single" w:sz="4" w:space="0" w:color="auto"/>
              <w:right w:val="nil"/>
            </w:tcBorders>
          </w:tcPr>
          <w:p w14:paraId="30884D09" w14:textId="77777777" w:rsidR="00091980" w:rsidRPr="00D461B1" w:rsidRDefault="00091980" w:rsidP="00B66BBE">
            <w:pPr>
              <w:jc w:val="right"/>
              <w:rPr>
                <w:rFonts w:ascii="Arial" w:hAnsi="Arial" w:cs="Arial"/>
                <w:b/>
                <w:sz w:val="24"/>
                <w:szCs w:val="24"/>
              </w:rPr>
            </w:pPr>
            <w:r>
              <w:rPr>
                <w:rFonts w:ascii="Arial" w:hAnsi="Arial" w:cs="Arial"/>
                <w:b/>
                <w:sz w:val="24"/>
                <w:szCs w:val="24"/>
              </w:rPr>
              <w:t>(68)</w:t>
            </w:r>
          </w:p>
        </w:tc>
        <w:tc>
          <w:tcPr>
            <w:tcW w:w="647" w:type="pct"/>
            <w:tcBorders>
              <w:top w:val="single" w:sz="4" w:space="0" w:color="auto"/>
              <w:left w:val="nil"/>
              <w:bottom w:val="single" w:sz="4" w:space="0" w:color="auto"/>
              <w:right w:val="nil"/>
            </w:tcBorders>
            <w:hideMark/>
          </w:tcPr>
          <w:p w14:paraId="78003180" w14:textId="77777777" w:rsidR="00091980" w:rsidRPr="00D461B1" w:rsidRDefault="00091980" w:rsidP="00B66BBE">
            <w:pPr>
              <w:jc w:val="right"/>
              <w:rPr>
                <w:rFonts w:ascii="Arial" w:hAnsi="Arial" w:cs="Arial"/>
                <w:b/>
                <w:sz w:val="24"/>
                <w:szCs w:val="24"/>
              </w:rPr>
            </w:pPr>
            <w:r w:rsidRPr="00D461B1">
              <w:rPr>
                <w:rFonts w:ascii="Arial" w:hAnsi="Arial" w:cs="Arial"/>
                <w:b/>
                <w:sz w:val="24"/>
                <w:szCs w:val="24"/>
              </w:rPr>
              <w:t>18%</w:t>
            </w:r>
          </w:p>
        </w:tc>
        <w:tc>
          <w:tcPr>
            <w:tcW w:w="647" w:type="pct"/>
            <w:tcBorders>
              <w:top w:val="single" w:sz="4" w:space="0" w:color="auto"/>
              <w:left w:val="nil"/>
              <w:bottom w:val="single" w:sz="4" w:space="0" w:color="auto"/>
              <w:right w:val="nil"/>
            </w:tcBorders>
            <w:hideMark/>
          </w:tcPr>
          <w:p w14:paraId="3A77F688" w14:textId="77777777" w:rsidR="00091980" w:rsidRPr="00D461B1" w:rsidRDefault="00091980" w:rsidP="00B66BBE">
            <w:pPr>
              <w:jc w:val="right"/>
              <w:rPr>
                <w:rFonts w:ascii="Arial" w:hAnsi="Arial" w:cs="Arial"/>
                <w:sz w:val="24"/>
                <w:szCs w:val="24"/>
              </w:rPr>
            </w:pPr>
            <w:r w:rsidRPr="00D461B1">
              <w:rPr>
                <w:rFonts w:ascii="Arial" w:hAnsi="Arial" w:cs="Arial"/>
                <w:sz w:val="24"/>
                <w:szCs w:val="24"/>
              </w:rPr>
              <w:t>26%</w:t>
            </w:r>
          </w:p>
        </w:tc>
      </w:tr>
    </w:tbl>
    <w:p w14:paraId="4258E9EC" w14:textId="77777777" w:rsidR="00091980" w:rsidRDefault="00091980" w:rsidP="003A298D">
      <w:pPr>
        <w:autoSpaceDE w:val="0"/>
        <w:autoSpaceDN w:val="0"/>
        <w:adjustRightInd w:val="0"/>
        <w:jc w:val="left"/>
        <w:rPr>
          <w:rFonts w:ascii="Arial" w:hAnsi="Arial" w:cs="Arial"/>
          <w:sz w:val="24"/>
          <w:szCs w:val="24"/>
        </w:rPr>
      </w:pPr>
    </w:p>
    <w:p w14:paraId="66A86702" w14:textId="5695F193" w:rsidR="003A298D" w:rsidRPr="00D461B1" w:rsidRDefault="003A298D" w:rsidP="00926779">
      <w:pPr>
        <w:autoSpaceDE w:val="0"/>
        <w:autoSpaceDN w:val="0"/>
        <w:adjustRightInd w:val="0"/>
        <w:jc w:val="left"/>
        <w:rPr>
          <w:rFonts w:ascii="Arial" w:hAnsi="Arial" w:cs="Arial"/>
          <w:sz w:val="24"/>
          <w:szCs w:val="24"/>
          <w:lang w:eastAsia="en-US"/>
        </w:rPr>
      </w:pPr>
      <w:r w:rsidRPr="00D461B1">
        <w:rPr>
          <w:rFonts w:ascii="Arial" w:hAnsi="Arial" w:cs="Arial"/>
          <w:sz w:val="24"/>
          <w:szCs w:val="24"/>
        </w:rPr>
        <w:t>The statutory rates for the Group’s main operating companies during 2015/16 are:</w:t>
      </w:r>
    </w:p>
    <w:p w14:paraId="65849948" w14:textId="7A27880A" w:rsidR="003A298D" w:rsidRPr="00D461B1" w:rsidRDefault="00E11421" w:rsidP="003A298D">
      <w:pPr>
        <w:numPr>
          <w:ilvl w:val="0"/>
          <w:numId w:val="20"/>
        </w:numPr>
        <w:jc w:val="left"/>
        <w:rPr>
          <w:rFonts w:ascii="Arial" w:hAnsi="Arial" w:cs="Arial"/>
          <w:sz w:val="24"/>
          <w:szCs w:val="24"/>
          <w:lang w:eastAsia="en-US"/>
        </w:rPr>
      </w:pPr>
      <w:r>
        <w:rPr>
          <w:rFonts w:ascii="Arial" w:hAnsi="Arial" w:cs="Arial"/>
          <w:sz w:val="24"/>
          <w:szCs w:val="24"/>
          <w:lang w:eastAsia="en-US"/>
        </w:rPr>
        <w:t>UK 20</w:t>
      </w:r>
      <w:r w:rsidR="003A298D" w:rsidRPr="00D461B1">
        <w:rPr>
          <w:rFonts w:ascii="Arial" w:hAnsi="Arial" w:cs="Arial"/>
          <w:sz w:val="24"/>
          <w:szCs w:val="24"/>
          <w:lang w:eastAsia="en-US"/>
        </w:rPr>
        <w:t>%</w:t>
      </w:r>
    </w:p>
    <w:p w14:paraId="2AF94C07" w14:textId="77777777" w:rsidR="003A298D" w:rsidRPr="00D461B1" w:rsidRDefault="003A298D" w:rsidP="003A298D">
      <w:pPr>
        <w:numPr>
          <w:ilvl w:val="0"/>
          <w:numId w:val="20"/>
        </w:numPr>
        <w:jc w:val="left"/>
        <w:rPr>
          <w:rFonts w:ascii="Arial" w:hAnsi="Arial" w:cs="Arial"/>
          <w:sz w:val="24"/>
          <w:szCs w:val="24"/>
          <w:lang w:eastAsia="en-US"/>
        </w:rPr>
      </w:pPr>
      <w:r w:rsidRPr="00D461B1">
        <w:rPr>
          <w:rFonts w:ascii="Arial" w:hAnsi="Arial" w:cs="Arial"/>
          <w:sz w:val="24"/>
          <w:szCs w:val="24"/>
          <w:lang w:eastAsia="en-US"/>
        </w:rPr>
        <w:t>France 38%</w:t>
      </w:r>
    </w:p>
    <w:p w14:paraId="38E67F76" w14:textId="77777777" w:rsidR="003A298D" w:rsidRPr="00D461B1" w:rsidRDefault="003A298D" w:rsidP="003A298D">
      <w:pPr>
        <w:numPr>
          <w:ilvl w:val="0"/>
          <w:numId w:val="20"/>
        </w:numPr>
        <w:jc w:val="left"/>
        <w:rPr>
          <w:rFonts w:ascii="Arial" w:hAnsi="Arial" w:cs="Arial"/>
          <w:sz w:val="24"/>
          <w:szCs w:val="24"/>
          <w:lang w:eastAsia="en-US"/>
        </w:rPr>
      </w:pPr>
      <w:r w:rsidRPr="00D461B1">
        <w:rPr>
          <w:rFonts w:ascii="Arial" w:hAnsi="Arial" w:cs="Arial"/>
          <w:sz w:val="24"/>
          <w:szCs w:val="24"/>
          <w:lang w:eastAsia="en-US"/>
        </w:rPr>
        <w:t>Poland 19%</w:t>
      </w:r>
    </w:p>
    <w:p w14:paraId="7DB4A050" w14:textId="77777777" w:rsidR="003A298D" w:rsidRPr="00D461B1" w:rsidRDefault="003A298D" w:rsidP="003A298D">
      <w:pPr>
        <w:autoSpaceDE w:val="0"/>
        <w:autoSpaceDN w:val="0"/>
        <w:adjustRightInd w:val="0"/>
        <w:rPr>
          <w:rFonts w:ascii="Arial" w:hAnsi="Arial" w:cs="Arial"/>
          <w:sz w:val="24"/>
          <w:szCs w:val="24"/>
        </w:rPr>
      </w:pPr>
    </w:p>
    <w:p w14:paraId="15772416" w14:textId="77777777" w:rsidR="003A298D" w:rsidRPr="00D461B1" w:rsidRDefault="003A298D" w:rsidP="003A298D">
      <w:pPr>
        <w:autoSpaceDE w:val="0"/>
        <w:autoSpaceDN w:val="0"/>
        <w:adjustRightInd w:val="0"/>
        <w:jc w:val="left"/>
        <w:rPr>
          <w:rFonts w:ascii="Arial" w:hAnsi="Arial" w:cs="Arial"/>
          <w:sz w:val="24"/>
          <w:szCs w:val="24"/>
        </w:rPr>
      </w:pPr>
      <w:r w:rsidRPr="00D461B1">
        <w:rPr>
          <w:rFonts w:ascii="Arial" w:hAnsi="Arial" w:cs="Arial"/>
          <w:sz w:val="24"/>
          <w:szCs w:val="24"/>
        </w:rPr>
        <w:lastRenderedPageBreak/>
        <w:t>The Group’s effective tax rate is sensitive to the blend of tax rates and profits in the Group’s various jurisdictions. The effective rate of tax is higher than the UK statutory rate because of the amount of Group profit that is earned in higher tax jurisdictions and because no future benefit is assumed for losses incurred in overseas jurisdictions.</w:t>
      </w:r>
    </w:p>
    <w:p w14:paraId="1AF64B53" w14:textId="77777777" w:rsidR="00085149" w:rsidRDefault="00085149" w:rsidP="003A298D">
      <w:pPr>
        <w:jc w:val="left"/>
        <w:rPr>
          <w:rFonts w:ascii="Arial" w:hAnsi="Arial" w:cs="Arial"/>
          <w:b/>
          <w:sz w:val="24"/>
          <w:szCs w:val="24"/>
        </w:rPr>
      </w:pPr>
    </w:p>
    <w:p w14:paraId="7DBF1F0D" w14:textId="6D957675" w:rsidR="003A298D" w:rsidRPr="006430F6" w:rsidRDefault="00251194" w:rsidP="003A298D">
      <w:pPr>
        <w:jc w:val="left"/>
        <w:rPr>
          <w:rFonts w:ascii="Arial" w:hAnsi="Arial" w:cs="Arial"/>
          <w:b/>
          <w:sz w:val="24"/>
          <w:szCs w:val="24"/>
        </w:rPr>
      </w:pPr>
      <w:r>
        <w:rPr>
          <w:rFonts w:ascii="Arial" w:hAnsi="Arial" w:cs="Arial"/>
          <w:b/>
          <w:sz w:val="24"/>
          <w:szCs w:val="24"/>
        </w:rPr>
        <w:t>F</w:t>
      </w:r>
      <w:r w:rsidR="003A298D" w:rsidRPr="006430F6">
        <w:rPr>
          <w:rFonts w:ascii="Arial" w:hAnsi="Arial" w:cs="Arial"/>
          <w:b/>
          <w:sz w:val="24"/>
          <w:szCs w:val="24"/>
        </w:rPr>
        <w:t>ree cash flow</w:t>
      </w:r>
      <w:r w:rsidR="00C21029">
        <w:rPr>
          <w:rFonts w:ascii="Arial" w:hAnsi="Arial" w:cs="Arial"/>
          <w:b/>
          <w:sz w:val="24"/>
          <w:szCs w:val="24"/>
        </w:rPr>
        <w:t>*</w:t>
      </w:r>
    </w:p>
    <w:p w14:paraId="2817442A" w14:textId="77777777" w:rsidR="003A298D" w:rsidRPr="006430F6" w:rsidRDefault="003A298D" w:rsidP="003A298D">
      <w:pPr>
        <w:jc w:val="left"/>
        <w:rPr>
          <w:rFonts w:ascii="Arial" w:hAnsi="Arial" w:cs="Arial"/>
          <w:b/>
          <w:sz w:val="24"/>
          <w:szCs w:val="24"/>
        </w:rPr>
      </w:pPr>
    </w:p>
    <w:p w14:paraId="1F9EBE46" w14:textId="579AEF49" w:rsidR="003A298D" w:rsidRPr="006430F6" w:rsidRDefault="003A298D" w:rsidP="003A298D">
      <w:pPr>
        <w:jc w:val="left"/>
        <w:rPr>
          <w:rFonts w:ascii="Arial" w:hAnsi="Arial" w:cs="Arial"/>
          <w:sz w:val="24"/>
          <w:szCs w:val="24"/>
        </w:rPr>
      </w:pPr>
      <w:r w:rsidRPr="006430F6">
        <w:rPr>
          <w:rFonts w:ascii="Arial" w:hAnsi="Arial" w:cs="Arial" w:hint="eastAsia"/>
          <w:sz w:val="24"/>
          <w:szCs w:val="24"/>
        </w:rPr>
        <w:t>A reconciliation of free cash flow is set out below:</w:t>
      </w:r>
    </w:p>
    <w:p w14:paraId="429A8B28" w14:textId="77777777" w:rsidR="00091980" w:rsidRPr="006430F6" w:rsidRDefault="00091980" w:rsidP="00091980">
      <w:pPr>
        <w:jc w:val="left"/>
        <w:rPr>
          <w:rFonts w:ascii="Arial" w:hAnsi="Arial" w:cs="Arial"/>
          <w:b/>
          <w:sz w:val="24"/>
          <w:szCs w:val="24"/>
        </w:rPr>
      </w:pPr>
    </w:p>
    <w:tbl>
      <w:tblPr>
        <w:tblW w:w="9508" w:type="dxa"/>
        <w:tblInd w:w="98" w:type="dxa"/>
        <w:tblLayout w:type="fixed"/>
        <w:tblLook w:val="0000" w:firstRow="0" w:lastRow="0" w:firstColumn="0" w:lastColumn="0" w:noHBand="0" w:noVBand="0"/>
      </w:tblPr>
      <w:tblGrid>
        <w:gridCol w:w="6531"/>
        <w:gridCol w:w="317"/>
        <w:gridCol w:w="1242"/>
        <w:gridCol w:w="1418"/>
      </w:tblGrid>
      <w:tr w:rsidR="00091980" w:rsidRPr="006430F6" w14:paraId="6D5327B2" w14:textId="77777777" w:rsidTr="00B66BBE">
        <w:trPr>
          <w:trHeight w:val="555"/>
        </w:trPr>
        <w:tc>
          <w:tcPr>
            <w:tcW w:w="6531" w:type="dxa"/>
            <w:shd w:val="clear" w:color="auto" w:fill="auto"/>
            <w:vAlign w:val="bottom"/>
          </w:tcPr>
          <w:p w14:paraId="3DD95460" w14:textId="77777777" w:rsidR="00091980" w:rsidRPr="006430F6" w:rsidRDefault="00091980" w:rsidP="00B66BBE">
            <w:pPr>
              <w:jc w:val="left"/>
              <w:rPr>
                <w:rFonts w:ascii="Arial" w:hAnsi="Arial" w:cs="Arial"/>
                <w:bCs/>
                <w:sz w:val="24"/>
                <w:szCs w:val="24"/>
              </w:rPr>
            </w:pPr>
          </w:p>
        </w:tc>
        <w:tc>
          <w:tcPr>
            <w:tcW w:w="1559" w:type="dxa"/>
            <w:gridSpan w:val="2"/>
          </w:tcPr>
          <w:p w14:paraId="5586AE5B" w14:textId="77777777" w:rsidR="00091980" w:rsidRPr="006430F6" w:rsidRDefault="00091980" w:rsidP="00B66BBE">
            <w:pPr>
              <w:jc w:val="right"/>
              <w:rPr>
                <w:rFonts w:ascii="Arial" w:hAnsi="Arial" w:cs="Arial"/>
                <w:b/>
                <w:bCs/>
                <w:sz w:val="24"/>
                <w:szCs w:val="24"/>
              </w:rPr>
            </w:pPr>
            <w:r w:rsidRPr="006430F6">
              <w:rPr>
                <w:rFonts w:ascii="Arial" w:hAnsi="Arial" w:cs="Arial"/>
                <w:b/>
                <w:bCs/>
                <w:sz w:val="24"/>
                <w:szCs w:val="24"/>
              </w:rPr>
              <w:t>2015/16</w:t>
            </w:r>
          </w:p>
          <w:p w14:paraId="2ADBBDD7" w14:textId="77777777" w:rsidR="00091980" w:rsidRPr="006430F6" w:rsidRDefault="00091980" w:rsidP="00B66BBE">
            <w:pPr>
              <w:jc w:val="right"/>
              <w:rPr>
                <w:rFonts w:ascii="Arial" w:hAnsi="Arial" w:cs="Arial"/>
                <w:b/>
                <w:bCs/>
                <w:sz w:val="24"/>
                <w:szCs w:val="24"/>
              </w:rPr>
            </w:pPr>
            <w:r w:rsidRPr="006430F6">
              <w:rPr>
                <w:rFonts w:ascii="Arial" w:hAnsi="Arial" w:cs="Arial"/>
                <w:b/>
                <w:bCs/>
                <w:sz w:val="24"/>
                <w:szCs w:val="24"/>
              </w:rPr>
              <w:t>£m</w:t>
            </w:r>
          </w:p>
        </w:tc>
        <w:tc>
          <w:tcPr>
            <w:tcW w:w="1418" w:type="dxa"/>
          </w:tcPr>
          <w:p w14:paraId="4B0EA058" w14:textId="77777777" w:rsidR="00091980" w:rsidRPr="006430F6" w:rsidRDefault="00091980" w:rsidP="00B66BBE">
            <w:pPr>
              <w:jc w:val="right"/>
              <w:rPr>
                <w:rFonts w:ascii="Arial" w:hAnsi="Arial" w:cs="Arial"/>
                <w:bCs/>
                <w:sz w:val="24"/>
                <w:szCs w:val="24"/>
              </w:rPr>
            </w:pPr>
            <w:r w:rsidRPr="006430F6">
              <w:rPr>
                <w:rFonts w:ascii="Arial" w:hAnsi="Arial" w:cs="Arial"/>
                <w:bCs/>
                <w:sz w:val="24"/>
                <w:szCs w:val="24"/>
              </w:rPr>
              <w:t>2014/15</w:t>
            </w:r>
          </w:p>
          <w:p w14:paraId="0B2A3580" w14:textId="77777777" w:rsidR="00091980" w:rsidRPr="006430F6" w:rsidRDefault="00091980" w:rsidP="00B66BBE">
            <w:pPr>
              <w:jc w:val="right"/>
              <w:rPr>
                <w:rFonts w:ascii="Arial" w:hAnsi="Arial" w:cs="Arial"/>
                <w:bCs/>
                <w:sz w:val="24"/>
                <w:szCs w:val="24"/>
              </w:rPr>
            </w:pPr>
            <w:r w:rsidRPr="006430F6">
              <w:rPr>
                <w:rFonts w:ascii="Arial" w:hAnsi="Arial" w:cs="Arial"/>
                <w:bCs/>
                <w:sz w:val="24"/>
                <w:szCs w:val="24"/>
              </w:rPr>
              <w:t xml:space="preserve">£m </w:t>
            </w:r>
          </w:p>
        </w:tc>
      </w:tr>
      <w:tr w:rsidR="00091980" w:rsidRPr="006430F6" w14:paraId="3061DCF0" w14:textId="77777777" w:rsidTr="00B66BBE">
        <w:trPr>
          <w:trHeight w:val="255"/>
        </w:trPr>
        <w:tc>
          <w:tcPr>
            <w:tcW w:w="6848" w:type="dxa"/>
            <w:gridSpan w:val="2"/>
            <w:tcBorders>
              <w:top w:val="single" w:sz="4" w:space="0" w:color="auto"/>
            </w:tcBorders>
            <w:shd w:val="clear" w:color="auto" w:fill="auto"/>
            <w:vAlign w:val="bottom"/>
          </w:tcPr>
          <w:p w14:paraId="2A26BA59" w14:textId="77777777" w:rsidR="00091980" w:rsidRPr="006430F6" w:rsidRDefault="00091980" w:rsidP="00B66BBE">
            <w:pPr>
              <w:rPr>
                <w:rFonts w:ascii="Arial" w:hAnsi="Arial" w:cs="Arial"/>
                <w:b/>
                <w:sz w:val="24"/>
                <w:szCs w:val="24"/>
              </w:rPr>
            </w:pPr>
            <w:r w:rsidRPr="006430F6">
              <w:rPr>
                <w:rFonts w:ascii="Arial" w:hAnsi="Arial" w:cs="Arial"/>
                <w:b/>
                <w:sz w:val="24"/>
                <w:szCs w:val="24"/>
              </w:rPr>
              <w:t>Operating profit (before exceptional items)</w:t>
            </w:r>
          </w:p>
        </w:tc>
        <w:tc>
          <w:tcPr>
            <w:tcW w:w="1242" w:type="dxa"/>
            <w:tcBorders>
              <w:top w:val="single" w:sz="4" w:space="0" w:color="auto"/>
            </w:tcBorders>
            <w:vAlign w:val="bottom"/>
          </w:tcPr>
          <w:p w14:paraId="2AC7A45A" w14:textId="77777777" w:rsidR="00091980" w:rsidRPr="00CA4D98" w:rsidRDefault="00091980" w:rsidP="00B66BBE">
            <w:pPr>
              <w:jc w:val="right"/>
              <w:rPr>
                <w:rFonts w:ascii="Arial" w:hAnsi="Arial" w:cs="Arial"/>
                <w:b/>
                <w:sz w:val="24"/>
                <w:szCs w:val="24"/>
              </w:rPr>
            </w:pPr>
            <w:r w:rsidRPr="00CA4D98">
              <w:rPr>
                <w:rFonts w:ascii="Arial" w:hAnsi="Arial" w:cs="Arial"/>
                <w:b/>
                <w:sz w:val="24"/>
                <w:szCs w:val="24"/>
              </w:rPr>
              <w:t>385</w:t>
            </w:r>
          </w:p>
        </w:tc>
        <w:tc>
          <w:tcPr>
            <w:tcW w:w="1418" w:type="dxa"/>
            <w:tcBorders>
              <w:top w:val="single" w:sz="4" w:space="0" w:color="auto"/>
            </w:tcBorders>
          </w:tcPr>
          <w:p w14:paraId="47F8D721" w14:textId="77777777" w:rsidR="00091980" w:rsidRPr="005D72AE" w:rsidRDefault="00091980" w:rsidP="00B66BBE">
            <w:pPr>
              <w:jc w:val="right"/>
              <w:rPr>
                <w:rFonts w:ascii="Arial" w:hAnsi="Arial" w:cs="Arial"/>
                <w:sz w:val="24"/>
                <w:szCs w:val="24"/>
              </w:rPr>
            </w:pPr>
            <w:r>
              <w:rPr>
                <w:rFonts w:ascii="Arial" w:hAnsi="Arial" w:cs="Arial"/>
                <w:sz w:val="24"/>
                <w:szCs w:val="24"/>
              </w:rPr>
              <w:t>386</w:t>
            </w:r>
          </w:p>
        </w:tc>
      </w:tr>
      <w:tr w:rsidR="00091980" w:rsidRPr="006430F6" w14:paraId="3DB20112" w14:textId="77777777" w:rsidTr="00B66BBE">
        <w:trPr>
          <w:trHeight w:val="270"/>
        </w:trPr>
        <w:tc>
          <w:tcPr>
            <w:tcW w:w="6848" w:type="dxa"/>
            <w:gridSpan w:val="2"/>
            <w:shd w:val="clear" w:color="auto" w:fill="auto"/>
            <w:vAlign w:val="bottom"/>
          </w:tcPr>
          <w:p w14:paraId="3565B5C2" w14:textId="77777777" w:rsidR="00091980" w:rsidRPr="006430F6" w:rsidRDefault="00091980" w:rsidP="00B66BBE">
            <w:pPr>
              <w:rPr>
                <w:rFonts w:ascii="Arial" w:hAnsi="Arial" w:cs="Arial"/>
                <w:sz w:val="24"/>
                <w:szCs w:val="24"/>
              </w:rPr>
            </w:pPr>
            <w:r w:rsidRPr="006430F6">
              <w:rPr>
                <w:rFonts w:ascii="Arial" w:hAnsi="Arial" w:cs="Arial"/>
                <w:sz w:val="24"/>
                <w:szCs w:val="24"/>
              </w:rPr>
              <w:t>Other non-cash items</w:t>
            </w:r>
            <w:r w:rsidRPr="006430F6">
              <w:rPr>
                <w:rFonts w:ascii="Arial" w:hAnsi="Arial" w:cs="Arial"/>
                <w:sz w:val="20"/>
                <w:szCs w:val="20"/>
                <w:vertAlign w:val="superscript"/>
              </w:rPr>
              <w:t>(1)</w:t>
            </w:r>
          </w:p>
        </w:tc>
        <w:tc>
          <w:tcPr>
            <w:tcW w:w="1242" w:type="dxa"/>
            <w:vAlign w:val="bottom"/>
          </w:tcPr>
          <w:p w14:paraId="19FAB3C3" w14:textId="77777777" w:rsidR="00091980" w:rsidRPr="00CA4D98" w:rsidRDefault="00091980" w:rsidP="00B66BBE">
            <w:pPr>
              <w:jc w:val="right"/>
              <w:rPr>
                <w:rFonts w:ascii="Arial" w:hAnsi="Arial" w:cs="Arial"/>
                <w:b/>
                <w:sz w:val="24"/>
                <w:szCs w:val="24"/>
              </w:rPr>
            </w:pPr>
            <w:r w:rsidRPr="00CA4D98">
              <w:rPr>
                <w:rFonts w:ascii="Arial" w:hAnsi="Arial" w:cs="Arial"/>
                <w:b/>
                <w:sz w:val="24"/>
                <w:szCs w:val="24"/>
              </w:rPr>
              <w:t>133</w:t>
            </w:r>
          </w:p>
        </w:tc>
        <w:tc>
          <w:tcPr>
            <w:tcW w:w="1418" w:type="dxa"/>
          </w:tcPr>
          <w:p w14:paraId="41CF02FA" w14:textId="77777777" w:rsidR="00091980" w:rsidRPr="005D72AE" w:rsidRDefault="00091980" w:rsidP="00B66BBE">
            <w:pPr>
              <w:jc w:val="right"/>
              <w:rPr>
                <w:rFonts w:ascii="Arial" w:hAnsi="Arial" w:cs="Arial"/>
                <w:sz w:val="24"/>
                <w:szCs w:val="24"/>
              </w:rPr>
            </w:pPr>
            <w:r w:rsidRPr="005D72AE">
              <w:rPr>
                <w:rFonts w:ascii="Arial" w:hAnsi="Arial" w:cs="Arial"/>
                <w:sz w:val="24"/>
                <w:szCs w:val="24"/>
              </w:rPr>
              <w:t>142</w:t>
            </w:r>
          </w:p>
        </w:tc>
      </w:tr>
      <w:tr w:rsidR="00091980" w:rsidRPr="006430F6" w14:paraId="5230324F" w14:textId="77777777" w:rsidTr="00B66BBE">
        <w:trPr>
          <w:trHeight w:val="247"/>
        </w:trPr>
        <w:tc>
          <w:tcPr>
            <w:tcW w:w="6848" w:type="dxa"/>
            <w:gridSpan w:val="2"/>
            <w:shd w:val="clear" w:color="auto" w:fill="auto"/>
            <w:vAlign w:val="bottom"/>
          </w:tcPr>
          <w:p w14:paraId="70DFD79E" w14:textId="77777777" w:rsidR="00091980" w:rsidRPr="006430F6" w:rsidRDefault="00091980" w:rsidP="00B66BBE">
            <w:pPr>
              <w:rPr>
                <w:rFonts w:ascii="Arial" w:hAnsi="Arial" w:cs="Arial"/>
                <w:sz w:val="24"/>
                <w:szCs w:val="24"/>
              </w:rPr>
            </w:pPr>
            <w:r w:rsidRPr="006430F6">
              <w:rPr>
                <w:rFonts w:ascii="Arial" w:hAnsi="Arial" w:cs="Arial"/>
                <w:sz w:val="24"/>
                <w:szCs w:val="24"/>
              </w:rPr>
              <w:t>Change in working capital</w:t>
            </w:r>
          </w:p>
        </w:tc>
        <w:tc>
          <w:tcPr>
            <w:tcW w:w="1242" w:type="dxa"/>
            <w:vAlign w:val="bottom"/>
          </w:tcPr>
          <w:p w14:paraId="565FBE8F" w14:textId="77777777" w:rsidR="00091980" w:rsidRPr="00CA4D98" w:rsidRDefault="00091980" w:rsidP="00B66BBE">
            <w:pPr>
              <w:jc w:val="right"/>
              <w:rPr>
                <w:rFonts w:ascii="Arial" w:hAnsi="Arial" w:cs="Arial"/>
                <w:b/>
                <w:sz w:val="24"/>
                <w:szCs w:val="24"/>
              </w:rPr>
            </w:pPr>
            <w:r w:rsidRPr="00CA4D98">
              <w:rPr>
                <w:rFonts w:ascii="Arial" w:hAnsi="Arial" w:cs="Arial"/>
                <w:b/>
                <w:sz w:val="24"/>
                <w:szCs w:val="24"/>
              </w:rPr>
              <w:t>39</w:t>
            </w:r>
          </w:p>
        </w:tc>
        <w:tc>
          <w:tcPr>
            <w:tcW w:w="1418" w:type="dxa"/>
          </w:tcPr>
          <w:p w14:paraId="321E5F06" w14:textId="77777777" w:rsidR="00091980" w:rsidRPr="005D72AE" w:rsidRDefault="00091980" w:rsidP="00B66BBE">
            <w:pPr>
              <w:jc w:val="right"/>
              <w:rPr>
                <w:rFonts w:ascii="Arial" w:hAnsi="Arial" w:cs="Arial"/>
                <w:sz w:val="24"/>
                <w:szCs w:val="24"/>
              </w:rPr>
            </w:pPr>
            <w:r>
              <w:rPr>
                <w:rFonts w:ascii="Arial" w:hAnsi="Arial" w:cs="Arial"/>
                <w:sz w:val="24"/>
                <w:szCs w:val="24"/>
              </w:rPr>
              <w:t>15</w:t>
            </w:r>
          </w:p>
        </w:tc>
      </w:tr>
      <w:tr w:rsidR="00091980" w:rsidRPr="006430F6" w14:paraId="39B66D7F" w14:textId="77777777" w:rsidTr="00B66BBE">
        <w:trPr>
          <w:trHeight w:val="255"/>
        </w:trPr>
        <w:tc>
          <w:tcPr>
            <w:tcW w:w="6848" w:type="dxa"/>
            <w:gridSpan w:val="2"/>
            <w:tcBorders>
              <w:bottom w:val="single" w:sz="4" w:space="0" w:color="auto"/>
            </w:tcBorders>
            <w:shd w:val="clear" w:color="auto" w:fill="auto"/>
            <w:vAlign w:val="bottom"/>
          </w:tcPr>
          <w:p w14:paraId="1E06E555" w14:textId="77777777" w:rsidR="00091980" w:rsidRPr="006430F6" w:rsidRDefault="00091980" w:rsidP="00B66BBE">
            <w:pPr>
              <w:rPr>
                <w:rFonts w:ascii="Arial" w:hAnsi="Arial" w:cs="Arial"/>
                <w:sz w:val="24"/>
                <w:szCs w:val="24"/>
              </w:rPr>
            </w:pPr>
            <w:r w:rsidRPr="006430F6">
              <w:rPr>
                <w:rFonts w:ascii="Arial" w:hAnsi="Arial" w:cs="Arial"/>
                <w:sz w:val="24"/>
                <w:szCs w:val="24"/>
              </w:rPr>
              <w:t>Pensions and provisions</w:t>
            </w:r>
          </w:p>
        </w:tc>
        <w:tc>
          <w:tcPr>
            <w:tcW w:w="1242" w:type="dxa"/>
            <w:tcBorders>
              <w:bottom w:val="single" w:sz="4" w:space="0" w:color="auto"/>
            </w:tcBorders>
            <w:vAlign w:val="bottom"/>
          </w:tcPr>
          <w:p w14:paraId="09989F2F" w14:textId="77777777" w:rsidR="00091980" w:rsidRPr="00CA4D98" w:rsidRDefault="00091980" w:rsidP="00B66BBE">
            <w:pPr>
              <w:jc w:val="right"/>
              <w:rPr>
                <w:rFonts w:ascii="Arial" w:hAnsi="Arial" w:cs="Arial"/>
                <w:b/>
                <w:sz w:val="24"/>
                <w:szCs w:val="24"/>
              </w:rPr>
            </w:pPr>
            <w:r w:rsidRPr="00CA4D98">
              <w:rPr>
                <w:rFonts w:ascii="Arial" w:hAnsi="Arial" w:cs="Arial"/>
                <w:b/>
                <w:sz w:val="24"/>
                <w:szCs w:val="24"/>
              </w:rPr>
              <w:t>(20)</w:t>
            </w:r>
          </w:p>
        </w:tc>
        <w:tc>
          <w:tcPr>
            <w:tcW w:w="1418" w:type="dxa"/>
            <w:tcBorders>
              <w:bottom w:val="single" w:sz="4" w:space="0" w:color="auto"/>
            </w:tcBorders>
          </w:tcPr>
          <w:p w14:paraId="3F1F957B" w14:textId="77777777" w:rsidR="00091980" w:rsidRPr="005D72AE" w:rsidRDefault="00091980" w:rsidP="00B66BBE">
            <w:pPr>
              <w:jc w:val="right"/>
              <w:rPr>
                <w:rFonts w:ascii="Arial" w:hAnsi="Arial" w:cs="Arial"/>
                <w:sz w:val="24"/>
                <w:szCs w:val="24"/>
              </w:rPr>
            </w:pPr>
            <w:r w:rsidRPr="005D72AE">
              <w:rPr>
                <w:rFonts w:ascii="Arial" w:hAnsi="Arial" w:cs="Arial"/>
                <w:sz w:val="24"/>
                <w:szCs w:val="24"/>
              </w:rPr>
              <w:t>(20)</w:t>
            </w:r>
          </w:p>
        </w:tc>
      </w:tr>
      <w:tr w:rsidR="00091980" w:rsidRPr="006430F6" w14:paraId="05C1F5BB" w14:textId="77777777" w:rsidTr="00B66BBE">
        <w:trPr>
          <w:trHeight w:val="255"/>
        </w:trPr>
        <w:tc>
          <w:tcPr>
            <w:tcW w:w="6848" w:type="dxa"/>
            <w:gridSpan w:val="2"/>
            <w:tcBorders>
              <w:top w:val="single" w:sz="4" w:space="0" w:color="auto"/>
            </w:tcBorders>
            <w:shd w:val="clear" w:color="auto" w:fill="auto"/>
            <w:vAlign w:val="bottom"/>
          </w:tcPr>
          <w:p w14:paraId="26936480" w14:textId="77777777" w:rsidR="00091980" w:rsidRPr="006430F6" w:rsidRDefault="00091980" w:rsidP="00B66BBE">
            <w:pPr>
              <w:rPr>
                <w:rFonts w:ascii="Arial" w:hAnsi="Arial" w:cs="Arial"/>
                <w:sz w:val="24"/>
                <w:szCs w:val="24"/>
              </w:rPr>
            </w:pPr>
            <w:r w:rsidRPr="006430F6">
              <w:rPr>
                <w:rFonts w:ascii="Arial" w:hAnsi="Arial" w:cs="Arial"/>
                <w:sz w:val="24"/>
                <w:szCs w:val="24"/>
              </w:rPr>
              <w:t>Operating cash flow</w:t>
            </w:r>
          </w:p>
        </w:tc>
        <w:tc>
          <w:tcPr>
            <w:tcW w:w="1242" w:type="dxa"/>
            <w:tcBorders>
              <w:top w:val="single" w:sz="4" w:space="0" w:color="auto"/>
            </w:tcBorders>
            <w:vAlign w:val="bottom"/>
          </w:tcPr>
          <w:p w14:paraId="7F834149" w14:textId="77777777" w:rsidR="00091980" w:rsidRPr="00CA4D98" w:rsidRDefault="00091980" w:rsidP="00B66BBE">
            <w:pPr>
              <w:jc w:val="right"/>
              <w:rPr>
                <w:rFonts w:ascii="Arial" w:hAnsi="Arial" w:cs="Arial"/>
                <w:b/>
                <w:sz w:val="24"/>
                <w:szCs w:val="24"/>
              </w:rPr>
            </w:pPr>
            <w:r w:rsidRPr="00CA4D98">
              <w:rPr>
                <w:rFonts w:ascii="Arial" w:hAnsi="Arial" w:cs="Arial"/>
                <w:b/>
                <w:sz w:val="24"/>
                <w:szCs w:val="24"/>
              </w:rPr>
              <w:t>537</w:t>
            </w:r>
          </w:p>
        </w:tc>
        <w:tc>
          <w:tcPr>
            <w:tcW w:w="1418" w:type="dxa"/>
            <w:tcBorders>
              <w:top w:val="single" w:sz="4" w:space="0" w:color="auto"/>
            </w:tcBorders>
          </w:tcPr>
          <w:p w14:paraId="696C95F6" w14:textId="77777777" w:rsidR="00091980" w:rsidRPr="005D72AE" w:rsidRDefault="00091980" w:rsidP="00B66BBE">
            <w:pPr>
              <w:jc w:val="right"/>
              <w:rPr>
                <w:rFonts w:ascii="Arial" w:hAnsi="Arial" w:cs="Arial"/>
                <w:sz w:val="24"/>
                <w:szCs w:val="24"/>
              </w:rPr>
            </w:pPr>
            <w:r w:rsidRPr="005D72AE">
              <w:rPr>
                <w:rFonts w:ascii="Arial" w:hAnsi="Arial" w:cs="Arial"/>
                <w:sz w:val="24"/>
                <w:szCs w:val="24"/>
              </w:rPr>
              <w:t>523</w:t>
            </w:r>
          </w:p>
        </w:tc>
      </w:tr>
      <w:tr w:rsidR="00091980" w:rsidRPr="006430F6" w14:paraId="1E417C3A" w14:textId="77777777" w:rsidTr="00B66BBE">
        <w:trPr>
          <w:trHeight w:val="311"/>
        </w:trPr>
        <w:tc>
          <w:tcPr>
            <w:tcW w:w="6848" w:type="dxa"/>
            <w:gridSpan w:val="2"/>
            <w:shd w:val="clear" w:color="auto" w:fill="auto"/>
            <w:vAlign w:val="bottom"/>
          </w:tcPr>
          <w:p w14:paraId="7CFCC7F8" w14:textId="77777777" w:rsidR="00091980" w:rsidRPr="006430F6" w:rsidRDefault="00091980" w:rsidP="00B66BBE">
            <w:pPr>
              <w:rPr>
                <w:rFonts w:ascii="Arial" w:hAnsi="Arial" w:cs="Arial"/>
                <w:sz w:val="24"/>
                <w:szCs w:val="24"/>
              </w:rPr>
            </w:pPr>
            <w:r w:rsidRPr="006430F6">
              <w:rPr>
                <w:rFonts w:ascii="Arial" w:hAnsi="Arial" w:cs="Arial"/>
                <w:sz w:val="24"/>
                <w:szCs w:val="24"/>
              </w:rPr>
              <w:t>Net interest paid</w:t>
            </w:r>
          </w:p>
        </w:tc>
        <w:tc>
          <w:tcPr>
            <w:tcW w:w="1242" w:type="dxa"/>
            <w:vAlign w:val="bottom"/>
          </w:tcPr>
          <w:p w14:paraId="08906869" w14:textId="77777777" w:rsidR="00091980" w:rsidRPr="00CA4D98" w:rsidRDefault="00091980" w:rsidP="00B66BBE">
            <w:pPr>
              <w:jc w:val="right"/>
              <w:rPr>
                <w:rFonts w:ascii="Arial" w:hAnsi="Arial" w:cs="Arial"/>
                <w:b/>
                <w:sz w:val="24"/>
                <w:szCs w:val="24"/>
              </w:rPr>
            </w:pPr>
            <w:r w:rsidRPr="00CA4D98">
              <w:rPr>
                <w:rFonts w:ascii="Arial" w:hAnsi="Arial" w:cs="Arial"/>
                <w:b/>
                <w:sz w:val="24"/>
                <w:szCs w:val="24"/>
              </w:rPr>
              <w:t>(7)</w:t>
            </w:r>
          </w:p>
        </w:tc>
        <w:tc>
          <w:tcPr>
            <w:tcW w:w="1418" w:type="dxa"/>
          </w:tcPr>
          <w:p w14:paraId="27024C9A" w14:textId="77777777" w:rsidR="00091980" w:rsidRPr="005D72AE" w:rsidRDefault="00091980" w:rsidP="00B66BBE">
            <w:pPr>
              <w:jc w:val="right"/>
              <w:rPr>
                <w:rFonts w:ascii="Arial" w:hAnsi="Arial" w:cs="Arial"/>
                <w:sz w:val="24"/>
                <w:szCs w:val="24"/>
              </w:rPr>
            </w:pPr>
            <w:r w:rsidRPr="005D72AE">
              <w:rPr>
                <w:rFonts w:ascii="Arial" w:hAnsi="Arial" w:cs="Arial"/>
                <w:sz w:val="24"/>
                <w:szCs w:val="24"/>
              </w:rPr>
              <w:t>(3)</w:t>
            </w:r>
          </w:p>
        </w:tc>
      </w:tr>
      <w:tr w:rsidR="00091980" w:rsidRPr="006430F6" w14:paraId="782D6501" w14:textId="77777777" w:rsidTr="00B66BBE">
        <w:trPr>
          <w:trHeight w:val="270"/>
        </w:trPr>
        <w:tc>
          <w:tcPr>
            <w:tcW w:w="6848" w:type="dxa"/>
            <w:gridSpan w:val="2"/>
            <w:shd w:val="clear" w:color="auto" w:fill="auto"/>
            <w:vAlign w:val="bottom"/>
          </w:tcPr>
          <w:p w14:paraId="51476D19" w14:textId="77777777" w:rsidR="00091980" w:rsidRPr="006430F6" w:rsidRDefault="00091980" w:rsidP="00B66BBE">
            <w:pPr>
              <w:rPr>
                <w:rFonts w:ascii="Arial" w:hAnsi="Arial" w:cs="Arial"/>
                <w:sz w:val="24"/>
                <w:szCs w:val="24"/>
              </w:rPr>
            </w:pPr>
            <w:r w:rsidRPr="006430F6">
              <w:rPr>
                <w:rFonts w:ascii="Arial" w:hAnsi="Arial" w:cs="Arial"/>
                <w:sz w:val="24"/>
                <w:szCs w:val="24"/>
              </w:rPr>
              <w:t>Tax paid</w:t>
            </w:r>
          </w:p>
        </w:tc>
        <w:tc>
          <w:tcPr>
            <w:tcW w:w="1242" w:type="dxa"/>
            <w:vAlign w:val="bottom"/>
          </w:tcPr>
          <w:p w14:paraId="3C31427B" w14:textId="77777777" w:rsidR="00091980" w:rsidRPr="00CA4D98" w:rsidRDefault="00091980" w:rsidP="00B66BBE">
            <w:pPr>
              <w:jc w:val="right"/>
              <w:rPr>
                <w:rFonts w:ascii="Arial" w:hAnsi="Arial" w:cs="Arial"/>
                <w:b/>
                <w:sz w:val="24"/>
                <w:szCs w:val="24"/>
              </w:rPr>
            </w:pPr>
            <w:r w:rsidRPr="00CA4D98">
              <w:rPr>
                <w:rFonts w:ascii="Arial" w:hAnsi="Arial" w:cs="Arial"/>
                <w:b/>
                <w:sz w:val="24"/>
                <w:szCs w:val="24"/>
              </w:rPr>
              <w:t>(65)</w:t>
            </w:r>
          </w:p>
        </w:tc>
        <w:tc>
          <w:tcPr>
            <w:tcW w:w="1418" w:type="dxa"/>
          </w:tcPr>
          <w:p w14:paraId="48D03FD3" w14:textId="77777777" w:rsidR="00091980" w:rsidRPr="005D72AE" w:rsidRDefault="00091980" w:rsidP="00B66BBE">
            <w:pPr>
              <w:jc w:val="right"/>
              <w:rPr>
                <w:rFonts w:ascii="Arial" w:hAnsi="Arial" w:cs="Arial"/>
                <w:sz w:val="24"/>
                <w:szCs w:val="24"/>
              </w:rPr>
            </w:pPr>
            <w:r w:rsidRPr="005D72AE">
              <w:rPr>
                <w:rFonts w:ascii="Arial" w:hAnsi="Arial" w:cs="Arial"/>
                <w:sz w:val="24"/>
                <w:szCs w:val="24"/>
              </w:rPr>
              <w:t>(65)</w:t>
            </w:r>
          </w:p>
        </w:tc>
      </w:tr>
      <w:tr w:rsidR="00091980" w:rsidRPr="006430F6" w14:paraId="33FCFFD2" w14:textId="77777777" w:rsidTr="00B66BBE">
        <w:trPr>
          <w:trHeight w:val="270"/>
        </w:trPr>
        <w:tc>
          <w:tcPr>
            <w:tcW w:w="6848" w:type="dxa"/>
            <w:gridSpan w:val="2"/>
            <w:shd w:val="clear" w:color="auto" w:fill="auto"/>
            <w:vAlign w:val="bottom"/>
          </w:tcPr>
          <w:p w14:paraId="0088D206" w14:textId="77777777" w:rsidR="00091980" w:rsidRPr="006430F6" w:rsidRDefault="00091980" w:rsidP="00B66BBE">
            <w:pPr>
              <w:rPr>
                <w:rFonts w:ascii="Arial" w:hAnsi="Arial" w:cs="Arial"/>
                <w:sz w:val="24"/>
                <w:szCs w:val="24"/>
              </w:rPr>
            </w:pPr>
            <w:r w:rsidRPr="006430F6">
              <w:rPr>
                <w:rFonts w:ascii="Arial" w:hAnsi="Arial" w:cs="Arial"/>
                <w:sz w:val="24"/>
                <w:szCs w:val="24"/>
              </w:rPr>
              <w:t xml:space="preserve">Gross capital expenditure </w:t>
            </w:r>
          </w:p>
        </w:tc>
        <w:tc>
          <w:tcPr>
            <w:tcW w:w="1242" w:type="dxa"/>
            <w:vAlign w:val="bottom"/>
          </w:tcPr>
          <w:p w14:paraId="1BEDF0FF" w14:textId="77777777" w:rsidR="00091980" w:rsidRPr="00CA4D98" w:rsidRDefault="00091980" w:rsidP="00B66BBE">
            <w:pPr>
              <w:jc w:val="right"/>
              <w:rPr>
                <w:rFonts w:ascii="Arial" w:hAnsi="Arial" w:cs="Arial"/>
                <w:b/>
                <w:sz w:val="24"/>
                <w:szCs w:val="24"/>
              </w:rPr>
            </w:pPr>
            <w:r w:rsidRPr="00CA4D98">
              <w:rPr>
                <w:rFonts w:ascii="Arial" w:hAnsi="Arial" w:cs="Arial"/>
                <w:b/>
                <w:sz w:val="24"/>
                <w:szCs w:val="24"/>
              </w:rPr>
              <w:t>(177)</w:t>
            </w:r>
          </w:p>
        </w:tc>
        <w:tc>
          <w:tcPr>
            <w:tcW w:w="1418" w:type="dxa"/>
          </w:tcPr>
          <w:p w14:paraId="12431EB0" w14:textId="77777777" w:rsidR="00091980" w:rsidRPr="005D72AE" w:rsidRDefault="00091980" w:rsidP="00B66BBE">
            <w:pPr>
              <w:jc w:val="right"/>
              <w:rPr>
                <w:rFonts w:ascii="Arial" w:hAnsi="Arial" w:cs="Arial"/>
                <w:sz w:val="24"/>
                <w:szCs w:val="24"/>
              </w:rPr>
            </w:pPr>
            <w:r w:rsidRPr="005D72AE">
              <w:rPr>
                <w:rFonts w:ascii="Arial" w:hAnsi="Arial" w:cs="Arial"/>
                <w:sz w:val="24"/>
                <w:szCs w:val="24"/>
              </w:rPr>
              <w:t>(119)</w:t>
            </w:r>
          </w:p>
        </w:tc>
      </w:tr>
      <w:tr w:rsidR="00091980" w:rsidRPr="006430F6" w14:paraId="632D823F" w14:textId="77777777" w:rsidTr="00B66BBE">
        <w:trPr>
          <w:trHeight w:val="270"/>
        </w:trPr>
        <w:tc>
          <w:tcPr>
            <w:tcW w:w="6848" w:type="dxa"/>
            <w:gridSpan w:val="2"/>
            <w:tcBorders>
              <w:bottom w:val="single" w:sz="4" w:space="0" w:color="auto"/>
            </w:tcBorders>
            <w:shd w:val="clear" w:color="auto" w:fill="auto"/>
            <w:vAlign w:val="bottom"/>
          </w:tcPr>
          <w:p w14:paraId="0BEEEE20" w14:textId="44F8F937" w:rsidR="00091980" w:rsidRPr="006430F6" w:rsidRDefault="00091980" w:rsidP="00926779">
            <w:pPr>
              <w:jc w:val="left"/>
              <w:rPr>
                <w:rFonts w:ascii="Arial" w:hAnsi="Arial" w:cs="Arial"/>
                <w:sz w:val="24"/>
                <w:szCs w:val="24"/>
              </w:rPr>
            </w:pPr>
            <w:r w:rsidRPr="006430F6">
              <w:rPr>
                <w:rFonts w:ascii="Arial" w:hAnsi="Arial" w:cs="Arial"/>
                <w:sz w:val="24"/>
                <w:szCs w:val="24"/>
              </w:rPr>
              <w:t>Disposal of assets</w:t>
            </w:r>
            <w:r w:rsidR="008536C9">
              <w:rPr>
                <w:rFonts w:ascii="Arial" w:hAnsi="Arial" w:cs="Arial"/>
                <w:sz w:val="20"/>
                <w:szCs w:val="20"/>
                <w:vertAlign w:val="superscript"/>
              </w:rPr>
              <w:t>(2</w:t>
            </w:r>
            <w:r w:rsidR="008536C9" w:rsidRPr="006430F6">
              <w:rPr>
                <w:rFonts w:ascii="Arial" w:hAnsi="Arial" w:cs="Arial"/>
                <w:sz w:val="20"/>
                <w:szCs w:val="20"/>
                <w:vertAlign w:val="superscript"/>
              </w:rPr>
              <w:t>)</w:t>
            </w:r>
          </w:p>
        </w:tc>
        <w:tc>
          <w:tcPr>
            <w:tcW w:w="1242" w:type="dxa"/>
            <w:tcBorders>
              <w:bottom w:val="single" w:sz="4" w:space="0" w:color="auto"/>
            </w:tcBorders>
            <w:vAlign w:val="bottom"/>
          </w:tcPr>
          <w:p w14:paraId="683200C0" w14:textId="511D2B22" w:rsidR="00091980" w:rsidRPr="00CA4D98" w:rsidRDefault="00091980">
            <w:pPr>
              <w:jc w:val="right"/>
              <w:rPr>
                <w:rFonts w:ascii="Arial" w:hAnsi="Arial" w:cs="Arial"/>
                <w:b/>
                <w:sz w:val="24"/>
                <w:szCs w:val="24"/>
              </w:rPr>
            </w:pPr>
            <w:r w:rsidRPr="00CA4D98">
              <w:rPr>
                <w:rFonts w:ascii="Arial" w:hAnsi="Arial" w:cs="Arial"/>
                <w:b/>
                <w:sz w:val="24"/>
                <w:szCs w:val="24"/>
              </w:rPr>
              <w:t>20</w:t>
            </w:r>
            <w:r w:rsidR="008536C9">
              <w:rPr>
                <w:rFonts w:ascii="Arial" w:hAnsi="Arial" w:cs="Arial"/>
                <w:b/>
                <w:sz w:val="24"/>
                <w:szCs w:val="24"/>
              </w:rPr>
              <w:t xml:space="preserve"> </w:t>
            </w:r>
          </w:p>
        </w:tc>
        <w:tc>
          <w:tcPr>
            <w:tcW w:w="1418" w:type="dxa"/>
            <w:tcBorders>
              <w:bottom w:val="single" w:sz="4" w:space="0" w:color="auto"/>
            </w:tcBorders>
          </w:tcPr>
          <w:p w14:paraId="6153B401" w14:textId="77777777" w:rsidR="00091980" w:rsidRPr="005D72AE" w:rsidRDefault="00091980" w:rsidP="00B66BBE">
            <w:pPr>
              <w:jc w:val="right"/>
              <w:rPr>
                <w:rFonts w:ascii="Arial" w:hAnsi="Arial" w:cs="Arial"/>
                <w:sz w:val="24"/>
                <w:szCs w:val="24"/>
              </w:rPr>
            </w:pPr>
            <w:r w:rsidRPr="005D72AE">
              <w:rPr>
                <w:rFonts w:ascii="Arial" w:hAnsi="Arial" w:cs="Arial"/>
                <w:sz w:val="24"/>
                <w:szCs w:val="24"/>
              </w:rPr>
              <w:t>47</w:t>
            </w:r>
          </w:p>
        </w:tc>
      </w:tr>
      <w:tr w:rsidR="00091980" w:rsidRPr="006430F6" w14:paraId="3E25641E" w14:textId="77777777" w:rsidTr="00B66BBE">
        <w:trPr>
          <w:trHeight w:val="270"/>
        </w:trPr>
        <w:tc>
          <w:tcPr>
            <w:tcW w:w="6848" w:type="dxa"/>
            <w:gridSpan w:val="2"/>
            <w:tcBorders>
              <w:top w:val="single" w:sz="4" w:space="0" w:color="auto"/>
            </w:tcBorders>
            <w:shd w:val="clear" w:color="auto" w:fill="auto"/>
            <w:vAlign w:val="bottom"/>
          </w:tcPr>
          <w:p w14:paraId="63EA9CB3" w14:textId="77777777" w:rsidR="00091980" w:rsidRPr="006430F6" w:rsidRDefault="00091980" w:rsidP="00B66BBE">
            <w:pPr>
              <w:rPr>
                <w:rFonts w:ascii="Arial" w:hAnsi="Arial" w:cs="Arial"/>
                <w:b/>
                <w:sz w:val="24"/>
                <w:szCs w:val="24"/>
              </w:rPr>
            </w:pPr>
            <w:r w:rsidRPr="006430F6">
              <w:rPr>
                <w:rFonts w:ascii="Arial" w:hAnsi="Arial" w:cs="Arial"/>
                <w:b/>
                <w:sz w:val="24"/>
                <w:szCs w:val="24"/>
              </w:rPr>
              <w:t>Free cash flow</w:t>
            </w:r>
          </w:p>
        </w:tc>
        <w:tc>
          <w:tcPr>
            <w:tcW w:w="1242" w:type="dxa"/>
            <w:tcBorders>
              <w:top w:val="single" w:sz="4" w:space="0" w:color="auto"/>
            </w:tcBorders>
            <w:vAlign w:val="bottom"/>
          </w:tcPr>
          <w:p w14:paraId="3A8A7BDC" w14:textId="77777777" w:rsidR="00091980" w:rsidRPr="00CA4D98" w:rsidRDefault="00091980" w:rsidP="00B66BBE">
            <w:pPr>
              <w:jc w:val="right"/>
              <w:rPr>
                <w:rFonts w:ascii="Arial" w:hAnsi="Arial" w:cs="Arial"/>
                <w:b/>
                <w:sz w:val="24"/>
                <w:szCs w:val="24"/>
              </w:rPr>
            </w:pPr>
            <w:r w:rsidRPr="00CA4D98">
              <w:rPr>
                <w:rFonts w:ascii="Arial" w:hAnsi="Arial" w:cs="Arial"/>
                <w:b/>
                <w:sz w:val="24"/>
                <w:szCs w:val="24"/>
              </w:rPr>
              <w:t>308</w:t>
            </w:r>
          </w:p>
        </w:tc>
        <w:tc>
          <w:tcPr>
            <w:tcW w:w="1418" w:type="dxa"/>
            <w:tcBorders>
              <w:top w:val="single" w:sz="4" w:space="0" w:color="auto"/>
            </w:tcBorders>
          </w:tcPr>
          <w:p w14:paraId="6DBE71EC" w14:textId="77777777" w:rsidR="00091980" w:rsidRPr="005D72AE" w:rsidRDefault="00091980" w:rsidP="00B66BBE">
            <w:pPr>
              <w:jc w:val="right"/>
              <w:rPr>
                <w:rFonts w:ascii="Arial" w:hAnsi="Arial" w:cs="Arial"/>
                <w:sz w:val="24"/>
                <w:szCs w:val="24"/>
              </w:rPr>
            </w:pPr>
            <w:r w:rsidRPr="005D72AE">
              <w:rPr>
                <w:rFonts w:ascii="Arial" w:hAnsi="Arial" w:cs="Arial"/>
                <w:sz w:val="24"/>
                <w:szCs w:val="24"/>
              </w:rPr>
              <w:t>383</w:t>
            </w:r>
          </w:p>
        </w:tc>
      </w:tr>
      <w:tr w:rsidR="00091980" w:rsidRPr="006430F6" w14:paraId="65BA9E0E" w14:textId="77777777" w:rsidTr="00B66BBE">
        <w:trPr>
          <w:trHeight w:val="270"/>
        </w:trPr>
        <w:tc>
          <w:tcPr>
            <w:tcW w:w="6848" w:type="dxa"/>
            <w:gridSpan w:val="2"/>
            <w:shd w:val="clear" w:color="auto" w:fill="auto"/>
            <w:vAlign w:val="bottom"/>
          </w:tcPr>
          <w:p w14:paraId="3B7EB6A1" w14:textId="77777777" w:rsidR="00091980" w:rsidRPr="006430F6" w:rsidRDefault="00091980" w:rsidP="00B66BBE">
            <w:pPr>
              <w:rPr>
                <w:rFonts w:ascii="Arial" w:hAnsi="Arial" w:cs="Arial"/>
                <w:sz w:val="24"/>
                <w:szCs w:val="24"/>
              </w:rPr>
            </w:pPr>
            <w:r w:rsidRPr="006430F6">
              <w:rPr>
                <w:rFonts w:ascii="Arial" w:hAnsi="Arial" w:cs="Arial"/>
                <w:sz w:val="24"/>
                <w:szCs w:val="24"/>
              </w:rPr>
              <w:t>Ordinary dividends paid</w:t>
            </w:r>
          </w:p>
        </w:tc>
        <w:tc>
          <w:tcPr>
            <w:tcW w:w="1242" w:type="dxa"/>
            <w:vAlign w:val="bottom"/>
          </w:tcPr>
          <w:p w14:paraId="07310F44" w14:textId="77777777" w:rsidR="00091980" w:rsidRPr="00CA4D98" w:rsidRDefault="00091980" w:rsidP="00B66BBE">
            <w:pPr>
              <w:jc w:val="right"/>
              <w:rPr>
                <w:rFonts w:ascii="Arial" w:hAnsi="Arial" w:cs="Arial"/>
                <w:b/>
                <w:sz w:val="24"/>
                <w:szCs w:val="24"/>
              </w:rPr>
            </w:pPr>
            <w:r w:rsidRPr="00CA4D98">
              <w:rPr>
                <w:rFonts w:ascii="Arial" w:hAnsi="Arial" w:cs="Arial"/>
                <w:b/>
                <w:sz w:val="24"/>
                <w:szCs w:val="24"/>
              </w:rPr>
              <w:t>(160)</w:t>
            </w:r>
          </w:p>
        </w:tc>
        <w:tc>
          <w:tcPr>
            <w:tcW w:w="1418" w:type="dxa"/>
          </w:tcPr>
          <w:p w14:paraId="00234FD7" w14:textId="77777777" w:rsidR="00091980" w:rsidRPr="005D72AE" w:rsidRDefault="00091980" w:rsidP="00B66BBE">
            <w:pPr>
              <w:jc w:val="right"/>
              <w:rPr>
                <w:rFonts w:ascii="Arial" w:hAnsi="Arial" w:cs="Arial"/>
                <w:sz w:val="24"/>
                <w:szCs w:val="24"/>
              </w:rPr>
            </w:pPr>
            <w:r w:rsidRPr="005D72AE">
              <w:rPr>
                <w:rFonts w:ascii="Arial" w:hAnsi="Arial" w:cs="Arial"/>
                <w:sz w:val="24"/>
                <w:szCs w:val="24"/>
              </w:rPr>
              <w:t>(159)</w:t>
            </w:r>
          </w:p>
        </w:tc>
      </w:tr>
      <w:tr w:rsidR="00091980" w:rsidRPr="006430F6" w14:paraId="5F0740C4" w14:textId="77777777" w:rsidTr="00B66BBE">
        <w:trPr>
          <w:trHeight w:val="270"/>
        </w:trPr>
        <w:tc>
          <w:tcPr>
            <w:tcW w:w="6848" w:type="dxa"/>
            <w:gridSpan w:val="2"/>
            <w:shd w:val="clear" w:color="auto" w:fill="auto"/>
            <w:vAlign w:val="bottom"/>
          </w:tcPr>
          <w:p w14:paraId="434E6CB5" w14:textId="77777777" w:rsidR="00091980" w:rsidRPr="006430F6" w:rsidRDefault="00091980" w:rsidP="00B66BBE">
            <w:pPr>
              <w:rPr>
                <w:rFonts w:ascii="Arial" w:hAnsi="Arial" w:cs="Arial"/>
                <w:sz w:val="24"/>
                <w:szCs w:val="24"/>
              </w:rPr>
            </w:pPr>
            <w:r w:rsidRPr="006430F6">
              <w:rPr>
                <w:rFonts w:ascii="Arial" w:hAnsi="Arial" w:cs="Arial"/>
                <w:sz w:val="24"/>
                <w:szCs w:val="24"/>
              </w:rPr>
              <w:t>Special dividend paid</w:t>
            </w:r>
          </w:p>
        </w:tc>
        <w:tc>
          <w:tcPr>
            <w:tcW w:w="1242" w:type="dxa"/>
            <w:vAlign w:val="bottom"/>
          </w:tcPr>
          <w:p w14:paraId="32AD3A04" w14:textId="77777777" w:rsidR="00091980" w:rsidRPr="00CA4D98" w:rsidRDefault="00091980" w:rsidP="00B66BBE">
            <w:pPr>
              <w:jc w:val="right"/>
              <w:rPr>
                <w:rFonts w:ascii="Arial" w:hAnsi="Arial" w:cs="Arial"/>
                <w:b/>
                <w:sz w:val="24"/>
                <w:szCs w:val="24"/>
              </w:rPr>
            </w:pPr>
            <w:r w:rsidRPr="00CA4D98">
              <w:rPr>
                <w:rFonts w:ascii="Arial" w:hAnsi="Arial" w:cs="Arial"/>
                <w:b/>
                <w:sz w:val="24"/>
                <w:szCs w:val="24"/>
              </w:rPr>
              <w:t>-</w:t>
            </w:r>
          </w:p>
        </w:tc>
        <w:tc>
          <w:tcPr>
            <w:tcW w:w="1418" w:type="dxa"/>
          </w:tcPr>
          <w:p w14:paraId="3A977243" w14:textId="77777777" w:rsidR="00091980" w:rsidRPr="005D72AE" w:rsidRDefault="00091980" w:rsidP="00B66BBE">
            <w:pPr>
              <w:jc w:val="right"/>
              <w:rPr>
                <w:rFonts w:ascii="Arial" w:hAnsi="Arial" w:cs="Arial"/>
                <w:sz w:val="24"/>
                <w:szCs w:val="24"/>
              </w:rPr>
            </w:pPr>
            <w:r w:rsidRPr="005D72AE">
              <w:rPr>
                <w:rFonts w:ascii="Arial" w:hAnsi="Arial" w:cs="Arial"/>
                <w:sz w:val="24"/>
                <w:szCs w:val="24"/>
              </w:rPr>
              <w:t>(100)</w:t>
            </w:r>
          </w:p>
        </w:tc>
      </w:tr>
      <w:tr w:rsidR="00091980" w:rsidRPr="006430F6" w14:paraId="30090D47" w14:textId="77777777" w:rsidTr="00B66BBE">
        <w:trPr>
          <w:trHeight w:val="270"/>
        </w:trPr>
        <w:tc>
          <w:tcPr>
            <w:tcW w:w="6848" w:type="dxa"/>
            <w:gridSpan w:val="2"/>
            <w:shd w:val="clear" w:color="auto" w:fill="auto"/>
            <w:vAlign w:val="bottom"/>
          </w:tcPr>
          <w:p w14:paraId="344C8388" w14:textId="77777777" w:rsidR="00091980" w:rsidRPr="006430F6" w:rsidRDefault="00091980" w:rsidP="00B66BBE">
            <w:pPr>
              <w:rPr>
                <w:rFonts w:ascii="Arial" w:hAnsi="Arial" w:cs="Arial"/>
                <w:sz w:val="24"/>
                <w:szCs w:val="24"/>
              </w:rPr>
            </w:pPr>
            <w:r w:rsidRPr="006430F6">
              <w:rPr>
                <w:rFonts w:ascii="Arial" w:hAnsi="Arial" w:cs="Arial"/>
                <w:sz w:val="24"/>
                <w:szCs w:val="24"/>
              </w:rPr>
              <w:t>Share buyback</w:t>
            </w:r>
          </w:p>
        </w:tc>
        <w:tc>
          <w:tcPr>
            <w:tcW w:w="1242" w:type="dxa"/>
            <w:vAlign w:val="bottom"/>
          </w:tcPr>
          <w:p w14:paraId="765EDA8F" w14:textId="77777777" w:rsidR="00091980" w:rsidRPr="00CA4D98" w:rsidRDefault="00091980" w:rsidP="00B66BBE">
            <w:pPr>
              <w:jc w:val="right"/>
              <w:rPr>
                <w:rFonts w:ascii="Arial" w:hAnsi="Arial" w:cs="Arial"/>
                <w:b/>
                <w:sz w:val="24"/>
                <w:szCs w:val="24"/>
              </w:rPr>
            </w:pPr>
            <w:r w:rsidRPr="00CA4D98">
              <w:rPr>
                <w:rFonts w:ascii="Arial" w:hAnsi="Arial" w:cs="Arial"/>
                <w:b/>
                <w:sz w:val="24"/>
                <w:szCs w:val="24"/>
              </w:rPr>
              <w:t>(139)</w:t>
            </w:r>
          </w:p>
        </w:tc>
        <w:tc>
          <w:tcPr>
            <w:tcW w:w="1418" w:type="dxa"/>
          </w:tcPr>
          <w:p w14:paraId="2FF39E34" w14:textId="77777777" w:rsidR="00091980" w:rsidRPr="005D72AE" w:rsidRDefault="00091980" w:rsidP="00B66BBE">
            <w:pPr>
              <w:jc w:val="right"/>
              <w:rPr>
                <w:rFonts w:ascii="Arial" w:hAnsi="Arial" w:cs="Arial"/>
                <w:sz w:val="24"/>
                <w:szCs w:val="24"/>
              </w:rPr>
            </w:pPr>
            <w:r w:rsidRPr="005D72AE">
              <w:rPr>
                <w:rFonts w:ascii="Arial" w:hAnsi="Arial" w:cs="Arial"/>
                <w:sz w:val="24"/>
                <w:szCs w:val="24"/>
              </w:rPr>
              <w:t>(35)</w:t>
            </w:r>
          </w:p>
        </w:tc>
      </w:tr>
      <w:tr w:rsidR="00091980" w:rsidRPr="006430F6" w14:paraId="1943E8EA" w14:textId="77777777" w:rsidTr="00B66BBE">
        <w:trPr>
          <w:trHeight w:val="270"/>
        </w:trPr>
        <w:tc>
          <w:tcPr>
            <w:tcW w:w="6848" w:type="dxa"/>
            <w:gridSpan w:val="2"/>
            <w:shd w:val="clear" w:color="auto" w:fill="auto"/>
            <w:vAlign w:val="bottom"/>
          </w:tcPr>
          <w:p w14:paraId="664F3535" w14:textId="77777777" w:rsidR="00091980" w:rsidRPr="006430F6" w:rsidRDefault="00091980" w:rsidP="00B66BBE">
            <w:pPr>
              <w:rPr>
                <w:rFonts w:ascii="Arial" w:hAnsi="Arial" w:cs="Arial"/>
                <w:sz w:val="24"/>
                <w:szCs w:val="24"/>
              </w:rPr>
            </w:pPr>
            <w:r w:rsidRPr="006430F6">
              <w:rPr>
                <w:rFonts w:ascii="Arial" w:hAnsi="Arial" w:cs="Arial"/>
                <w:sz w:val="24"/>
                <w:szCs w:val="24"/>
              </w:rPr>
              <w:t>Share purchase for employee incentive schemes</w:t>
            </w:r>
          </w:p>
        </w:tc>
        <w:tc>
          <w:tcPr>
            <w:tcW w:w="1242" w:type="dxa"/>
            <w:vAlign w:val="bottom"/>
          </w:tcPr>
          <w:p w14:paraId="07B918FC" w14:textId="77777777" w:rsidR="00091980" w:rsidRPr="00CA4D98" w:rsidRDefault="00091980" w:rsidP="00B66BBE">
            <w:pPr>
              <w:jc w:val="right"/>
              <w:rPr>
                <w:rFonts w:ascii="Arial" w:hAnsi="Arial" w:cs="Arial"/>
                <w:b/>
                <w:sz w:val="24"/>
                <w:szCs w:val="24"/>
              </w:rPr>
            </w:pPr>
            <w:r w:rsidRPr="00CA4D98">
              <w:rPr>
                <w:rFonts w:ascii="Arial" w:hAnsi="Arial" w:cs="Arial"/>
                <w:b/>
                <w:sz w:val="24"/>
                <w:szCs w:val="24"/>
              </w:rPr>
              <w:t>(11)</w:t>
            </w:r>
          </w:p>
        </w:tc>
        <w:tc>
          <w:tcPr>
            <w:tcW w:w="1418" w:type="dxa"/>
          </w:tcPr>
          <w:p w14:paraId="63003025" w14:textId="77777777" w:rsidR="00091980" w:rsidRPr="005D72AE" w:rsidRDefault="00091980" w:rsidP="00B66BBE">
            <w:pPr>
              <w:jc w:val="right"/>
              <w:rPr>
                <w:rFonts w:ascii="Arial" w:hAnsi="Arial" w:cs="Arial"/>
                <w:sz w:val="24"/>
                <w:szCs w:val="24"/>
              </w:rPr>
            </w:pPr>
            <w:r w:rsidRPr="005D72AE">
              <w:rPr>
                <w:rFonts w:ascii="Arial" w:hAnsi="Arial" w:cs="Arial"/>
                <w:sz w:val="24"/>
                <w:szCs w:val="24"/>
              </w:rPr>
              <w:t>-</w:t>
            </w:r>
          </w:p>
        </w:tc>
      </w:tr>
      <w:tr w:rsidR="00091980" w:rsidRPr="006430F6" w14:paraId="6121D127" w14:textId="77777777" w:rsidTr="00B66BBE">
        <w:trPr>
          <w:trHeight w:val="270"/>
        </w:trPr>
        <w:tc>
          <w:tcPr>
            <w:tcW w:w="6848" w:type="dxa"/>
            <w:gridSpan w:val="2"/>
            <w:shd w:val="clear" w:color="auto" w:fill="auto"/>
            <w:vAlign w:val="bottom"/>
          </w:tcPr>
          <w:p w14:paraId="5D4B1AF1" w14:textId="2288662F" w:rsidR="00091980" w:rsidRDefault="00091980" w:rsidP="00B66BBE">
            <w:pPr>
              <w:rPr>
                <w:rFonts w:ascii="Arial" w:hAnsi="Arial" w:cs="Arial"/>
                <w:sz w:val="24"/>
                <w:szCs w:val="24"/>
              </w:rPr>
            </w:pPr>
            <w:r>
              <w:rPr>
                <w:rFonts w:ascii="Arial" w:hAnsi="Arial" w:cs="Arial"/>
                <w:sz w:val="24"/>
                <w:szCs w:val="24"/>
              </w:rPr>
              <w:t>Disposal of B&amp;Q China</w:t>
            </w:r>
            <w:r w:rsidR="006E3B41">
              <w:rPr>
                <w:rFonts w:ascii="Arial" w:hAnsi="Arial" w:cs="Arial"/>
                <w:sz w:val="24"/>
                <w:szCs w:val="24"/>
              </w:rPr>
              <w:t xml:space="preserve"> (net of disposal costs)</w:t>
            </w:r>
          </w:p>
        </w:tc>
        <w:tc>
          <w:tcPr>
            <w:tcW w:w="1242" w:type="dxa"/>
            <w:vAlign w:val="bottom"/>
          </w:tcPr>
          <w:p w14:paraId="255589C3" w14:textId="6616177D" w:rsidR="00091980" w:rsidRPr="00CA4D98" w:rsidRDefault="00121D2D" w:rsidP="00B66BBE">
            <w:pPr>
              <w:jc w:val="right"/>
              <w:rPr>
                <w:rFonts w:ascii="Arial" w:hAnsi="Arial" w:cs="Arial"/>
                <w:b/>
                <w:sz w:val="24"/>
                <w:szCs w:val="24"/>
              </w:rPr>
            </w:pPr>
            <w:r>
              <w:rPr>
                <w:rFonts w:ascii="Arial" w:hAnsi="Arial" w:cs="Arial"/>
                <w:b/>
                <w:sz w:val="24"/>
                <w:szCs w:val="24"/>
              </w:rPr>
              <w:t>137</w:t>
            </w:r>
          </w:p>
        </w:tc>
        <w:tc>
          <w:tcPr>
            <w:tcW w:w="1418" w:type="dxa"/>
          </w:tcPr>
          <w:p w14:paraId="5D92BB21" w14:textId="77777777" w:rsidR="00091980" w:rsidRPr="005D72AE" w:rsidRDefault="00091980" w:rsidP="00B66BBE">
            <w:pPr>
              <w:jc w:val="right"/>
              <w:rPr>
                <w:rFonts w:ascii="Arial" w:hAnsi="Arial" w:cs="Arial"/>
                <w:sz w:val="24"/>
                <w:szCs w:val="24"/>
              </w:rPr>
            </w:pPr>
            <w:r>
              <w:rPr>
                <w:rFonts w:ascii="Arial" w:hAnsi="Arial" w:cs="Arial"/>
                <w:sz w:val="24"/>
                <w:szCs w:val="24"/>
              </w:rPr>
              <w:t>-</w:t>
            </w:r>
          </w:p>
        </w:tc>
      </w:tr>
      <w:tr w:rsidR="00091980" w:rsidRPr="006430F6" w14:paraId="5AC3D5BC" w14:textId="77777777" w:rsidTr="00B66BBE">
        <w:trPr>
          <w:trHeight w:val="270"/>
        </w:trPr>
        <w:tc>
          <w:tcPr>
            <w:tcW w:w="6848" w:type="dxa"/>
            <w:gridSpan w:val="2"/>
            <w:shd w:val="clear" w:color="auto" w:fill="auto"/>
            <w:vAlign w:val="bottom"/>
          </w:tcPr>
          <w:p w14:paraId="6961C225" w14:textId="77777777" w:rsidR="00091980" w:rsidRPr="006430F6" w:rsidRDefault="00091980" w:rsidP="00B66BBE">
            <w:pPr>
              <w:rPr>
                <w:rFonts w:ascii="Arial" w:hAnsi="Arial" w:cs="Arial"/>
                <w:sz w:val="24"/>
                <w:szCs w:val="24"/>
              </w:rPr>
            </w:pPr>
            <w:r>
              <w:rPr>
                <w:rFonts w:ascii="Arial" w:hAnsi="Arial" w:cs="Arial"/>
                <w:sz w:val="24"/>
                <w:szCs w:val="24"/>
              </w:rPr>
              <w:t xml:space="preserve">Disposal of </w:t>
            </w:r>
            <w:proofErr w:type="spellStart"/>
            <w:r>
              <w:rPr>
                <w:rFonts w:ascii="Arial" w:hAnsi="Arial" w:cs="Arial"/>
                <w:sz w:val="24"/>
                <w:szCs w:val="24"/>
              </w:rPr>
              <w:t>Hornbach</w:t>
            </w:r>
            <w:proofErr w:type="spellEnd"/>
          </w:p>
        </w:tc>
        <w:tc>
          <w:tcPr>
            <w:tcW w:w="1242" w:type="dxa"/>
            <w:vAlign w:val="bottom"/>
          </w:tcPr>
          <w:p w14:paraId="666204BE" w14:textId="77777777" w:rsidR="00091980" w:rsidRPr="00CA4D98" w:rsidRDefault="00091980" w:rsidP="00B66BBE">
            <w:pPr>
              <w:jc w:val="right"/>
              <w:rPr>
                <w:rFonts w:ascii="Arial" w:hAnsi="Arial" w:cs="Arial"/>
                <w:b/>
                <w:sz w:val="24"/>
                <w:szCs w:val="24"/>
              </w:rPr>
            </w:pPr>
            <w:r w:rsidRPr="00CA4D98">
              <w:rPr>
                <w:rFonts w:ascii="Arial" w:hAnsi="Arial" w:cs="Arial"/>
                <w:b/>
                <w:sz w:val="24"/>
                <w:szCs w:val="24"/>
              </w:rPr>
              <w:t>-</w:t>
            </w:r>
          </w:p>
        </w:tc>
        <w:tc>
          <w:tcPr>
            <w:tcW w:w="1418" w:type="dxa"/>
          </w:tcPr>
          <w:p w14:paraId="595CDE2A" w14:textId="77777777" w:rsidR="00091980" w:rsidRPr="005D72AE" w:rsidRDefault="00091980" w:rsidP="00B66BBE">
            <w:pPr>
              <w:jc w:val="right"/>
              <w:rPr>
                <w:rFonts w:ascii="Arial" w:hAnsi="Arial" w:cs="Arial"/>
                <w:sz w:val="24"/>
                <w:szCs w:val="24"/>
              </w:rPr>
            </w:pPr>
            <w:r w:rsidRPr="005D72AE">
              <w:rPr>
                <w:rFonts w:ascii="Arial" w:hAnsi="Arial" w:cs="Arial"/>
                <w:sz w:val="24"/>
                <w:szCs w:val="24"/>
              </w:rPr>
              <w:t>198</w:t>
            </w:r>
          </w:p>
        </w:tc>
      </w:tr>
      <w:tr w:rsidR="00091980" w:rsidRPr="006430F6" w14:paraId="75BBA381" w14:textId="77777777" w:rsidTr="00B66BBE">
        <w:trPr>
          <w:trHeight w:val="270"/>
        </w:trPr>
        <w:tc>
          <w:tcPr>
            <w:tcW w:w="6848" w:type="dxa"/>
            <w:gridSpan w:val="2"/>
            <w:shd w:val="clear" w:color="auto" w:fill="auto"/>
            <w:vAlign w:val="bottom"/>
          </w:tcPr>
          <w:p w14:paraId="25EB7D64" w14:textId="1B088225" w:rsidR="00091980" w:rsidRPr="006430F6" w:rsidRDefault="00091980" w:rsidP="00B66BBE">
            <w:pPr>
              <w:rPr>
                <w:rFonts w:ascii="Arial" w:hAnsi="Arial" w:cs="Arial"/>
                <w:sz w:val="24"/>
                <w:szCs w:val="24"/>
              </w:rPr>
            </w:pPr>
            <w:r w:rsidRPr="006430F6">
              <w:rPr>
                <w:rFonts w:ascii="Arial" w:hAnsi="Arial" w:cs="Arial"/>
                <w:sz w:val="24"/>
                <w:szCs w:val="24"/>
              </w:rPr>
              <w:t>Other</w:t>
            </w:r>
            <w:r w:rsidR="005D21C0">
              <w:rPr>
                <w:rFonts w:ascii="Arial" w:hAnsi="Arial" w:cs="Arial"/>
                <w:sz w:val="20"/>
                <w:szCs w:val="20"/>
                <w:vertAlign w:val="superscript"/>
              </w:rPr>
              <w:t>(3</w:t>
            </w:r>
            <w:r w:rsidRPr="006430F6">
              <w:rPr>
                <w:rFonts w:ascii="Arial" w:hAnsi="Arial" w:cs="Arial"/>
                <w:sz w:val="20"/>
                <w:szCs w:val="20"/>
                <w:vertAlign w:val="superscript"/>
              </w:rPr>
              <w:t>)</w:t>
            </w:r>
          </w:p>
        </w:tc>
        <w:tc>
          <w:tcPr>
            <w:tcW w:w="1242" w:type="dxa"/>
            <w:vAlign w:val="bottom"/>
          </w:tcPr>
          <w:p w14:paraId="563634FA" w14:textId="77777777" w:rsidR="00091980" w:rsidRPr="00CA4D98" w:rsidRDefault="00091980" w:rsidP="00B66BBE">
            <w:pPr>
              <w:jc w:val="right"/>
              <w:rPr>
                <w:rFonts w:ascii="Arial" w:hAnsi="Arial" w:cs="Arial"/>
                <w:b/>
                <w:sz w:val="24"/>
                <w:szCs w:val="24"/>
              </w:rPr>
            </w:pPr>
            <w:r w:rsidRPr="00CA4D98">
              <w:rPr>
                <w:rFonts w:ascii="Arial" w:hAnsi="Arial" w:cs="Arial"/>
                <w:b/>
                <w:sz w:val="24"/>
                <w:szCs w:val="24"/>
              </w:rPr>
              <w:t>2</w:t>
            </w:r>
          </w:p>
        </w:tc>
        <w:tc>
          <w:tcPr>
            <w:tcW w:w="1418" w:type="dxa"/>
          </w:tcPr>
          <w:p w14:paraId="789B37E1" w14:textId="77777777" w:rsidR="00091980" w:rsidRPr="005D72AE" w:rsidRDefault="00091980" w:rsidP="00B66BBE">
            <w:pPr>
              <w:jc w:val="right"/>
              <w:rPr>
                <w:rFonts w:ascii="Arial" w:hAnsi="Arial" w:cs="Arial"/>
                <w:sz w:val="24"/>
                <w:szCs w:val="24"/>
              </w:rPr>
            </w:pPr>
            <w:r w:rsidRPr="005D72AE">
              <w:rPr>
                <w:rFonts w:ascii="Arial" w:hAnsi="Arial" w:cs="Arial"/>
                <w:sz w:val="24"/>
                <w:szCs w:val="24"/>
              </w:rPr>
              <w:t>(2)</w:t>
            </w:r>
          </w:p>
        </w:tc>
      </w:tr>
      <w:tr w:rsidR="00091980" w:rsidRPr="006430F6" w14:paraId="4E55C888" w14:textId="77777777" w:rsidTr="00B66BBE">
        <w:trPr>
          <w:trHeight w:val="270"/>
        </w:trPr>
        <w:tc>
          <w:tcPr>
            <w:tcW w:w="6848" w:type="dxa"/>
            <w:gridSpan w:val="2"/>
            <w:tcBorders>
              <w:top w:val="single" w:sz="4" w:space="0" w:color="auto"/>
            </w:tcBorders>
            <w:shd w:val="clear" w:color="auto" w:fill="auto"/>
            <w:vAlign w:val="bottom"/>
          </w:tcPr>
          <w:p w14:paraId="3A7C73F0" w14:textId="77777777" w:rsidR="00091980" w:rsidRPr="006430F6" w:rsidRDefault="00091980" w:rsidP="00B66BBE">
            <w:pPr>
              <w:rPr>
                <w:rFonts w:ascii="Arial" w:hAnsi="Arial" w:cs="Arial"/>
                <w:b/>
                <w:sz w:val="24"/>
                <w:szCs w:val="24"/>
              </w:rPr>
            </w:pPr>
            <w:r w:rsidRPr="006430F6">
              <w:rPr>
                <w:rFonts w:ascii="Arial" w:hAnsi="Arial" w:cs="Arial"/>
                <w:b/>
                <w:sz w:val="24"/>
                <w:szCs w:val="24"/>
              </w:rPr>
              <w:t>Net cash flow</w:t>
            </w:r>
          </w:p>
        </w:tc>
        <w:tc>
          <w:tcPr>
            <w:tcW w:w="1242" w:type="dxa"/>
            <w:tcBorders>
              <w:top w:val="single" w:sz="4" w:space="0" w:color="auto"/>
            </w:tcBorders>
          </w:tcPr>
          <w:p w14:paraId="5378A391" w14:textId="46E942F0" w:rsidR="00091980" w:rsidRPr="00CA4D98" w:rsidRDefault="00121D2D" w:rsidP="00B66BBE">
            <w:pPr>
              <w:jc w:val="right"/>
              <w:rPr>
                <w:rFonts w:ascii="Arial" w:hAnsi="Arial" w:cs="Arial"/>
                <w:b/>
                <w:sz w:val="24"/>
                <w:szCs w:val="24"/>
              </w:rPr>
            </w:pPr>
            <w:r>
              <w:rPr>
                <w:rFonts w:ascii="Arial" w:hAnsi="Arial" w:cs="Arial"/>
                <w:b/>
                <w:sz w:val="24"/>
                <w:szCs w:val="24"/>
              </w:rPr>
              <w:t>137</w:t>
            </w:r>
          </w:p>
        </w:tc>
        <w:tc>
          <w:tcPr>
            <w:tcW w:w="1418" w:type="dxa"/>
            <w:tcBorders>
              <w:top w:val="single" w:sz="4" w:space="0" w:color="auto"/>
            </w:tcBorders>
          </w:tcPr>
          <w:p w14:paraId="5627C24C" w14:textId="77777777" w:rsidR="00091980" w:rsidRPr="005D72AE" w:rsidRDefault="00091980" w:rsidP="00B66BBE">
            <w:pPr>
              <w:jc w:val="right"/>
              <w:rPr>
                <w:rFonts w:ascii="Arial" w:hAnsi="Arial" w:cs="Arial"/>
                <w:sz w:val="24"/>
                <w:szCs w:val="24"/>
              </w:rPr>
            </w:pPr>
            <w:r w:rsidRPr="005D72AE">
              <w:rPr>
                <w:rFonts w:ascii="Arial" w:hAnsi="Arial" w:cs="Arial"/>
                <w:sz w:val="24"/>
                <w:szCs w:val="24"/>
              </w:rPr>
              <w:t>285</w:t>
            </w:r>
          </w:p>
        </w:tc>
      </w:tr>
      <w:tr w:rsidR="00091980" w:rsidRPr="006430F6" w14:paraId="683E28B7" w14:textId="77777777" w:rsidTr="00B66BBE">
        <w:trPr>
          <w:trHeight w:val="270"/>
        </w:trPr>
        <w:tc>
          <w:tcPr>
            <w:tcW w:w="6848" w:type="dxa"/>
            <w:gridSpan w:val="2"/>
            <w:shd w:val="clear" w:color="auto" w:fill="auto"/>
            <w:vAlign w:val="bottom"/>
          </w:tcPr>
          <w:p w14:paraId="4BFAEAF6" w14:textId="77777777" w:rsidR="00091980" w:rsidRPr="006430F6" w:rsidRDefault="00091980" w:rsidP="00B66BBE">
            <w:pPr>
              <w:rPr>
                <w:rFonts w:ascii="Arial" w:hAnsi="Arial" w:cs="Arial"/>
                <w:sz w:val="24"/>
                <w:szCs w:val="24"/>
              </w:rPr>
            </w:pPr>
            <w:r w:rsidRPr="006430F6">
              <w:rPr>
                <w:rFonts w:ascii="Arial" w:hAnsi="Arial" w:cs="Arial"/>
                <w:sz w:val="24"/>
                <w:szCs w:val="24"/>
              </w:rPr>
              <w:t>Opening net cash</w:t>
            </w:r>
          </w:p>
        </w:tc>
        <w:tc>
          <w:tcPr>
            <w:tcW w:w="1242" w:type="dxa"/>
            <w:vAlign w:val="bottom"/>
          </w:tcPr>
          <w:p w14:paraId="7414CC3C" w14:textId="77777777" w:rsidR="00091980" w:rsidRPr="00CA4D98" w:rsidRDefault="00091980" w:rsidP="00B66BBE">
            <w:pPr>
              <w:jc w:val="right"/>
              <w:rPr>
                <w:rFonts w:ascii="Arial" w:hAnsi="Arial" w:cs="Arial"/>
                <w:b/>
                <w:sz w:val="24"/>
                <w:szCs w:val="24"/>
              </w:rPr>
            </w:pPr>
            <w:r w:rsidRPr="00CA4D98">
              <w:rPr>
                <w:rFonts w:ascii="Arial" w:hAnsi="Arial" w:cs="Arial"/>
                <w:b/>
                <w:sz w:val="24"/>
                <w:szCs w:val="24"/>
              </w:rPr>
              <w:t>329</w:t>
            </w:r>
          </w:p>
        </w:tc>
        <w:tc>
          <w:tcPr>
            <w:tcW w:w="1418" w:type="dxa"/>
          </w:tcPr>
          <w:p w14:paraId="5CEC1713" w14:textId="77777777" w:rsidR="00091980" w:rsidRPr="005D72AE" w:rsidRDefault="00091980" w:rsidP="00B66BBE">
            <w:pPr>
              <w:jc w:val="right"/>
              <w:rPr>
                <w:rFonts w:ascii="Arial" w:hAnsi="Arial" w:cs="Arial"/>
                <w:sz w:val="24"/>
                <w:szCs w:val="24"/>
              </w:rPr>
            </w:pPr>
            <w:r w:rsidRPr="005D72AE">
              <w:rPr>
                <w:rFonts w:ascii="Arial" w:hAnsi="Arial" w:cs="Arial"/>
                <w:sz w:val="24"/>
                <w:szCs w:val="24"/>
              </w:rPr>
              <w:t>238</w:t>
            </w:r>
          </w:p>
        </w:tc>
      </w:tr>
      <w:tr w:rsidR="00091980" w:rsidRPr="006430F6" w14:paraId="40E7B3EB" w14:textId="77777777" w:rsidTr="00B66BBE">
        <w:trPr>
          <w:trHeight w:val="270"/>
        </w:trPr>
        <w:tc>
          <w:tcPr>
            <w:tcW w:w="6848" w:type="dxa"/>
            <w:gridSpan w:val="2"/>
            <w:tcBorders>
              <w:bottom w:val="single" w:sz="4" w:space="0" w:color="auto"/>
            </w:tcBorders>
            <w:shd w:val="clear" w:color="auto" w:fill="auto"/>
            <w:vAlign w:val="bottom"/>
          </w:tcPr>
          <w:p w14:paraId="55D84C39" w14:textId="77777777" w:rsidR="00091980" w:rsidRPr="006430F6" w:rsidRDefault="00091980" w:rsidP="00B66BBE">
            <w:pPr>
              <w:rPr>
                <w:rFonts w:ascii="Arial" w:hAnsi="Arial" w:cs="Arial"/>
                <w:sz w:val="24"/>
                <w:szCs w:val="24"/>
              </w:rPr>
            </w:pPr>
            <w:r w:rsidRPr="00CA4D98">
              <w:rPr>
                <w:rFonts w:ascii="Arial" w:hAnsi="Arial" w:cs="Arial"/>
                <w:sz w:val="24"/>
                <w:szCs w:val="24"/>
              </w:rPr>
              <w:t>Other movement including foreign exchange</w:t>
            </w:r>
          </w:p>
        </w:tc>
        <w:tc>
          <w:tcPr>
            <w:tcW w:w="1242" w:type="dxa"/>
            <w:tcBorders>
              <w:bottom w:val="single" w:sz="4" w:space="0" w:color="auto"/>
            </w:tcBorders>
            <w:vAlign w:val="bottom"/>
          </w:tcPr>
          <w:p w14:paraId="65F0F78D" w14:textId="2B85DEC6" w:rsidR="00091980" w:rsidRPr="00CA4D98" w:rsidRDefault="00091980" w:rsidP="00B66BBE">
            <w:pPr>
              <w:jc w:val="right"/>
              <w:rPr>
                <w:rFonts w:ascii="Arial" w:hAnsi="Arial" w:cs="Arial"/>
                <w:b/>
                <w:sz w:val="24"/>
                <w:szCs w:val="24"/>
              </w:rPr>
            </w:pPr>
            <w:r w:rsidRPr="00CA4D98">
              <w:rPr>
                <w:rFonts w:ascii="Arial" w:hAnsi="Arial" w:cs="Arial"/>
                <w:b/>
                <w:sz w:val="24"/>
                <w:szCs w:val="24"/>
              </w:rPr>
              <w:t>(</w:t>
            </w:r>
            <w:r w:rsidR="00C8334C">
              <w:rPr>
                <w:rFonts w:ascii="Arial" w:hAnsi="Arial" w:cs="Arial"/>
                <w:b/>
                <w:sz w:val="24"/>
                <w:szCs w:val="24"/>
              </w:rPr>
              <w:t>31</w:t>
            </w:r>
            <w:r w:rsidRPr="00CA4D98">
              <w:rPr>
                <w:rFonts w:ascii="Arial" w:hAnsi="Arial" w:cs="Arial"/>
                <w:b/>
                <w:sz w:val="24"/>
                <w:szCs w:val="24"/>
              </w:rPr>
              <w:t>)</w:t>
            </w:r>
          </w:p>
        </w:tc>
        <w:tc>
          <w:tcPr>
            <w:tcW w:w="1418" w:type="dxa"/>
            <w:tcBorders>
              <w:bottom w:val="single" w:sz="4" w:space="0" w:color="auto"/>
            </w:tcBorders>
          </w:tcPr>
          <w:p w14:paraId="6855DC0C" w14:textId="77777777" w:rsidR="00091980" w:rsidRPr="005D72AE" w:rsidRDefault="00091980" w:rsidP="00B66BBE">
            <w:pPr>
              <w:jc w:val="right"/>
              <w:rPr>
                <w:rFonts w:ascii="Arial" w:hAnsi="Arial" w:cs="Arial"/>
                <w:sz w:val="24"/>
                <w:szCs w:val="24"/>
              </w:rPr>
            </w:pPr>
            <w:r w:rsidRPr="005D72AE">
              <w:rPr>
                <w:rFonts w:ascii="Arial" w:hAnsi="Arial" w:cs="Arial"/>
                <w:sz w:val="24"/>
                <w:szCs w:val="24"/>
              </w:rPr>
              <w:t>(27)</w:t>
            </w:r>
          </w:p>
        </w:tc>
      </w:tr>
      <w:tr w:rsidR="00091980" w:rsidRPr="006430F6" w14:paraId="17CFC363" w14:textId="77777777" w:rsidTr="00B66BBE">
        <w:trPr>
          <w:trHeight w:val="270"/>
        </w:trPr>
        <w:tc>
          <w:tcPr>
            <w:tcW w:w="6848" w:type="dxa"/>
            <w:gridSpan w:val="2"/>
            <w:tcBorders>
              <w:top w:val="single" w:sz="4" w:space="0" w:color="auto"/>
              <w:bottom w:val="single" w:sz="4" w:space="0" w:color="auto"/>
            </w:tcBorders>
            <w:shd w:val="clear" w:color="auto" w:fill="auto"/>
            <w:vAlign w:val="bottom"/>
          </w:tcPr>
          <w:p w14:paraId="13EE0601" w14:textId="77777777" w:rsidR="00091980" w:rsidRPr="006430F6" w:rsidRDefault="00091980" w:rsidP="00B66BBE">
            <w:pPr>
              <w:rPr>
                <w:rFonts w:ascii="Arial" w:hAnsi="Arial" w:cs="Arial"/>
                <w:b/>
                <w:sz w:val="24"/>
                <w:szCs w:val="24"/>
              </w:rPr>
            </w:pPr>
            <w:r w:rsidRPr="006430F6">
              <w:rPr>
                <w:rFonts w:ascii="Arial" w:hAnsi="Arial" w:cs="Arial"/>
                <w:b/>
                <w:sz w:val="24"/>
                <w:szCs w:val="24"/>
              </w:rPr>
              <w:t>Closing net cash</w:t>
            </w:r>
          </w:p>
        </w:tc>
        <w:tc>
          <w:tcPr>
            <w:tcW w:w="1242" w:type="dxa"/>
            <w:tcBorders>
              <w:top w:val="single" w:sz="4" w:space="0" w:color="auto"/>
              <w:bottom w:val="single" w:sz="4" w:space="0" w:color="auto"/>
            </w:tcBorders>
            <w:vAlign w:val="bottom"/>
          </w:tcPr>
          <w:p w14:paraId="2D6920B7" w14:textId="77777777" w:rsidR="00091980" w:rsidRPr="00CA4D98" w:rsidRDefault="00091980" w:rsidP="00B66BBE">
            <w:pPr>
              <w:jc w:val="right"/>
              <w:rPr>
                <w:rFonts w:ascii="Arial" w:hAnsi="Arial" w:cs="Arial"/>
                <w:b/>
                <w:sz w:val="24"/>
                <w:szCs w:val="24"/>
              </w:rPr>
            </w:pPr>
            <w:r w:rsidRPr="00CA4D98">
              <w:rPr>
                <w:rFonts w:ascii="Arial" w:hAnsi="Arial" w:cs="Arial"/>
                <w:b/>
                <w:sz w:val="24"/>
                <w:szCs w:val="24"/>
              </w:rPr>
              <w:t>435</w:t>
            </w:r>
          </w:p>
        </w:tc>
        <w:tc>
          <w:tcPr>
            <w:tcW w:w="1418" w:type="dxa"/>
            <w:tcBorders>
              <w:top w:val="single" w:sz="4" w:space="0" w:color="auto"/>
              <w:bottom w:val="single" w:sz="4" w:space="0" w:color="auto"/>
            </w:tcBorders>
          </w:tcPr>
          <w:p w14:paraId="3518E9D8" w14:textId="77777777" w:rsidR="00091980" w:rsidRPr="005D72AE" w:rsidRDefault="00091980" w:rsidP="00B66BBE">
            <w:pPr>
              <w:jc w:val="right"/>
              <w:rPr>
                <w:rFonts w:ascii="Arial" w:hAnsi="Arial" w:cs="Arial"/>
                <w:sz w:val="24"/>
                <w:szCs w:val="24"/>
              </w:rPr>
            </w:pPr>
            <w:r w:rsidRPr="005D72AE">
              <w:rPr>
                <w:rFonts w:ascii="Arial" w:hAnsi="Arial" w:cs="Arial"/>
                <w:sz w:val="24"/>
                <w:szCs w:val="24"/>
              </w:rPr>
              <w:t>496</w:t>
            </w:r>
          </w:p>
        </w:tc>
      </w:tr>
    </w:tbl>
    <w:p w14:paraId="18875E1F" w14:textId="6DDAADD7" w:rsidR="00091980" w:rsidRDefault="00091980" w:rsidP="00091980">
      <w:pPr>
        <w:jc w:val="left"/>
        <w:rPr>
          <w:rFonts w:ascii="Arial" w:hAnsi="Arial" w:cs="Arial"/>
          <w:sz w:val="18"/>
          <w:szCs w:val="18"/>
        </w:rPr>
      </w:pPr>
      <w:r w:rsidRPr="006430F6">
        <w:rPr>
          <w:rFonts w:ascii="Arial" w:hAnsi="Arial" w:cs="Arial"/>
          <w:sz w:val="18"/>
          <w:szCs w:val="18"/>
          <w:vertAlign w:val="superscript"/>
        </w:rPr>
        <w:t>(1)</w:t>
      </w:r>
      <w:r w:rsidRPr="006430F6">
        <w:rPr>
          <w:rFonts w:ascii="Arial" w:hAnsi="Arial" w:cs="Arial"/>
          <w:sz w:val="18"/>
          <w:szCs w:val="18"/>
        </w:rPr>
        <w:t xml:space="preserve"> Other non-cash items includes depreciation and amortisation, share-based compensation charge, share of post-tax results of JVs and associates, pension operating cost and profit/loss on non-property disposals</w:t>
      </w:r>
    </w:p>
    <w:p w14:paraId="6E8D4854" w14:textId="38AE4658" w:rsidR="005D21C0" w:rsidRPr="007429E1" w:rsidRDefault="005D21C0" w:rsidP="005D21C0">
      <w:pPr>
        <w:jc w:val="left"/>
        <w:rPr>
          <w:rFonts w:ascii="Arial" w:hAnsi="Arial" w:cs="Arial"/>
          <w:sz w:val="24"/>
          <w:szCs w:val="24"/>
        </w:rPr>
      </w:pPr>
      <w:r w:rsidRPr="005D21C0">
        <w:rPr>
          <w:rFonts w:ascii="Arial" w:hAnsi="Arial" w:cs="Arial"/>
          <w:sz w:val="18"/>
          <w:szCs w:val="18"/>
          <w:vertAlign w:val="superscript"/>
        </w:rPr>
        <w:t>(</w:t>
      </w:r>
      <w:r>
        <w:rPr>
          <w:rFonts w:ascii="Arial" w:hAnsi="Arial" w:cs="Arial"/>
          <w:sz w:val="18"/>
          <w:szCs w:val="18"/>
          <w:vertAlign w:val="superscript"/>
        </w:rPr>
        <w:t>2</w:t>
      </w:r>
      <w:r w:rsidRPr="005D21C0">
        <w:rPr>
          <w:rFonts w:ascii="Arial" w:hAnsi="Arial" w:cs="Arial"/>
          <w:sz w:val="18"/>
          <w:szCs w:val="18"/>
          <w:vertAlign w:val="superscript"/>
        </w:rPr>
        <w:t>)</w:t>
      </w:r>
      <w:r w:rsidRPr="000952F8">
        <w:rPr>
          <w:rFonts w:ascii="Arial" w:hAnsi="Arial" w:cs="Arial"/>
          <w:sz w:val="24"/>
          <w:szCs w:val="24"/>
        </w:rPr>
        <w:t xml:space="preserve"> </w:t>
      </w:r>
      <w:r>
        <w:rPr>
          <w:rFonts w:ascii="Arial" w:hAnsi="Arial" w:cs="Arial"/>
          <w:sz w:val="18"/>
          <w:szCs w:val="24"/>
        </w:rPr>
        <w:t>Disposal of assets includes the disposal of a property company</w:t>
      </w:r>
      <w:r w:rsidR="00BB74AF">
        <w:rPr>
          <w:rFonts w:ascii="Arial" w:hAnsi="Arial" w:cs="Arial"/>
          <w:sz w:val="18"/>
          <w:szCs w:val="24"/>
        </w:rPr>
        <w:t xml:space="preserve"> in the current period</w:t>
      </w:r>
    </w:p>
    <w:p w14:paraId="428F1A3D" w14:textId="19B747F5" w:rsidR="00091980" w:rsidRDefault="00091980" w:rsidP="00926779">
      <w:pPr>
        <w:ind w:right="-368"/>
        <w:rPr>
          <w:rFonts w:ascii="Arial" w:hAnsi="Arial" w:cs="Arial"/>
          <w:b/>
          <w:sz w:val="24"/>
          <w:szCs w:val="24"/>
        </w:rPr>
      </w:pPr>
      <w:r w:rsidRPr="006430F6">
        <w:rPr>
          <w:rFonts w:ascii="Arial" w:hAnsi="Arial" w:cs="Arial"/>
          <w:sz w:val="18"/>
          <w:szCs w:val="18"/>
          <w:vertAlign w:val="superscript"/>
        </w:rPr>
        <w:t>(</w:t>
      </w:r>
      <w:r w:rsidR="005D21C0">
        <w:rPr>
          <w:rFonts w:ascii="Arial" w:hAnsi="Arial" w:cs="Arial"/>
          <w:sz w:val="18"/>
          <w:szCs w:val="18"/>
          <w:vertAlign w:val="superscript"/>
        </w:rPr>
        <w:t>3</w:t>
      </w:r>
      <w:r w:rsidRPr="006430F6">
        <w:rPr>
          <w:rFonts w:ascii="Arial" w:hAnsi="Arial" w:cs="Arial"/>
          <w:sz w:val="18"/>
          <w:szCs w:val="18"/>
          <w:vertAlign w:val="superscript"/>
        </w:rPr>
        <w:t>)</w:t>
      </w:r>
      <w:r w:rsidRPr="006430F6">
        <w:rPr>
          <w:rFonts w:ascii="Arial" w:hAnsi="Arial" w:cs="Arial"/>
          <w:sz w:val="18"/>
          <w:szCs w:val="18"/>
        </w:rPr>
        <w:t xml:space="preserve"> Includes dividends received from JVs and associates, issue of shares and exceptional items (excluding property disposals</w:t>
      </w:r>
      <w:r w:rsidR="005D21C0">
        <w:rPr>
          <w:rFonts w:ascii="Arial" w:hAnsi="Arial" w:cs="Arial"/>
          <w:sz w:val="18"/>
          <w:szCs w:val="18"/>
        </w:rPr>
        <w:t>)</w:t>
      </w:r>
    </w:p>
    <w:p w14:paraId="660E1305" w14:textId="77777777" w:rsidR="006E3B41" w:rsidRDefault="006E3B41" w:rsidP="00E11421">
      <w:pPr>
        <w:jc w:val="left"/>
        <w:rPr>
          <w:rFonts w:ascii="Arial" w:hAnsi="Arial" w:cs="Arial"/>
          <w:b/>
          <w:sz w:val="24"/>
          <w:szCs w:val="24"/>
        </w:rPr>
      </w:pPr>
    </w:p>
    <w:p w14:paraId="0C372828" w14:textId="77777777" w:rsidR="00E11421" w:rsidRPr="005D72AE" w:rsidRDefault="00E11421" w:rsidP="00E11421">
      <w:pPr>
        <w:jc w:val="left"/>
        <w:rPr>
          <w:rFonts w:ascii="Arial" w:hAnsi="Arial" w:cs="Arial"/>
          <w:sz w:val="24"/>
          <w:szCs w:val="24"/>
        </w:rPr>
      </w:pPr>
      <w:r w:rsidRPr="005D72AE">
        <w:rPr>
          <w:rFonts w:ascii="Arial" w:hAnsi="Arial" w:cs="Arial"/>
          <w:b/>
          <w:sz w:val="24"/>
          <w:szCs w:val="24"/>
        </w:rPr>
        <w:t>Net cash</w:t>
      </w:r>
      <w:r w:rsidRPr="005D72AE">
        <w:rPr>
          <w:rFonts w:ascii="Arial" w:hAnsi="Arial" w:cs="Arial" w:hint="eastAsia"/>
          <w:sz w:val="24"/>
          <w:szCs w:val="24"/>
        </w:rPr>
        <w:t xml:space="preserve"> at the end of the </w:t>
      </w:r>
      <w:r>
        <w:rPr>
          <w:rFonts w:ascii="Arial" w:hAnsi="Arial" w:cs="Arial"/>
          <w:sz w:val="24"/>
          <w:szCs w:val="24"/>
        </w:rPr>
        <w:t>period</w:t>
      </w:r>
      <w:r w:rsidRPr="005D72AE">
        <w:rPr>
          <w:rFonts w:ascii="Arial" w:hAnsi="Arial" w:cs="Arial" w:hint="eastAsia"/>
          <w:sz w:val="24"/>
          <w:szCs w:val="24"/>
        </w:rPr>
        <w:t xml:space="preserve"> </w:t>
      </w:r>
      <w:r>
        <w:rPr>
          <w:rFonts w:ascii="Arial" w:hAnsi="Arial" w:cs="Arial"/>
          <w:sz w:val="24"/>
          <w:szCs w:val="24"/>
        </w:rPr>
        <w:t xml:space="preserve">was </w:t>
      </w:r>
      <w:r w:rsidRPr="00382193">
        <w:rPr>
          <w:rFonts w:ascii="Arial" w:hAnsi="Arial" w:cs="Arial"/>
          <w:sz w:val="24"/>
          <w:szCs w:val="24"/>
        </w:rPr>
        <w:t>£435</w:t>
      </w:r>
      <w:r w:rsidRPr="005D72AE">
        <w:rPr>
          <w:rFonts w:ascii="Arial" w:hAnsi="Arial" w:cs="Arial" w:hint="eastAsia"/>
          <w:sz w:val="24"/>
          <w:szCs w:val="24"/>
        </w:rPr>
        <w:t xml:space="preserve"> million (2014/15: </w:t>
      </w:r>
      <w:r w:rsidRPr="005D72AE">
        <w:rPr>
          <w:rFonts w:ascii="Arial" w:hAnsi="Arial" w:cs="Arial"/>
          <w:sz w:val="24"/>
          <w:szCs w:val="24"/>
        </w:rPr>
        <w:t>£</w:t>
      </w:r>
      <w:r>
        <w:rPr>
          <w:rFonts w:ascii="Arial" w:hAnsi="Arial" w:cs="Arial"/>
          <w:sz w:val="24"/>
          <w:szCs w:val="24"/>
        </w:rPr>
        <w:t>496</w:t>
      </w:r>
      <w:r w:rsidRPr="005D72AE">
        <w:rPr>
          <w:rFonts w:ascii="Arial" w:hAnsi="Arial" w:cs="Arial" w:hint="eastAsia"/>
          <w:sz w:val="24"/>
          <w:szCs w:val="24"/>
        </w:rPr>
        <w:t xml:space="preserve"> million net </w:t>
      </w:r>
      <w:r w:rsidRPr="005D72AE">
        <w:rPr>
          <w:rFonts w:ascii="Arial" w:hAnsi="Arial" w:cs="Arial"/>
          <w:sz w:val="24"/>
          <w:szCs w:val="24"/>
        </w:rPr>
        <w:t>cash</w:t>
      </w:r>
      <w:r w:rsidRPr="005D72AE">
        <w:rPr>
          <w:rFonts w:ascii="Arial" w:hAnsi="Arial" w:cs="Arial" w:hint="eastAsia"/>
          <w:sz w:val="24"/>
          <w:szCs w:val="24"/>
        </w:rPr>
        <w:t>).</w:t>
      </w:r>
    </w:p>
    <w:p w14:paraId="3B0C44F2" w14:textId="77777777" w:rsidR="00E11421" w:rsidRPr="00D461B1" w:rsidRDefault="00E11421" w:rsidP="00E11421">
      <w:pPr>
        <w:jc w:val="left"/>
        <w:rPr>
          <w:rFonts w:ascii="Arial" w:hAnsi="Arial" w:cs="Arial"/>
          <w:sz w:val="24"/>
          <w:szCs w:val="24"/>
          <w:highlight w:val="yellow"/>
        </w:rPr>
      </w:pPr>
    </w:p>
    <w:p w14:paraId="54FFE363" w14:textId="670C9C21" w:rsidR="000C5B09" w:rsidRPr="00D461B1" w:rsidRDefault="00E11421" w:rsidP="000C5B09">
      <w:pPr>
        <w:jc w:val="left"/>
        <w:rPr>
          <w:rFonts w:ascii="Arial" w:hAnsi="Arial" w:cs="Arial"/>
          <w:sz w:val="24"/>
          <w:szCs w:val="24"/>
        </w:rPr>
      </w:pPr>
      <w:r w:rsidRPr="005D72AE">
        <w:rPr>
          <w:rFonts w:ascii="Arial" w:hAnsi="Arial" w:cs="Arial"/>
          <w:b/>
          <w:sz w:val="24"/>
          <w:szCs w:val="24"/>
        </w:rPr>
        <w:t>Free cash flow</w:t>
      </w:r>
      <w:r>
        <w:rPr>
          <w:rFonts w:ascii="Arial" w:hAnsi="Arial" w:cs="Arial"/>
          <w:sz w:val="24"/>
          <w:szCs w:val="24"/>
        </w:rPr>
        <w:t xml:space="preserve"> of £</w:t>
      </w:r>
      <w:r w:rsidR="00382193" w:rsidRPr="00382193">
        <w:rPr>
          <w:rFonts w:ascii="Arial" w:hAnsi="Arial" w:cs="Arial"/>
          <w:sz w:val="24"/>
          <w:szCs w:val="24"/>
        </w:rPr>
        <w:t>30</w:t>
      </w:r>
      <w:r w:rsidRPr="00382193">
        <w:rPr>
          <w:rFonts w:ascii="Arial" w:hAnsi="Arial" w:cs="Arial"/>
          <w:sz w:val="24"/>
          <w:szCs w:val="24"/>
        </w:rPr>
        <w:t>8</w:t>
      </w:r>
      <w:r w:rsidRPr="005D72AE">
        <w:rPr>
          <w:rFonts w:ascii="Arial" w:hAnsi="Arial" w:cs="Arial"/>
          <w:sz w:val="24"/>
          <w:szCs w:val="24"/>
        </w:rPr>
        <w:t xml:space="preserve"> million was generated in the </w:t>
      </w:r>
      <w:r w:rsidR="00BB74AF">
        <w:rPr>
          <w:rFonts w:ascii="Arial" w:hAnsi="Arial" w:cs="Arial"/>
          <w:sz w:val="24"/>
          <w:szCs w:val="24"/>
        </w:rPr>
        <w:t>period</w:t>
      </w:r>
      <w:r w:rsidRPr="005D72AE">
        <w:rPr>
          <w:rFonts w:ascii="Arial" w:hAnsi="Arial" w:cs="Arial"/>
          <w:sz w:val="24"/>
          <w:szCs w:val="24"/>
        </w:rPr>
        <w:t xml:space="preserve">, </w:t>
      </w:r>
      <w:r w:rsidRPr="00382193">
        <w:rPr>
          <w:rFonts w:ascii="Arial" w:hAnsi="Arial" w:cs="Arial"/>
          <w:sz w:val="24"/>
          <w:szCs w:val="24"/>
        </w:rPr>
        <w:t>a decrease of £</w:t>
      </w:r>
      <w:r w:rsidR="00382193" w:rsidRPr="00382193">
        <w:rPr>
          <w:rFonts w:ascii="Arial" w:hAnsi="Arial" w:cs="Arial"/>
          <w:sz w:val="24"/>
          <w:szCs w:val="24"/>
        </w:rPr>
        <w:t>7</w:t>
      </w:r>
      <w:r w:rsidRPr="00382193">
        <w:rPr>
          <w:rFonts w:ascii="Arial" w:hAnsi="Arial" w:cs="Arial"/>
          <w:sz w:val="24"/>
          <w:szCs w:val="24"/>
        </w:rPr>
        <w:t>5 million</w:t>
      </w:r>
      <w:r w:rsidRPr="005D72AE">
        <w:rPr>
          <w:rFonts w:ascii="Arial" w:hAnsi="Arial" w:cs="Arial"/>
          <w:sz w:val="24"/>
          <w:szCs w:val="24"/>
        </w:rPr>
        <w:t xml:space="preserve"> </w:t>
      </w:r>
      <w:r w:rsidRPr="00195C53">
        <w:rPr>
          <w:rFonts w:ascii="Arial" w:hAnsi="Arial" w:cs="Arial"/>
          <w:sz w:val="24"/>
          <w:szCs w:val="24"/>
        </w:rPr>
        <w:t xml:space="preserve">against the prior </w:t>
      </w:r>
      <w:r w:rsidR="00BB74AF">
        <w:rPr>
          <w:rFonts w:ascii="Arial" w:hAnsi="Arial" w:cs="Arial"/>
          <w:sz w:val="24"/>
          <w:szCs w:val="24"/>
        </w:rPr>
        <w:t>period</w:t>
      </w:r>
      <w:r w:rsidRPr="00195C53">
        <w:rPr>
          <w:rFonts w:ascii="Arial" w:hAnsi="Arial" w:cs="Arial"/>
          <w:sz w:val="24"/>
          <w:szCs w:val="24"/>
        </w:rPr>
        <w:t>, due primarily to higher capital expenditure.</w:t>
      </w:r>
      <w:r>
        <w:rPr>
          <w:rFonts w:ascii="Arial" w:hAnsi="Arial" w:cs="Arial"/>
          <w:sz w:val="24"/>
          <w:szCs w:val="24"/>
        </w:rPr>
        <w:t xml:space="preserve"> </w:t>
      </w:r>
      <w:r w:rsidR="000C5B09" w:rsidRPr="00D461B1">
        <w:rPr>
          <w:rFonts w:ascii="Arial" w:hAnsi="Arial" w:cs="Arial"/>
          <w:sz w:val="24"/>
          <w:szCs w:val="24"/>
        </w:rPr>
        <w:t>Gross capital expenditure for the half year was £17</w:t>
      </w:r>
      <w:r w:rsidR="00C8334C">
        <w:rPr>
          <w:rFonts w:ascii="Arial" w:hAnsi="Arial" w:cs="Arial"/>
          <w:sz w:val="24"/>
          <w:szCs w:val="24"/>
        </w:rPr>
        <w:t>7</w:t>
      </w:r>
      <w:r w:rsidR="000C5B09" w:rsidRPr="00D461B1">
        <w:rPr>
          <w:rFonts w:ascii="Arial" w:hAnsi="Arial" w:cs="Arial"/>
          <w:sz w:val="24"/>
          <w:szCs w:val="24"/>
        </w:rPr>
        <w:t xml:space="preserve"> million (H1 2014/15: £11</w:t>
      </w:r>
      <w:r w:rsidR="00C8334C">
        <w:rPr>
          <w:rFonts w:ascii="Arial" w:hAnsi="Arial" w:cs="Arial"/>
          <w:sz w:val="24"/>
          <w:szCs w:val="24"/>
        </w:rPr>
        <w:t>9</w:t>
      </w:r>
      <w:r w:rsidR="000C5B09" w:rsidRPr="00D461B1">
        <w:rPr>
          <w:rFonts w:ascii="Arial" w:hAnsi="Arial" w:cs="Arial"/>
          <w:sz w:val="24"/>
          <w:szCs w:val="24"/>
        </w:rPr>
        <w:t xml:space="preserve"> million). Of this around 1</w:t>
      </w:r>
      <w:r w:rsidR="00C8334C">
        <w:rPr>
          <w:rFonts w:ascii="Arial" w:hAnsi="Arial" w:cs="Arial"/>
          <w:sz w:val="24"/>
          <w:szCs w:val="24"/>
        </w:rPr>
        <w:t>9</w:t>
      </w:r>
      <w:r w:rsidR="000C5B09" w:rsidRPr="00D461B1">
        <w:rPr>
          <w:rFonts w:ascii="Arial" w:hAnsi="Arial" w:cs="Arial"/>
          <w:sz w:val="24"/>
          <w:szCs w:val="24"/>
        </w:rPr>
        <w:t>% was invested in new stores and relocations, 44% on existing stores and 3</w:t>
      </w:r>
      <w:r w:rsidR="00C8334C">
        <w:rPr>
          <w:rFonts w:ascii="Arial" w:hAnsi="Arial" w:cs="Arial"/>
          <w:sz w:val="24"/>
          <w:szCs w:val="24"/>
        </w:rPr>
        <w:t>7</w:t>
      </w:r>
      <w:r w:rsidR="000C5B09" w:rsidRPr="00D461B1">
        <w:rPr>
          <w:rFonts w:ascii="Arial" w:hAnsi="Arial" w:cs="Arial"/>
          <w:sz w:val="24"/>
          <w:szCs w:val="24"/>
        </w:rPr>
        <w:t xml:space="preserve">% on IT, supply chain and </w:t>
      </w:r>
      <w:proofErr w:type="spellStart"/>
      <w:r w:rsidR="000C5B09" w:rsidRPr="00D461B1">
        <w:rPr>
          <w:rFonts w:ascii="Arial" w:hAnsi="Arial" w:cs="Arial"/>
          <w:sz w:val="24"/>
          <w:szCs w:val="24"/>
        </w:rPr>
        <w:t>omnichannel</w:t>
      </w:r>
      <w:proofErr w:type="spellEnd"/>
      <w:r w:rsidR="000C5B09" w:rsidRPr="00D461B1">
        <w:rPr>
          <w:rFonts w:ascii="Arial" w:hAnsi="Arial" w:cs="Arial"/>
          <w:sz w:val="24"/>
          <w:szCs w:val="24"/>
        </w:rPr>
        <w:t xml:space="preserve"> development. </w:t>
      </w:r>
    </w:p>
    <w:p w14:paraId="6EE7F67A" w14:textId="77777777" w:rsidR="00E11421" w:rsidRPr="005D72AE" w:rsidRDefault="00E11421" w:rsidP="00E11421">
      <w:pPr>
        <w:jc w:val="left"/>
        <w:rPr>
          <w:rFonts w:ascii="Arial" w:hAnsi="Arial" w:cs="Arial"/>
          <w:sz w:val="24"/>
          <w:szCs w:val="24"/>
        </w:rPr>
      </w:pPr>
    </w:p>
    <w:p w14:paraId="53E7AB3E" w14:textId="693E83B5" w:rsidR="00E11421" w:rsidRPr="005D72AE" w:rsidRDefault="00E11421" w:rsidP="00E11421">
      <w:pPr>
        <w:jc w:val="left"/>
        <w:rPr>
          <w:rFonts w:ascii="Arial" w:hAnsi="Arial" w:cs="Arial"/>
          <w:sz w:val="24"/>
          <w:szCs w:val="24"/>
        </w:rPr>
      </w:pPr>
      <w:r w:rsidRPr="005D72AE">
        <w:rPr>
          <w:rFonts w:ascii="Arial" w:hAnsi="Arial" w:cs="Arial"/>
          <w:sz w:val="24"/>
          <w:szCs w:val="24"/>
        </w:rPr>
        <w:t>Of free cash flow</w:t>
      </w:r>
      <w:r w:rsidR="00C124A4">
        <w:rPr>
          <w:rFonts w:ascii="Arial" w:hAnsi="Arial" w:cs="Arial"/>
          <w:sz w:val="24"/>
          <w:szCs w:val="24"/>
        </w:rPr>
        <w:t>,</w:t>
      </w:r>
      <w:r w:rsidRPr="005D72AE">
        <w:rPr>
          <w:rFonts w:ascii="Arial" w:hAnsi="Arial" w:cs="Arial"/>
          <w:sz w:val="24"/>
          <w:szCs w:val="24"/>
        </w:rPr>
        <w:t xml:space="preserve"> £</w:t>
      </w:r>
      <w:r w:rsidR="00382193" w:rsidRPr="00382193">
        <w:rPr>
          <w:rFonts w:ascii="Arial" w:hAnsi="Arial" w:cs="Arial"/>
          <w:sz w:val="24"/>
          <w:szCs w:val="24"/>
        </w:rPr>
        <w:t>299</w:t>
      </w:r>
      <w:r w:rsidRPr="005D72AE">
        <w:rPr>
          <w:rFonts w:ascii="Arial" w:hAnsi="Arial" w:cs="Arial"/>
          <w:sz w:val="24"/>
          <w:szCs w:val="24"/>
        </w:rPr>
        <w:t xml:space="preserve"> million was returned to shareholders in the form of the ordinary dividend</w:t>
      </w:r>
      <w:r>
        <w:rPr>
          <w:rFonts w:ascii="Arial" w:hAnsi="Arial" w:cs="Arial"/>
          <w:sz w:val="24"/>
          <w:szCs w:val="24"/>
        </w:rPr>
        <w:t xml:space="preserve"> and share buyback</w:t>
      </w:r>
      <w:r w:rsidR="00453AB5">
        <w:rPr>
          <w:rFonts w:ascii="Arial" w:hAnsi="Arial" w:cs="Arial"/>
          <w:sz w:val="24"/>
          <w:szCs w:val="24"/>
        </w:rPr>
        <w:t>s</w:t>
      </w:r>
      <w:r w:rsidRPr="005D72AE">
        <w:rPr>
          <w:rFonts w:ascii="Arial" w:hAnsi="Arial" w:cs="Arial"/>
          <w:sz w:val="24"/>
          <w:szCs w:val="24"/>
        </w:rPr>
        <w:t xml:space="preserve">. </w:t>
      </w:r>
      <w:r>
        <w:rPr>
          <w:rFonts w:ascii="Arial" w:hAnsi="Arial" w:cs="Arial"/>
          <w:sz w:val="24"/>
          <w:szCs w:val="24"/>
        </w:rPr>
        <w:t>A further £</w:t>
      </w:r>
      <w:r w:rsidR="00382193" w:rsidRPr="00382193">
        <w:rPr>
          <w:rFonts w:ascii="Arial" w:hAnsi="Arial" w:cs="Arial"/>
          <w:sz w:val="24"/>
          <w:szCs w:val="24"/>
        </w:rPr>
        <w:t>11</w:t>
      </w:r>
      <w:r w:rsidRPr="005D72AE">
        <w:rPr>
          <w:rFonts w:ascii="Arial" w:hAnsi="Arial" w:cs="Arial"/>
          <w:sz w:val="24"/>
          <w:szCs w:val="24"/>
        </w:rPr>
        <w:t xml:space="preserve"> million was used to buy shares to cover future share awards for employee incentive schemes. </w:t>
      </w:r>
    </w:p>
    <w:p w14:paraId="6A13231F" w14:textId="77777777" w:rsidR="003A298D" w:rsidRPr="00D461B1" w:rsidRDefault="003A298D" w:rsidP="003A298D">
      <w:pPr>
        <w:jc w:val="left"/>
        <w:rPr>
          <w:rFonts w:ascii="Arial" w:hAnsi="Arial" w:cs="Arial"/>
          <w:sz w:val="24"/>
        </w:rPr>
      </w:pPr>
    </w:p>
    <w:p w14:paraId="7B374156" w14:textId="77777777" w:rsidR="003A298D" w:rsidRPr="00D461B1" w:rsidRDefault="003A298D" w:rsidP="003A298D">
      <w:pPr>
        <w:jc w:val="left"/>
        <w:rPr>
          <w:rFonts w:ascii="Arial" w:hAnsi="Arial" w:cs="Arial"/>
          <w:b/>
          <w:sz w:val="24"/>
        </w:rPr>
      </w:pPr>
      <w:r w:rsidRPr="00D461B1">
        <w:rPr>
          <w:rFonts w:ascii="Arial" w:hAnsi="Arial" w:cs="Arial"/>
          <w:b/>
          <w:sz w:val="24"/>
          <w:szCs w:val="24"/>
        </w:rPr>
        <w:t>Management of balance sheet and liquidity risk and financing</w:t>
      </w:r>
    </w:p>
    <w:p w14:paraId="11D281B9" w14:textId="77777777" w:rsidR="003A298D" w:rsidRPr="00D461B1" w:rsidRDefault="003A298D" w:rsidP="003A298D">
      <w:pPr>
        <w:jc w:val="left"/>
        <w:rPr>
          <w:rFonts w:ascii="Arial" w:hAnsi="Arial" w:cs="Arial"/>
          <w:sz w:val="24"/>
          <w:szCs w:val="24"/>
        </w:rPr>
      </w:pPr>
    </w:p>
    <w:p w14:paraId="55CEDBC2" w14:textId="77777777" w:rsidR="00CB3439" w:rsidRPr="00D461B1" w:rsidRDefault="00CB3439" w:rsidP="00CB3439">
      <w:pPr>
        <w:ind w:right="-368"/>
        <w:jc w:val="left"/>
        <w:rPr>
          <w:rFonts w:ascii="Arial" w:hAnsi="Arial" w:cs="Arial"/>
          <w:sz w:val="24"/>
          <w:szCs w:val="24"/>
        </w:rPr>
      </w:pPr>
      <w:r w:rsidRPr="00D461B1">
        <w:rPr>
          <w:rFonts w:ascii="Arial" w:hAnsi="Arial" w:cs="Arial"/>
          <w:sz w:val="24"/>
          <w:szCs w:val="24"/>
        </w:rPr>
        <w:t xml:space="preserve">The Group finished the period with </w:t>
      </w:r>
      <w:r w:rsidRPr="00382193">
        <w:rPr>
          <w:rFonts w:ascii="Arial" w:hAnsi="Arial" w:cs="Arial"/>
          <w:sz w:val="24"/>
          <w:szCs w:val="24"/>
        </w:rPr>
        <w:t>£435</w:t>
      </w:r>
      <w:r w:rsidRPr="00D461B1">
        <w:rPr>
          <w:rFonts w:ascii="Arial" w:hAnsi="Arial" w:cs="Arial"/>
          <w:sz w:val="24"/>
          <w:szCs w:val="24"/>
        </w:rPr>
        <w:t xml:space="preserve"> million of net cash on the balance sheet. However the Group’s overall leverage is more significant when including capitalised lease debt that in </w:t>
      </w:r>
      <w:r w:rsidRPr="00D461B1">
        <w:rPr>
          <w:rFonts w:ascii="Arial" w:hAnsi="Arial" w:cs="Arial"/>
          <w:sz w:val="24"/>
          <w:szCs w:val="24"/>
        </w:rPr>
        <w:lastRenderedPageBreak/>
        <w:t xml:space="preserve">accordance with accounting standards does not appear on the balance sheet. The ratio of the Group’s lease adjusted net debt (capitalising leases at 8 times annual rent) to EBITDAR* on a moving annual total basis is </w:t>
      </w:r>
      <w:r w:rsidRPr="00CB3439">
        <w:rPr>
          <w:rFonts w:ascii="Arial" w:hAnsi="Arial" w:cs="Arial"/>
          <w:sz w:val="24"/>
          <w:szCs w:val="24"/>
        </w:rPr>
        <w:t>2.1</w:t>
      </w:r>
      <w:r>
        <w:rPr>
          <w:rFonts w:ascii="Arial" w:hAnsi="Arial" w:cs="Arial"/>
          <w:sz w:val="24"/>
          <w:szCs w:val="24"/>
        </w:rPr>
        <w:t xml:space="preserve"> times as at 1</w:t>
      </w:r>
      <w:r w:rsidRPr="00D461B1">
        <w:rPr>
          <w:rFonts w:ascii="Arial" w:hAnsi="Arial" w:cs="Arial"/>
          <w:sz w:val="24"/>
          <w:szCs w:val="24"/>
        </w:rPr>
        <w:t xml:space="preserve"> August 2015. At this level the Group has financial flexibility whilst retaining an efficient cost of capital.</w:t>
      </w:r>
    </w:p>
    <w:p w14:paraId="1EAA9886" w14:textId="77777777" w:rsidR="003A298D" w:rsidRPr="00D461B1" w:rsidRDefault="003A298D" w:rsidP="003A298D">
      <w:pPr>
        <w:jc w:val="left"/>
        <w:rPr>
          <w:rFonts w:ascii="Arial" w:hAnsi="Arial" w:cs="Arial"/>
          <w:sz w:val="24"/>
          <w:szCs w:val="24"/>
        </w:rPr>
      </w:pPr>
    </w:p>
    <w:p w14:paraId="11AA2147" w14:textId="77777777" w:rsidR="003A298D" w:rsidRPr="00D461B1" w:rsidRDefault="003A298D" w:rsidP="003A298D">
      <w:pPr>
        <w:jc w:val="left"/>
        <w:rPr>
          <w:rFonts w:ascii="Arial" w:hAnsi="Arial" w:cs="Arial"/>
          <w:sz w:val="24"/>
          <w:szCs w:val="24"/>
        </w:rPr>
      </w:pPr>
      <w:r w:rsidRPr="00D461B1">
        <w:rPr>
          <w:rFonts w:ascii="Arial" w:hAnsi="Arial" w:cs="Arial" w:hint="eastAsia"/>
          <w:sz w:val="24"/>
          <w:szCs w:val="24"/>
        </w:rPr>
        <w:t xml:space="preserve">A reconciliation of </w:t>
      </w:r>
      <w:r w:rsidRPr="00D461B1">
        <w:rPr>
          <w:rFonts w:ascii="Arial" w:hAnsi="Arial" w:cs="Arial"/>
          <w:sz w:val="24"/>
          <w:szCs w:val="24"/>
        </w:rPr>
        <w:t xml:space="preserve">lease adjusted net debt to EBITDAR </w:t>
      </w:r>
      <w:r w:rsidRPr="00D461B1">
        <w:rPr>
          <w:rFonts w:ascii="Arial" w:hAnsi="Arial" w:cs="Arial" w:hint="eastAsia"/>
          <w:sz w:val="24"/>
          <w:szCs w:val="24"/>
        </w:rPr>
        <w:t>is set out below:</w:t>
      </w:r>
    </w:p>
    <w:p w14:paraId="46CB570A" w14:textId="77777777" w:rsidR="003A298D" w:rsidRPr="00D461B1" w:rsidRDefault="003A298D" w:rsidP="003A298D">
      <w:pPr>
        <w:jc w:val="left"/>
        <w:rPr>
          <w:rFonts w:ascii="Arial" w:hAnsi="Arial" w:cs="Arial"/>
          <w:sz w:val="24"/>
          <w:szCs w:val="24"/>
        </w:rPr>
      </w:pPr>
    </w:p>
    <w:tbl>
      <w:tblPr>
        <w:tblW w:w="8832" w:type="dxa"/>
        <w:tblInd w:w="98" w:type="dxa"/>
        <w:tblLayout w:type="fixed"/>
        <w:tblLook w:val="04A0" w:firstRow="1" w:lastRow="0" w:firstColumn="1" w:lastColumn="0" w:noHBand="0" w:noVBand="1"/>
      </w:tblPr>
      <w:tblGrid>
        <w:gridCol w:w="4722"/>
        <w:gridCol w:w="2551"/>
        <w:gridCol w:w="1559"/>
      </w:tblGrid>
      <w:tr w:rsidR="003A298D" w:rsidRPr="00D461B1" w14:paraId="16701523" w14:textId="77777777" w:rsidTr="008E7ABE">
        <w:trPr>
          <w:trHeight w:val="555"/>
        </w:trPr>
        <w:tc>
          <w:tcPr>
            <w:tcW w:w="4722" w:type="dxa"/>
            <w:vAlign w:val="bottom"/>
          </w:tcPr>
          <w:p w14:paraId="01D707F5" w14:textId="77777777" w:rsidR="003A298D" w:rsidRPr="00D461B1" w:rsidRDefault="003A298D" w:rsidP="008E7ABE">
            <w:pPr>
              <w:jc w:val="left"/>
              <w:rPr>
                <w:rFonts w:ascii="Arial" w:hAnsi="Arial" w:cs="Arial"/>
                <w:bCs/>
                <w:sz w:val="24"/>
                <w:szCs w:val="24"/>
              </w:rPr>
            </w:pPr>
          </w:p>
        </w:tc>
        <w:tc>
          <w:tcPr>
            <w:tcW w:w="2551" w:type="dxa"/>
            <w:vAlign w:val="bottom"/>
            <w:hideMark/>
          </w:tcPr>
          <w:p w14:paraId="3158F601" w14:textId="77777777" w:rsidR="003A298D" w:rsidRDefault="003A298D" w:rsidP="008E7ABE">
            <w:pPr>
              <w:jc w:val="right"/>
              <w:rPr>
                <w:rFonts w:ascii="Arial" w:hAnsi="Arial" w:cs="Arial"/>
                <w:b/>
                <w:bCs/>
                <w:sz w:val="24"/>
                <w:szCs w:val="24"/>
              </w:rPr>
            </w:pPr>
            <w:r w:rsidRPr="00D461B1">
              <w:rPr>
                <w:rFonts w:ascii="Arial" w:hAnsi="Arial" w:cs="Arial"/>
                <w:b/>
                <w:bCs/>
                <w:sz w:val="24"/>
                <w:szCs w:val="24"/>
              </w:rPr>
              <w:t>2015/16</w:t>
            </w:r>
          </w:p>
          <w:p w14:paraId="5B823684" w14:textId="783AC7E6" w:rsidR="00C8334C" w:rsidRPr="00D461B1" w:rsidRDefault="00C8334C" w:rsidP="00C8334C">
            <w:pPr>
              <w:jc w:val="right"/>
              <w:rPr>
                <w:rFonts w:ascii="Arial" w:hAnsi="Arial" w:cs="Arial"/>
                <w:b/>
                <w:bCs/>
                <w:sz w:val="24"/>
                <w:szCs w:val="24"/>
              </w:rPr>
            </w:pPr>
            <w:r>
              <w:rPr>
                <w:rFonts w:ascii="Arial" w:hAnsi="Arial" w:cs="Arial"/>
                <w:b/>
                <w:bCs/>
                <w:sz w:val="24"/>
                <w:szCs w:val="24"/>
              </w:rPr>
              <w:t>Moving annual total</w:t>
            </w:r>
          </w:p>
          <w:p w14:paraId="3CE26074" w14:textId="77777777" w:rsidR="003A298D" w:rsidRPr="00D461B1" w:rsidRDefault="003A298D" w:rsidP="008E7ABE">
            <w:pPr>
              <w:jc w:val="right"/>
              <w:rPr>
                <w:rFonts w:ascii="Arial" w:hAnsi="Arial" w:cs="Arial"/>
                <w:b/>
                <w:bCs/>
                <w:sz w:val="24"/>
                <w:szCs w:val="24"/>
              </w:rPr>
            </w:pPr>
            <w:r w:rsidRPr="00D461B1">
              <w:rPr>
                <w:rFonts w:ascii="Arial" w:hAnsi="Arial" w:cs="Arial"/>
                <w:b/>
                <w:bCs/>
                <w:sz w:val="24"/>
                <w:szCs w:val="24"/>
              </w:rPr>
              <w:t>£m</w:t>
            </w:r>
          </w:p>
        </w:tc>
        <w:tc>
          <w:tcPr>
            <w:tcW w:w="1559" w:type="dxa"/>
            <w:vAlign w:val="bottom"/>
            <w:hideMark/>
          </w:tcPr>
          <w:p w14:paraId="539B15AF" w14:textId="04AFA10F" w:rsidR="003A298D" w:rsidRPr="00D461B1" w:rsidRDefault="003A298D" w:rsidP="008E7ABE">
            <w:pPr>
              <w:jc w:val="right"/>
              <w:rPr>
                <w:rFonts w:ascii="Arial" w:hAnsi="Arial" w:cs="Arial"/>
                <w:bCs/>
                <w:sz w:val="24"/>
                <w:szCs w:val="24"/>
              </w:rPr>
            </w:pPr>
            <w:r w:rsidRPr="00D461B1">
              <w:rPr>
                <w:rFonts w:ascii="Arial" w:hAnsi="Arial" w:cs="Arial"/>
                <w:bCs/>
                <w:sz w:val="24"/>
                <w:szCs w:val="24"/>
              </w:rPr>
              <w:t>2014/15</w:t>
            </w:r>
          </w:p>
          <w:p w14:paraId="317D2D4B" w14:textId="2A463B53" w:rsidR="00C8334C" w:rsidRDefault="00C8334C" w:rsidP="00C8334C">
            <w:pPr>
              <w:jc w:val="right"/>
              <w:rPr>
                <w:rFonts w:ascii="Arial" w:hAnsi="Arial" w:cs="Arial"/>
                <w:bCs/>
                <w:sz w:val="24"/>
                <w:szCs w:val="24"/>
              </w:rPr>
            </w:pPr>
            <w:r>
              <w:rPr>
                <w:rFonts w:ascii="Arial" w:hAnsi="Arial" w:cs="Arial"/>
                <w:bCs/>
                <w:sz w:val="24"/>
                <w:szCs w:val="24"/>
              </w:rPr>
              <w:t>Year end</w:t>
            </w:r>
            <w:r w:rsidRPr="00C0194C">
              <w:rPr>
                <w:rFonts w:ascii="Arial" w:hAnsi="Arial" w:cs="Arial"/>
                <w:bCs/>
                <w:i/>
                <w:sz w:val="24"/>
                <w:szCs w:val="24"/>
                <w:vertAlign w:val="superscript"/>
              </w:rPr>
              <w:t>(1)</w:t>
            </w:r>
          </w:p>
          <w:p w14:paraId="7F9BC8B7" w14:textId="77777777" w:rsidR="003A298D" w:rsidRPr="00D461B1" w:rsidRDefault="003A298D" w:rsidP="008E7ABE">
            <w:pPr>
              <w:jc w:val="right"/>
              <w:rPr>
                <w:rFonts w:ascii="Arial" w:hAnsi="Arial" w:cs="Arial"/>
                <w:bCs/>
                <w:sz w:val="24"/>
                <w:szCs w:val="24"/>
              </w:rPr>
            </w:pPr>
            <w:r w:rsidRPr="00D461B1">
              <w:rPr>
                <w:rFonts w:ascii="Arial" w:hAnsi="Arial" w:cs="Arial"/>
                <w:bCs/>
                <w:sz w:val="24"/>
                <w:szCs w:val="24"/>
              </w:rPr>
              <w:t>£m</w:t>
            </w:r>
          </w:p>
        </w:tc>
      </w:tr>
      <w:tr w:rsidR="00CB3439" w:rsidRPr="00D461B1" w14:paraId="0A98F6FD" w14:textId="77777777" w:rsidTr="008E7ABE">
        <w:trPr>
          <w:trHeight w:val="255"/>
        </w:trPr>
        <w:tc>
          <w:tcPr>
            <w:tcW w:w="4722" w:type="dxa"/>
            <w:tcBorders>
              <w:top w:val="single" w:sz="4" w:space="0" w:color="auto"/>
              <w:left w:val="nil"/>
              <w:bottom w:val="nil"/>
              <w:right w:val="nil"/>
            </w:tcBorders>
            <w:vAlign w:val="bottom"/>
            <w:hideMark/>
          </w:tcPr>
          <w:p w14:paraId="64E78E8B" w14:textId="77777777" w:rsidR="00CB3439" w:rsidRPr="00D461B1" w:rsidRDefault="00CB3439" w:rsidP="00CB3439">
            <w:pPr>
              <w:rPr>
                <w:rFonts w:ascii="Arial" w:hAnsi="Arial" w:cs="Arial"/>
                <w:sz w:val="24"/>
                <w:szCs w:val="24"/>
              </w:rPr>
            </w:pPr>
            <w:r w:rsidRPr="00D461B1">
              <w:rPr>
                <w:rFonts w:ascii="Arial" w:hAnsi="Arial" w:cs="Arial"/>
                <w:sz w:val="24"/>
                <w:szCs w:val="24"/>
              </w:rPr>
              <w:t>EBITDA*</w:t>
            </w:r>
          </w:p>
        </w:tc>
        <w:tc>
          <w:tcPr>
            <w:tcW w:w="2551" w:type="dxa"/>
            <w:tcBorders>
              <w:top w:val="single" w:sz="4" w:space="0" w:color="auto"/>
              <w:left w:val="nil"/>
              <w:bottom w:val="nil"/>
              <w:right w:val="nil"/>
            </w:tcBorders>
            <w:vAlign w:val="bottom"/>
          </w:tcPr>
          <w:p w14:paraId="2254587E" w14:textId="4F854AB3" w:rsidR="00CB3439" w:rsidRPr="00926779" w:rsidRDefault="00CB3439" w:rsidP="00CB3439">
            <w:pPr>
              <w:jc w:val="right"/>
              <w:rPr>
                <w:rFonts w:ascii="Arial" w:hAnsi="Arial" w:cs="Arial"/>
                <w:b/>
                <w:sz w:val="24"/>
                <w:szCs w:val="24"/>
              </w:rPr>
            </w:pPr>
            <w:r w:rsidRPr="00926779">
              <w:rPr>
                <w:rFonts w:ascii="Arial" w:hAnsi="Arial" w:cs="Arial"/>
                <w:b/>
                <w:sz w:val="24"/>
                <w:szCs w:val="24"/>
              </w:rPr>
              <w:t>938</w:t>
            </w:r>
          </w:p>
        </w:tc>
        <w:tc>
          <w:tcPr>
            <w:tcW w:w="1559" w:type="dxa"/>
            <w:tcBorders>
              <w:top w:val="single" w:sz="4" w:space="0" w:color="auto"/>
              <w:left w:val="nil"/>
              <w:bottom w:val="nil"/>
              <w:right w:val="nil"/>
            </w:tcBorders>
            <w:vAlign w:val="bottom"/>
          </w:tcPr>
          <w:p w14:paraId="18D3A621" w14:textId="478F8CB1" w:rsidR="00CB3439" w:rsidRPr="00D461B1" w:rsidRDefault="00CB3439" w:rsidP="00CB3439">
            <w:pPr>
              <w:jc w:val="right"/>
              <w:rPr>
                <w:rFonts w:ascii="Arial" w:hAnsi="Arial" w:cs="Arial"/>
                <w:sz w:val="24"/>
                <w:szCs w:val="24"/>
              </w:rPr>
            </w:pPr>
            <w:r>
              <w:rPr>
                <w:rFonts w:ascii="Arial" w:hAnsi="Arial" w:cs="Arial"/>
                <w:sz w:val="24"/>
                <w:szCs w:val="24"/>
              </w:rPr>
              <w:t>953</w:t>
            </w:r>
          </w:p>
        </w:tc>
      </w:tr>
      <w:tr w:rsidR="00CB3439" w:rsidRPr="00D461B1" w14:paraId="5B0F7E31" w14:textId="77777777" w:rsidTr="008E7ABE">
        <w:trPr>
          <w:trHeight w:val="255"/>
        </w:trPr>
        <w:tc>
          <w:tcPr>
            <w:tcW w:w="4722" w:type="dxa"/>
            <w:tcBorders>
              <w:top w:val="nil"/>
              <w:left w:val="nil"/>
              <w:bottom w:val="single" w:sz="4" w:space="0" w:color="auto"/>
              <w:right w:val="nil"/>
            </w:tcBorders>
            <w:vAlign w:val="bottom"/>
            <w:hideMark/>
          </w:tcPr>
          <w:p w14:paraId="294807D3" w14:textId="77777777" w:rsidR="00CB3439" w:rsidRPr="00D461B1" w:rsidRDefault="00CB3439" w:rsidP="00CB3439">
            <w:pPr>
              <w:rPr>
                <w:rFonts w:ascii="Arial" w:hAnsi="Arial" w:cs="Arial"/>
                <w:sz w:val="24"/>
                <w:szCs w:val="24"/>
              </w:rPr>
            </w:pPr>
            <w:r w:rsidRPr="00D461B1">
              <w:rPr>
                <w:rFonts w:ascii="Arial" w:hAnsi="Arial" w:cs="Arial"/>
                <w:sz w:val="24"/>
                <w:szCs w:val="24"/>
              </w:rPr>
              <w:t>Property operating lease rentals</w:t>
            </w:r>
          </w:p>
        </w:tc>
        <w:tc>
          <w:tcPr>
            <w:tcW w:w="2551" w:type="dxa"/>
            <w:tcBorders>
              <w:top w:val="nil"/>
              <w:left w:val="nil"/>
              <w:bottom w:val="single" w:sz="4" w:space="0" w:color="auto"/>
              <w:right w:val="nil"/>
            </w:tcBorders>
            <w:vAlign w:val="bottom"/>
          </w:tcPr>
          <w:p w14:paraId="4B61012B" w14:textId="69155012" w:rsidR="00CB3439" w:rsidRPr="00926779" w:rsidRDefault="00CB3439" w:rsidP="00CB3439">
            <w:pPr>
              <w:jc w:val="right"/>
              <w:rPr>
                <w:rFonts w:ascii="Arial" w:hAnsi="Arial" w:cs="Arial"/>
                <w:b/>
                <w:sz w:val="24"/>
                <w:szCs w:val="24"/>
              </w:rPr>
            </w:pPr>
            <w:r w:rsidRPr="00926779">
              <w:rPr>
                <w:rFonts w:ascii="Arial" w:hAnsi="Arial" w:cs="Arial"/>
                <w:b/>
                <w:sz w:val="24"/>
                <w:szCs w:val="24"/>
              </w:rPr>
              <w:t>410</w:t>
            </w:r>
          </w:p>
        </w:tc>
        <w:tc>
          <w:tcPr>
            <w:tcW w:w="1559" w:type="dxa"/>
            <w:tcBorders>
              <w:top w:val="nil"/>
              <w:left w:val="nil"/>
              <w:bottom w:val="single" w:sz="4" w:space="0" w:color="auto"/>
              <w:right w:val="nil"/>
            </w:tcBorders>
            <w:vAlign w:val="bottom"/>
          </w:tcPr>
          <w:p w14:paraId="6376AE74" w14:textId="71ADA059" w:rsidR="00CB3439" w:rsidRPr="00D461B1" w:rsidRDefault="00CB3439" w:rsidP="00CB3439">
            <w:pPr>
              <w:jc w:val="right"/>
              <w:rPr>
                <w:rFonts w:ascii="Arial" w:hAnsi="Arial" w:cs="Arial"/>
                <w:sz w:val="24"/>
                <w:szCs w:val="24"/>
              </w:rPr>
            </w:pPr>
            <w:r>
              <w:rPr>
                <w:rFonts w:ascii="Arial" w:hAnsi="Arial" w:cs="Arial"/>
                <w:sz w:val="24"/>
                <w:szCs w:val="24"/>
              </w:rPr>
              <w:t>415</w:t>
            </w:r>
          </w:p>
        </w:tc>
      </w:tr>
      <w:tr w:rsidR="00CB3439" w:rsidRPr="00D461B1" w14:paraId="2C157AC3" w14:textId="77777777" w:rsidTr="008E7ABE">
        <w:trPr>
          <w:trHeight w:val="255"/>
        </w:trPr>
        <w:tc>
          <w:tcPr>
            <w:tcW w:w="4722" w:type="dxa"/>
            <w:tcBorders>
              <w:top w:val="single" w:sz="4" w:space="0" w:color="auto"/>
              <w:left w:val="nil"/>
              <w:bottom w:val="single" w:sz="4" w:space="0" w:color="auto"/>
              <w:right w:val="nil"/>
            </w:tcBorders>
            <w:vAlign w:val="bottom"/>
            <w:hideMark/>
          </w:tcPr>
          <w:p w14:paraId="7C6906C6" w14:textId="77777777" w:rsidR="00CB3439" w:rsidRPr="00D461B1" w:rsidRDefault="00CB3439" w:rsidP="00CB3439">
            <w:pPr>
              <w:rPr>
                <w:rFonts w:ascii="Arial" w:hAnsi="Arial" w:cs="Arial"/>
                <w:b/>
                <w:sz w:val="24"/>
                <w:szCs w:val="24"/>
              </w:rPr>
            </w:pPr>
            <w:r w:rsidRPr="00D461B1">
              <w:rPr>
                <w:rFonts w:ascii="Arial" w:hAnsi="Arial" w:cs="Arial"/>
                <w:b/>
                <w:sz w:val="24"/>
                <w:szCs w:val="24"/>
              </w:rPr>
              <w:t>EBITDAR</w:t>
            </w:r>
          </w:p>
        </w:tc>
        <w:tc>
          <w:tcPr>
            <w:tcW w:w="2551" w:type="dxa"/>
            <w:tcBorders>
              <w:top w:val="single" w:sz="4" w:space="0" w:color="auto"/>
              <w:left w:val="nil"/>
              <w:bottom w:val="single" w:sz="4" w:space="0" w:color="auto"/>
              <w:right w:val="nil"/>
            </w:tcBorders>
            <w:vAlign w:val="bottom"/>
          </w:tcPr>
          <w:p w14:paraId="6435C620" w14:textId="2CED600F" w:rsidR="00CB3439" w:rsidRPr="00926779" w:rsidRDefault="00CB3439" w:rsidP="00CB3439">
            <w:pPr>
              <w:jc w:val="right"/>
              <w:rPr>
                <w:rFonts w:ascii="Arial" w:hAnsi="Arial" w:cs="Arial"/>
                <w:b/>
                <w:sz w:val="24"/>
                <w:szCs w:val="24"/>
              </w:rPr>
            </w:pPr>
            <w:r w:rsidRPr="00926779">
              <w:rPr>
                <w:rFonts w:ascii="Arial" w:hAnsi="Arial" w:cs="Arial"/>
                <w:b/>
                <w:sz w:val="24"/>
                <w:szCs w:val="24"/>
              </w:rPr>
              <w:t>1,348</w:t>
            </w:r>
          </w:p>
        </w:tc>
        <w:tc>
          <w:tcPr>
            <w:tcW w:w="1559" w:type="dxa"/>
            <w:tcBorders>
              <w:top w:val="single" w:sz="4" w:space="0" w:color="auto"/>
              <w:left w:val="nil"/>
              <w:bottom w:val="single" w:sz="4" w:space="0" w:color="auto"/>
              <w:right w:val="nil"/>
            </w:tcBorders>
            <w:vAlign w:val="bottom"/>
          </w:tcPr>
          <w:p w14:paraId="7DFE9E8D" w14:textId="298ADE51" w:rsidR="00CB3439" w:rsidRPr="00D461B1" w:rsidRDefault="00CB3439" w:rsidP="00CB3439">
            <w:pPr>
              <w:jc w:val="right"/>
              <w:rPr>
                <w:rFonts w:ascii="Arial" w:hAnsi="Arial" w:cs="Arial"/>
                <w:sz w:val="24"/>
                <w:szCs w:val="24"/>
              </w:rPr>
            </w:pPr>
            <w:r>
              <w:rPr>
                <w:rFonts w:ascii="Arial" w:hAnsi="Arial" w:cs="Arial"/>
                <w:sz w:val="24"/>
                <w:szCs w:val="24"/>
              </w:rPr>
              <w:t>1,368</w:t>
            </w:r>
          </w:p>
        </w:tc>
      </w:tr>
      <w:tr w:rsidR="00CB3439" w:rsidRPr="00D461B1" w14:paraId="49EF2CBB" w14:textId="77777777" w:rsidTr="008E7ABE">
        <w:trPr>
          <w:trHeight w:val="311"/>
        </w:trPr>
        <w:tc>
          <w:tcPr>
            <w:tcW w:w="4722" w:type="dxa"/>
            <w:tcBorders>
              <w:top w:val="single" w:sz="4" w:space="0" w:color="auto"/>
              <w:left w:val="nil"/>
              <w:bottom w:val="nil"/>
              <w:right w:val="nil"/>
            </w:tcBorders>
            <w:vAlign w:val="bottom"/>
            <w:hideMark/>
          </w:tcPr>
          <w:p w14:paraId="4F136846" w14:textId="77777777" w:rsidR="00CB3439" w:rsidRPr="00D461B1" w:rsidRDefault="00CB3439" w:rsidP="00CB3439">
            <w:pPr>
              <w:rPr>
                <w:rFonts w:ascii="Arial" w:hAnsi="Arial" w:cs="Arial"/>
                <w:sz w:val="24"/>
                <w:szCs w:val="24"/>
              </w:rPr>
            </w:pPr>
            <w:r w:rsidRPr="00D461B1">
              <w:rPr>
                <w:rFonts w:ascii="Arial" w:hAnsi="Arial" w:cs="Arial"/>
                <w:sz w:val="24"/>
                <w:szCs w:val="24"/>
              </w:rPr>
              <w:t>Financial net cash</w:t>
            </w:r>
          </w:p>
        </w:tc>
        <w:tc>
          <w:tcPr>
            <w:tcW w:w="2551" w:type="dxa"/>
            <w:tcBorders>
              <w:top w:val="single" w:sz="4" w:space="0" w:color="auto"/>
              <w:left w:val="nil"/>
              <w:bottom w:val="nil"/>
              <w:right w:val="nil"/>
            </w:tcBorders>
            <w:vAlign w:val="bottom"/>
          </w:tcPr>
          <w:p w14:paraId="369432AD" w14:textId="4F7F8C1D" w:rsidR="00CB3439" w:rsidRPr="00926779" w:rsidRDefault="00CB3439" w:rsidP="00CB3439">
            <w:pPr>
              <w:jc w:val="right"/>
              <w:rPr>
                <w:rFonts w:ascii="Arial" w:hAnsi="Arial" w:cs="Arial"/>
                <w:b/>
                <w:sz w:val="24"/>
                <w:szCs w:val="24"/>
              </w:rPr>
            </w:pPr>
            <w:r w:rsidRPr="00926779">
              <w:rPr>
                <w:rFonts w:ascii="Arial" w:hAnsi="Arial" w:cs="Arial"/>
                <w:b/>
                <w:sz w:val="24"/>
                <w:szCs w:val="24"/>
              </w:rPr>
              <w:t>(435)</w:t>
            </w:r>
          </w:p>
        </w:tc>
        <w:tc>
          <w:tcPr>
            <w:tcW w:w="1559" w:type="dxa"/>
            <w:tcBorders>
              <w:top w:val="single" w:sz="4" w:space="0" w:color="auto"/>
              <w:left w:val="nil"/>
              <w:bottom w:val="nil"/>
              <w:right w:val="nil"/>
            </w:tcBorders>
            <w:vAlign w:val="bottom"/>
          </w:tcPr>
          <w:p w14:paraId="6E68EA3E" w14:textId="6B2F0156" w:rsidR="00CB3439" w:rsidRPr="00D461B1" w:rsidRDefault="00CB3439" w:rsidP="00CB3439">
            <w:pPr>
              <w:jc w:val="right"/>
              <w:rPr>
                <w:rFonts w:ascii="Arial" w:hAnsi="Arial" w:cs="Arial"/>
                <w:sz w:val="24"/>
                <w:szCs w:val="24"/>
              </w:rPr>
            </w:pPr>
            <w:r>
              <w:rPr>
                <w:rFonts w:ascii="Arial" w:hAnsi="Arial" w:cs="Arial"/>
                <w:sz w:val="24"/>
                <w:szCs w:val="24"/>
              </w:rPr>
              <w:t>(329)</w:t>
            </w:r>
          </w:p>
        </w:tc>
      </w:tr>
      <w:tr w:rsidR="00CB3439" w:rsidRPr="00D461B1" w14:paraId="1A8F4DCF" w14:textId="77777777" w:rsidTr="008E7ABE">
        <w:trPr>
          <w:trHeight w:val="270"/>
        </w:trPr>
        <w:tc>
          <w:tcPr>
            <w:tcW w:w="4722" w:type="dxa"/>
            <w:vAlign w:val="bottom"/>
            <w:hideMark/>
          </w:tcPr>
          <w:p w14:paraId="7793E476" w14:textId="77777777" w:rsidR="00CB3439" w:rsidRPr="00D461B1" w:rsidRDefault="00CB3439" w:rsidP="00CB3439">
            <w:pPr>
              <w:rPr>
                <w:rFonts w:ascii="Arial" w:hAnsi="Arial" w:cs="Arial"/>
                <w:sz w:val="24"/>
                <w:szCs w:val="24"/>
              </w:rPr>
            </w:pPr>
            <w:r w:rsidRPr="00D461B1">
              <w:rPr>
                <w:rFonts w:ascii="Arial" w:hAnsi="Arial" w:cs="Arial"/>
                <w:sz w:val="24"/>
                <w:szCs w:val="24"/>
              </w:rPr>
              <w:t>Pension deficit</w:t>
            </w:r>
          </w:p>
        </w:tc>
        <w:tc>
          <w:tcPr>
            <w:tcW w:w="2551" w:type="dxa"/>
            <w:vAlign w:val="bottom"/>
          </w:tcPr>
          <w:p w14:paraId="7FB07D99" w14:textId="0553210E" w:rsidR="00CB3439" w:rsidRPr="00926779" w:rsidRDefault="00CB3439" w:rsidP="00CB3439">
            <w:pPr>
              <w:jc w:val="right"/>
              <w:rPr>
                <w:rFonts w:ascii="Arial" w:hAnsi="Arial" w:cs="Arial"/>
                <w:b/>
                <w:sz w:val="24"/>
                <w:szCs w:val="24"/>
              </w:rPr>
            </w:pPr>
            <w:r w:rsidRPr="00926779">
              <w:rPr>
                <w:rFonts w:ascii="Arial" w:hAnsi="Arial" w:cs="Arial"/>
                <w:b/>
                <w:sz w:val="24"/>
                <w:szCs w:val="24"/>
              </w:rPr>
              <w:t>-</w:t>
            </w:r>
          </w:p>
        </w:tc>
        <w:tc>
          <w:tcPr>
            <w:tcW w:w="1559" w:type="dxa"/>
            <w:vAlign w:val="bottom"/>
          </w:tcPr>
          <w:p w14:paraId="30CF44CE" w14:textId="6127BD46" w:rsidR="00CB3439" w:rsidRPr="00D461B1" w:rsidRDefault="00CB3439" w:rsidP="00CB3439">
            <w:pPr>
              <w:jc w:val="right"/>
              <w:rPr>
                <w:rFonts w:ascii="Arial" w:hAnsi="Arial" w:cs="Arial"/>
                <w:sz w:val="24"/>
                <w:szCs w:val="24"/>
              </w:rPr>
            </w:pPr>
            <w:r>
              <w:rPr>
                <w:rFonts w:ascii="Arial" w:hAnsi="Arial" w:cs="Arial"/>
                <w:sz w:val="24"/>
                <w:szCs w:val="24"/>
              </w:rPr>
              <w:t>-</w:t>
            </w:r>
          </w:p>
        </w:tc>
      </w:tr>
      <w:tr w:rsidR="00CB3439" w:rsidRPr="00D461B1" w14:paraId="7D6B06E8" w14:textId="77777777" w:rsidTr="008E7ABE">
        <w:trPr>
          <w:trHeight w:val="270"/>
        </w:trPr>
        <w:tc>
          <w:tcPr>
            <w:tcW w:w="4722" w:type="dxa"/>
            <w:tcBorders>
              <w:top w:val="nil"/>
              <w:left w:val="nil"/>
              <w:bottom w:val="single" w:sz="4" w:space="0" w:color="auto"/>
              <w:right w:val="nil"/>
            </w:tcBorders>
            <w:vAlign w:val="bottom"/>
            <w:hideMark/>
          </w:tcPr>
          <w:p w14:paraId="06A8AFCE" w14:textId="4815EA99" w:rsidR="00CB3439" w:rsidRPr="00D461B1" w:rsidRDefault="00CB3439" w:rsidP="00CB3439">
            <w:pPr>
              <w:rPr>
                <w:rFonts w:ascii="Arial" w:hAnsi="Arial" w:cs="Arial"/>
                <w:sz w:val="24"/>
                <w:szCs w:val="24"/>
              </w:rPr>
            </w:pPr>
            <w:r w:rsidRPr="00D461B1">
              <w:rPr>
                <w:rFonts w:ascii="Arial" w:hAnsi="Arial" w:cs="Arial"/>
                <w:sz w:val="24"/>
                <w:szCs w:val="24"/>
              </w:rPr>
              <w:t>Property operating lease rentals (8x)</w:t>
            </w:r>
            <w:r w:rsidRPr="00D461B1">
              <w:rPr>
                <w:rFonts w:ascii="Arial" w:hAnsi="Arial" w:cs="Arial"/>
                <w:i/>
                <w:sz w:val="24"/>
                <w:szCs w:val="24"/>
                <w:vertAlign w:val="superscript"/>
              </w:rPr>
              <w:t>(</w:t>
            </w:r>
            <w:r>
              <w:rPr>
                <w:rFonts w:ascii="Arial" w:hAnsi="Arial" w:cs="Arial"/>
                <w:i/>
                <w:sz w:val="24"/>
                <w:szCs w:val="24"/>
                <w:vertAlign w:val="superscript"/>
              </w:rPr>
              <w:t>2</w:t>
            </w:r>
            <w:r w:rsidRPr="00D461B1">
              <w:rPr>
                <w:rFonts w:ascii="Arial" w:hAnsi="Arial" w:cs="Arial"/>
                <w:i/>
                <w:sz w:val="24"/>
                <w:szCs w:val="24"/>
                <w:vertAlign w:val="superscript"/>
              </w:rPr>
              <w:t>)</w:t>
            </w:r>
          </w:p>
        </w:tc>
        <w:tc>
          <w:tcPr>
            <w:tcW w:w="2551" w:type="dxa"/>
            <w:tcBorders>
              <w:top w:val="nil"/>
              <w:left w:val="nil"/>
              <w:bottom w:val="single" w:sz="4" w:space="0" w:color="auto"/>
              <w:right w:val="nil"/>
            </w:tcBorders>
            <w:vAlign w:val="bottom"/>
          </w:tcPr>
          <w:p w14:paraId="106D2EC2" w14:textId="4C950031" w:rsidR="00CB3439" w:rsidRPr="00926779" w:rsidRDefault="00CB3439" w:rsidP="00CB3439">
            <w:pPr>
              <w:jc w:val="right"/>
              <w:rPr>
                <w:rFonts w:ascii="Arial" w:hAnsi="Arial" w:cs="Arial"/>
                <w:b/>
                <w:sz w:val="24"/>
                <w:szCs w:val="24"/>
              </w:rPr>
            </w:pPr>
            <w:r w:rsidRPr="00926779">
              <w:rPr>
                <w:rFonts w:ascii="Arial" w:hAnsi="Arial" w:cs="Arial"/>
                <w:b/>
                <w:sz w:val="24"/>
                <w:szCs w:val="24"/>
              </w:rPr>
              <w:t>3,280</w:t>
            </w:r>
          </w:p>
        </w:tc>
        <w:tc>
          <w:tcPr>
            <w:tcW w:w="1559" w:type="dxa"/>
            <w:tcBorders>
              <w:top w:val="nil"/>
              <w:left w:val="nil"/>
              <w:bottom w:val="single" w:sz="4" w:space="0" w:color="auto"/>
              <w:right w:val="nil"/>
            </w:tcBorders>
            <w:vAlign w:val="bottom"/>
          </w:tcPr>
          <w:p w14:paraId="47A76F70" w14:textId="0B3548DF" w:rsidR="00CB3439" w:rsidRPr="00D461B1" w:rsidRDefault="00CB3439" w:rsidP="00CB3439">
            <w:pPr>
              <w:jc w:val="right"/>
              <w:rPr>
                <w:rFonts w:ascii="Arial" w:hAnsi="Arial" w:cs="Arial"/>
                <w:sz w:val="24"/>
                <w:szCs w:val="24"/>
              </w:rPr>
            </w:pPr>
            <w:r>
              <w:rPr>
                <w:rFonts w:ascii="Arial" w:hAnsi="Arial" w:cs="Arial"/>
                <w:sz w:val="24"/>
                <w:szCs w:val="24"/>
              </w:rPr>
              <w:t>3,320</w:t>
            </w:r>
          </w:p>
        </w:tc>
      </w:tr>
      <w:tr w:rsidR="00CB3439" w:rsidRPr="00D461B1" w14:paraId="0820144E" w14:textId="77777777" w:rsidTr="008E7ABE">
        <w:trPr>
          <w:trHeight w:val="270"/>
        </w:trPr>
        <w:tc>
          <w:tcPr>
            <w:tcW w:w="4722" w:type="dxa"/>
            <w:tcBorders>
              <w:top w:val="single" w:sz="4" w:space="0" w:color="auto"/>
              <w:left w:val="nil"/>
              <w:bottom w:val="single" w:sz="4" w:space="0" w:color="auto"/>
              <w:right w:val="nil"/>
            </w:tcBorders>
            <w:vAlign w:val="bottom"/>
            <w:hideMark/>
          </w:tcPr>
          <w:p w14:paraId="0DF4EFB7" w14:textId="77777777" w:rsidR="00CB3439" w:rsidRPr="00D461B1" w:rsidRDefault="00CB3439" w:rsidP="00CB3439">
            <w:pPr>
              <w:rPr>
                <w:rFonts w:ascii="Arial" w:hAnsi="Arial" w:cs="Arial"/>
                <w:b/>
                <w:sz w:val="24"/>
                <w:szCs w:val="24"/>
              </w:rPr>
            </w:pPr>
            <w:r w:rsidRPr="00D461B1">
              <w:rPr>
                <w:rFonts w:ascii="Arial" w:hAnsi="Arial" w:cs="Arial"/>
                <w:b/>
                <w:sz w:val="24"/>
                <w:szCs w:val="24"/>
              </w:rPr>
              <w:t>Lease adjusted net debt</w:t>
            </w:r>
          </w:p>
        </w:tc>
        <w:tc>
          <w:tcPr>
            <w:tcW w:w="2551" w:type="dxa"/>
            <w:tcBorders>
              <w:top w:val="single" w:sz="4" w:space="0" w:color="auto"/>
              <w:left w:val="nil"/>
              <w:bottom w:val="single" w:sz="4" w:space="0" w:color="auto"/>
              <w:right w:val="nil"/>
            </w:tcBorders>
            <w:vAlign w:val="bottom"/>
          </w:tcPr>
          <w:p w14:paraId="089CF5A8" w14:textId="16394A29" w:rsidR="00CB3439" w:rsidRPr="00926779" w:rsidRDefault="00CB3439" w:rsidP="00CB3439">
            <w:pPr>
              <w:jc w:val="right"/>
              <w:rPr>
                <w:rFonts w:ascii="Arial" w:hAnsi="Arial" w:cs="Arial"/>
                <w:b/>
                <w:sz w:val="24"/>
                <w:szCs w:val="24"/>
              </w:rPr>
            </w:pPr>
            <w:r w:rsidRPr="00926779">
              <w:rPr>
                <w:rFonts w:ascii="Arial" w:hAnsi="Arial" w:cs="Arial"/>
                <w:b/>
                <w:sz w:val="24"/>
                <w:szCs w:val="24"/>
              </w:rPr>
              <w:t>2,845</w:t>
            </w:r>
          </w:p>
        </w:tc>
        <w:tc>
          <w:tcPr>
            <w:tcW w:w="1559" w:type="dxa"/>
            <w:tcBorders>
              <w:top w:val="single" w:sz="4" w:space="0" w:color="auto"/>
              <w:left w:val="nil"/>
              <w:bottom w:val="single" w:sz="4" w:space="0" w:color="auto"/>
              <w:right w:val="nil"/>
            </w:tcBorders>
            <w:vAlign w:val="bottom"/>
          </w:tcPr>
          <w:p w14:paraId="0888EE06" w14:textId="2EDED4BF" w:rsidR="00CB3439" w:rsidRPr="00D461B1" w:rsidRDefault="00CB3439" w:rsidP="00CB3439">
            <w:pPr>
              <w:jc w:val="right"/>
              <w:rPr>
                <w:rFonts w:ascii="Arial" w:hAnsi="Arial" w:cs="Arial"/>
                <w:sz w:val="24"/>
                <w:szCs w:val="24"/>
              </w:rPr>
            </w:pPr>
            <w:r>
              <w:rPr>
                <w:rFonts w:ascii="Arial" w:hAnsi="Arial" w:cs="Arial"/>
                <w:sz w:val="24"/>
                <w:szCs w:val="24"/>
              </w:rPr>
              <w:t>2,991</w:t>
            </w:r>
          </w:p>
        </w:tc>
      </w:tr>
      <w:tr w:rsidR="00CB3439" w:rsidRPr="00D461B1" w14:paraId="4CC1D7BB" w14:textId="77777777" w:rsidTr="008E7ABE">
        <w:trPr>
          <w:trHeight w:val="270"/>
        </w:trPr>
        <w:tc>
          <w:tcPr>
            <w:tcW w:w="4722" w:type="dxa"/>
            <w:tcBorders>
              <w:top w:val="single" w:sz="4" w:space="0" w:color="auto"/>
              <w:left w:val="nil"/>
              <w:bottom w:val="single" w:sz="4" w:space="0" w:color="auto"/>
              <w:right w:val="nil"/>
            </w:tcBorders>
            <w:vAlign w:val="bottom"/>
            <w:hideMark/>
          </w:tcPr>
          <w:p w14:paraId="51B7A9AF" w14:textId="77777777" w:rsidR="00CB3439" w:rsidRPr="00D461B1" w:rsidRDefault="00CB3439" w:rsidP="00CB3439">
            <w:pPr>
              <w:rPr>
                <w:rFonts w:ascii="Arial" w:hAnsi="Arial" w:cs="Arial"/>
                <w:b/>
                <w:sz w:val="24"/>
                <w:szCs w:val="24"/>
              </w:rPr>
            </w:pPr>
            <w:r w:rsidRPr="00D461B1">
              <w:rPr>
                <w:rFonts w:ascii="Arial" w:hAnsi="Arial" w:cs="Arial"/>
                <w:b/>
                <w:sz w:val="24"/>
                <w:szCs w:val="24"/>
              </w:rPr>
              <w:t>Lease adjusted net debt to EBITDAR</w:t>
            </w:r>
          </w:p>
        </w:tc>
        <w:tc>
          <w:tcPr>
            <w:tcW w:w="2551" w:type="dxa"/>
            <w:tcBorders>
              <w:top w:val="single" w:sz="4" w:space="0" w:color="auto"/>
              <w:left w:val="nil"/>
              <w:bottom w:val="single" w:sz="4" w:space="0" w:color="auto"/>
              <w:right w:val="nil"/>
            </w:tcBorders>
            <w:vAlign w:val="bottom"/>
          </w:tcPr>
          <w:p w14:paraId="0DF58501" w14:textId="359472A9" w:rsidR="00CB3439" w:rsidRPr="00926779" w:rsidRDefault="00CB3439" w:rsidP="00CB3439">
            <w:pPr>
              <w:jc w:val="right"/>
              <w:rPr>
                <w:rFonts w:ascii="Arial" w:hAnsi="Arial" w:cs="Arial"/>
                <w:b/>
                <w:sz w:val="24"/>
                <w:szCs w:val="24"/>
              </w:rPr>
            </w:pPr>
            <w:r w:rsidRPr="00926779">
              <w:rPr>
                <w:rFonts w:ascii="Arial" w:hAnsi="Arial" w:cs="Arial"/>
                <w:b/>
                <w:sz w:val="24"/>
                <w:szCs w:val="24"/>
              </w:rPr>
              <w:t>2.1x</w:t>
            </w:r>
          </w:p>
        </w:tc>
        <w:tc>
          <w:tcPr>
            <w:tcW w:w="1559" w:type="dxa"/>
            <w:tcBorders>
              <w:top w:val="single" w:sz="4" w:space="0" w:color="auto"/>
              <w:left w:val="nil"/>
              <w:bottom w:val="single" w:sz="4" w:space="0" w:color="auto"/>
              <w:right w:val="nil"/>
            </w:tcBorders>
            <w:vAlign w:val="bottom"/>
          </w:tcPr>
          <w:p w14:paraId="1EFC3675" w14:textId="1AFF9DFB" w:rsidR="00CB3439" w:rsidRPr="00D461B1" w:rsidRDefault="00CB3439" w:rsidP="00CB3439">
            <w:pPr>
              <w:tabs>
                <w:tab w:val="center" w:pos="671"/>
                <w:tab w:val="right" w:pos="1343"/>
              </w:tabs>
              <w:jc w:val="right"/>
              <w:rPr>
                <w:rFonts w:ascii="Arial" w:hAnsi="Arial" w:cs="Arial"/>
                <w:sz w:val="24"/>
                <w:szCs w:val="24"/>
              </w:rPr>
            </w:pPr>
            <w:r>
              <w:rPr>
                <w:rFonts w:ascii="Arial" w:hAnsi="Arial" w:cs="Arial"/>
                <w:sz w:val="24"/>
                <w:szCs w:val="24"/>
              </w:rPr>
              <w:t>2.2x</w:t>
            </w:r>
          </w:p>
        </w:tc>
      </w:tr>
    </w:tbl>
    <w:p w14:paraId="437E07BC" w14:textId="77777777" w:rsidR="003A298D" w:rsidRPr="00D461B1" w:rsidRDefault="003A298D" w:rsidP="003A298D">
      <w:pPr>
        <w:jc w:val="left"/>
        <w:rPr>
          <w:rFonts w:ascii="Arial" w:hAnsi="Arial" w:cs="Arial"/>
          <w:sz w:val="24"/>
          <w:szCs w:val="24"/>
        </w:rPr>
      </w:pPr>
    </w:p>
    <w:p w14:paraId="4C89C0B6" w14:textId="77777777" w:rsidR="00CB3439" w:rsidRDefault="00CB3439" w:rsidP="00CB3439">
      <w:pPr>
        <w:ind w:right="-368"/>
        <w:jc w:val="left"/>
        <w:rPr>
          <w:rFonts w:ascii="Arial" w:hAnsi="Arial" w:cs="Arial"/>
          <w:sz w:val="18"/>
          <w:szCs w:val="18"/>
        </w:rPr>
      </w:pPr>
      <w:r w:rsidRPr="00D461B1">
        <w:rPr>
          <w:rFonts w:ascii="Arial" w:hAnsi="Arial" w:cs="Arial"/>
          <w:iCs/>
          <w:sz w:val="18"/>
          <w:szCs w:val="18"/>
          <w:vertAlign w:val="superscript"/>
        </w:rPr>
        <w:t>(1)</w:t>
      </w:r>
      <w:r w:rsidRPr="00D461B1">
        <w:rPr>
          <w:rFonts w:ascii="Arial" w:hAnsi="Arial" w:cs="Arial"/>
          <w:iCs/>
          <w:sz w:val="18"/>
          <w:szCs w:val="18"/>
        </w:rPr>
        <w:t xml:space="preserve"> </w:t>
      </w:r>
      <w:r w:rsidRPr="00F617CD">
        <w:rPr>
          <w:rFonts w:ascii="Arial" w:hAnsi="Arial" w:cs="Arial"/>
          <w:sz w:val="18"/>
          <w:szCs w:val="18"/>
        </w:rPr>
        <w:t>Restated to exclude contribution from China following its disposal in April 2015</w:t>
      </w:r>
    </w:p>
    <w:p w14:paraId="5BB2E31A" w14:textId="3B687271" w:rsidR="00CB3439" w:rsidRPr="00D461B1" w:rsidRDefault="00CB3439" w:rsidP="00CB3439">
      <w:pPr>
        <w:ind w:right="-368"/>
        <w:jc w:val="left"/>
        <w:rPr>
          <w:rFonts w:ascii="Arial" w:hAnsi="Arial" w:cs="Arial"/>
          <w:sz w:val="18"/>
          <w:szCs w:val="18"/>
        </w:rPr>
      </w:pPr>
      <w:r>
        <w:rPr>
          <w:rFonts w:ascii="Arial" w:hAnsi="Arial" w:cs="Arial"/>
          <w:iCs/>
          <w:sz w:val="18"/>
          <w:szCs w:val="18"/>
          <w:vertAlign w:val="superscript"/>
        </w:rPr>
        <w:t>(2</w:t>
      </w:r>
      <w:r w:rsidRPr="00D461B1">
        <w:rPr>
          <w:rFonts w:ascii="Arial" w:hAnsi="Arial" w:cs="Arial"/>
          <w:iCs/>
          <w:sz w:val="18"/>
          <w:szCs w:val="18"/>
          <w:vertAlign w:val="superscript"/>
        </w:rPr>
        <w:t>)</w:t>
      </w:r>
      <w:r w:rsidRPr="00D461B1">
        <w:rPr>
          <w:rFonts w:ascii="Arial" w:hAnsi="Arial" w:cs="Arial"/>
          <w:iCs/>
          <w:sz w:val="18"/>
          <w:szCs w:val="18"/>
        </w:rPr>
        <w:t xml:space="preserve"> </w:t>
      </w:r>
      <w:r w:rsidRPr="00D461B1">
        <w:rPr>
          <w:rFonts w:ascii="Arial" w:hAnsi="Arial" w:cs="Arial"/>
          <w:sz w:val="18"/>
          <w:szCs w:val="18"/>
        </w:rPr>
        <w:t>Kingfisher believes 8x is a reasonable industry standard for estimating the economic value of its leased assets</w:t>
      </w:r>
    </w:p>
    <w:p w14:paraId="53322F6B" w14:textId="77777777" w:rsidR="003A298D" w:rsidRPr="00D461B1" w:rsidRDefault="003A298D" w:rsidP="003A298D">
      <w:pPr>
        <w:jc w:val="left"/>
        <w:rPr>
          <w:rFonts w:ascii="Arial" w:hAnsi="Arial" w:cs="Arial"/>
          <w:sz w:val="24"/>
          <w:szCs w:val="24"/>
        </w:rPr>
      </w:pPr>
    </w:p>
    <w:p w14:paraId="345C1493" w14:textId="0D066154" w:rsidR="000C5B09" w:rsidRDefault="000C5B09" w:rsidP="000C5B09">
      <w:pPr>
        <w:jc w:val="left"/>
        <w:rPr>
          <w:rFonts w:ascii="Arial" w:hAnsi="Arial" w:cs="Arial"/>
          <w:sz w:val="24"/>
          <w:szCs w:val="24"/>
        </w:rPr>
      </w:pPr>
      <w:r>
        <w:rPr>
          <w:rFonts w:ascii="Arial" w:hAnsi="Arial" w:cs="Arial"/>
          <w:sz w:val="24"/>
          <w:szCs w:val="24"/>
        </w:rPr>
        <w:t>The Group has a £225 million committed facility that expires in 2020 and was undrawn at 1 August 2015. The next significant debt maturity is in May 2016 when the Group is required to repay US Private Placement debt with a nominal value of $68 million.</w:t>
      </w:r>
    </w:p>
    <w:p w14:paraId="4B8E16C8" w14:textId="77777777" w:rsidR="000C5B09" w:rsidRDefault="000C5B09" w:rsidP="000C5B09">
      <w:pPr>
        <w:jc w:val="left"/>
        <w:rPr>
          <w:rFonts w:ascii="Arial" w:hAnsi="Arial" w:cs="Arial"/>
          <w:sz w:val="24"/>
          <w:szCs w:val="24"/>
        </w:rPr>
      </w:pPr>
    </w:p>
    <w:p w14:paraId="28007382" w14:textId="77777777" w:rsidR="000C5B09" w:rsidRPr="00F217B5" w:rsidRDefault="000C5B09" w:rsidP="000C5B09">
      <w:pPr>
        <w:jc w:val="left"/>
        <w:rPr>
          <w:rStyle w:val="Hyperlink"/>
          <w:rFonts w:ascii="Arial" w:hAnsi="Arial" w:cs="Arial"/>
          <w:sz w:val="24"/>
          <w:szCs w:val="24"/>
        </w:rPr>
      </w:pPr>
      <w:r w:rsidRPr="00D461B1">
        <w:rPr>
          <w:rFonts w:ascii="Arial" w:hAnsi="Arial" w:cs="Arial"/>
          <w:sz w:val="24"/>
          <w:szCs w:val="24"/>
        </w:rPr>
        <w:t xml:space="preserve">The maturity profile of Kingfisher’s debt is illustrated at: </w:t>
      </w:r>
      <w:hyperlink r:id="rId13" w:history="1">
        <w:r w:rsidRPr="00D461B1">
          <w:rPr>
            <w:rStyle w:val="Hyperlink"/>
            <w:rFonts w:ascii="Arial" w:hAnsi="Arial" w:cs="Arial"/>
            <w:sz w:val="24"/>
            <w:szCs w:val="24"/>
          </w:rPr>
          <w:t>www.kingfisher.com/index.asp?pageid=76</w:t>
        </w:r>
      </w:hyperlink>
    </w:p>
    <w:p w14:paraId="6D8F280D" w14:textId="77777777" w:rsidR="000C5B09" w:rsidRDefault="000C5B09" w:rsidP="003A298D">
      <w:pPr>
        <w:jc w:val="left"/>
        <w:rPr>
          <w:rFonts w:ascii="Arial" w:hAnsi="Arial" w:cs="Arial"/>
          <w:sz w:val="24"/>
          <w:szCs w:val="24"/>
        </w:rPr>
      </w:pPr>
    </w:p>
    <w:p w14:paraId="4752048C" w14:textId="39A68D77" w:rsidR="003A298D" w:rsidRPr="00D461B1" w:rsidRDefault="003A298D" w:rsidP="003A298D">
      <w:pPr>
        <w:jc w:val="left"/>
        <w:rPr>
          <w:rFonts w:ascii="Arial" w:hAnsi="Arial" w:cs="Arial"/>
          <w:sz w:val="24"/>
          <w:szCs w:val="24"/>
        </w:rPr>
      </w:pPr>
      <w:r w:rsidRPr="00D461B1">
        <w:rPr>
          <w:rFonts w:ascii="Arial" w:hAnsi="Arial" w:cs="Arial"/>
          <w:sz w:val="24"/>
          <w:szCs w:val="24"/>
        </w:rPr>
        <w:t xml:space="preserve">Kingfisher </w:t>
      </w:r>
      <w:r w:rsidR="00087315">
        <w:rPr>
          <w:rFonts w:ascii="Arial" w:hAnsi="Arial" w:cs="Arial"/>
          <w:sz w:val="24"/>
          <w:szCs w:val="24"/>
        </w:rPr>
        <w:t>now</w:t>
      </w:r>
      <w:r w:rsidRPr="00D461B1">
        <w:rPr>
          <w:rFonts w:ascii="Arial" w:hAnsi="Arial" w:cs="Arial"/>
          <w:sz w:val="24"/>
          <w:szCs w:val="24"/>
        </w:rPr>
        <w:t xml:space="preserve"> holds a BBB credit rating</w:t>
      </w:r>
      <w:r w:rsidR="000C5B09">
        <w:rPr>
          <w:rFonts w:ascii="Arial" w:hAnsi="Arial" w:cs="Arial"/>
          <w:sz w:val="24"/>
          <w:szCs w:val="24"/>
        </w:rPr>
        <w:t xml:space="preserve"> with all three rating agencies</w:t>
      </w:r>
      <w:r w:rsidRPr="00D461B1">
        <w:rPr>
          <w:rFonts w:ascii="Arial" w:hAnsi="Arial" w:cs="Arial"/>
          <w:sz w:val="24"/>
          <w:szCs w:val="24"/>
        </w:rPr>
        <w:t>. Kingfisher aims to maintain its solid investment grade credit rating whilst investing in the business where economic returns are attractive and paying a healthy annual dividend to shareholders. After satisfying these key aims and taking into account the economic and trading outlook, any surplus capital would be returned to shareholders.</w:t>
      </w:r>
    </w:p>
    <w:p w14:paraId="5CC5404D" w14:textId="77777777" w:rsidR="003A298D" w:rsidRPr="00D461B1" w:rsidRDefault="003A298D" w:rsidP="003A298D">
      <w:pPr>
        <w:jc w:val="left"/>
        <w:rPr>
          <w:rFonts w:ascii="Arial" w:hAnsi="Arial" w:cs="Arial"/>
          <w:sz w:val="24"/>
          <w:szCs w:val="24"/>
        </w:rPr>
      </w:pPr>
    </w:p>
    <w:p w14:paraId="328BC61B" w14:textId="3365B6AF" w:rsidR="003A298D" w:rsidRPr="00D461B1" w:rsidRDefault="003A298D" w:rsidP="003A298D">
      <w:pPr>
        <w:rPr>
          <w:rFonts w:ascii="Arial" w:hAnsi="Arial" w:cs="Arial"/>
          <w:b/>
          <w:sz w:val="24"/>
          <w:szCs w:val="24"/>
        </w:rPr>
      </w:pPr>
      <w:r w:rsidRPr="00D461B1">
        <w:rPr>
          <w:rFonts w:ascii="Arial" w:hAnsi="Arial" w:cs="Arial"/>
          <w:b/>
          <w:sz w:val="24"/>
          <w:szCs w:val="24"/>
        </w:rPr>
        <w:t>Disposal</w:t>
      </w:r>
      <w:r w:rsidR="004F4325">
        <w:rPr>
          <w:rFonts w:ascii="Arial" w:hAnsi="Arial" w:cs="Arial"/>
          <w:b/>
          <w:sz w:val="24"/>
          <w:szCs w:val="24"/>
        </w:rPr>
        <w:t>s</w:t>
      </w:r>
    </w:p>
    <w:p w14:paraId="373BCAF5" w14:textId="77777777" w:rsidR="003A298D" w:rsidRPr="00D461B1" w:rsidRDefault="003A298D" w:rsidP="003A298D">
      <w:pPr>
        <w:jc w:val="left"/>
        <w:rPr>
          <w:rFonts w:ascii="Arial" w:hAnsi="Arial" w:cs="Arial"/>
          <w:sz w:val="24"/>
          <w:szCs w:val="24"/>
        </w:rPr>
      </w:pPr>
    </w:p>
    <w:p w14:paraId="0BE5E7FB" w14:textId="1E4F9C95" w:rsidR="003A298D" w:rsidRPr="00D461B1" w:rsidRDefault="003A298D" w:rsidP="003A298D">
      <w:pPr>
        <w:autoSpaceDE w:val="0"/>
        <w:autoSpaceDN w:val="0"/>
        <w:adjustRightInd w:val="0"/>
        <w:jc w:val="left"/>
        <w:rPr>
          <w:rFonts w:ascii="Arial" w:hAnsi="Arial" w:cs="Arial"/>
          <w:sz w:val="24"/>
          <w:szCs w:val="24"/>
        </w:rPr>
      </w:pPr>
      <w:r w:rsidRPr="00D461B1">
        <w:rPr>
          <w:rFonts w:ascii="Arial" w:hAnsi="Arial" w:cs="Arial"/>
          <w:sz w:val="24"/>
          <w:szCs w:val="24"/>
        </w:rPr>
        <w:t xml:space="preserve">On 22 December 2014, Kingfisher announced a binding agreement to </w:t>
      </w:r>
      <w:r w:rsidR="00C124A4">
        <w:rPr>
          <w:rFonts w:ascii="Arial" w:hAnsi="Arial" w:cs="Arial"/>
          <w:sz w:val="24"/>
          <w:szCs w:val="24"/>
        </w:rPr>
        <w:t>dispose of</w:t>
      </w:r>
      <w:r w:rsidR="00C124A4" w:rsidRPr="00D461B1">
        <w:rPr>
          <w:rFonts w:ascii="Arial" w:hAnsi="Arial" w:cs="Arial"/>
          <w:sz w:val="24"/>
          <w:szCs w:val="24"/>
        </w:rPr>
        <w:t xml:space="preserve"> </w:t>
      </w:r>
      <w:r w:rsidRPr="00D461B1">
        <w:rPr>
          <w:rFonts w:ascii="Arial" w:hAnsi="Arial" w:cs="Arial"/>
          <w:sz w:val="24"/>
          <w:szCs w:val="24"/>
        </w:rPr>
        <w:t xml:space="preserve">a controlling 70% stake in its B&amp;Q China business to </w:t>
      </w:r>
      <w:proofErr w:type="spellStart"/>
      <w:r w:rsidRPr="00D461B1">
        <w:rPr>
          <w:rFonts w:ascii="Arial" w:hAnsi="Arial" w:cs="Arial"/>
          <w:sz w:val="24"/>
          <w:szCs w:val="24"/>
        </w:rPr>
        <w:t>Wumei</w:t>
      </w:r>
      <w:proofErr w:type="spellEnd"/>
      <w:r w:rsidRPr="00D461B1">
        <w:rPr>
          <w:rFonts w:ascii="Arial" w:hAnsi="Arial" w:cs="Arial"/>
          <w:sz w:val="24"/>
          <w:szCs w:val="24"/>
        </w:rPr>
        <w:t xml:space="preserve"> Holdings </w:t>
      </w:r>
      <w:r w:rsidR="00382193">
        <w:rPr>
          <w:rFonts w:ascii="Arial" w:hAnsi="Arial" w:cs="Arial"/>
          <w:sz w:val="24"/>
          <w:szCs w:val="24"/>
        </w:rPr>
        <w:t xml:space="preserve">Inc. </w:t>
      </w:r>
      <w:r w:rsidR="00C8334C">
        <w:rPr>
          <w:rFonts w:ascii="Arial" w:hAnsi="Arial" w:cs="Arial"/>
          <w:sz w:val="24"/>
          <w:szCs w:val="24"/>
        </w:rPr>
        <w:t>Gross</w:t>
      </w:r>
      <w:r w:rsidR="00121D2D">
        <w:rPr>
          <w:rFonts w:ascii="Arial" w:hAnsi="Arial" w:cs="Arial"/>
          <w:sz w:val="24"/>
          <w:szCs w:val="24"/>
        </w:rPr>
        <w:t xml:space="preserve"> cash proceeds of £1</w:t>
      </w:r>
      <w:r w:rsidR="006E3B41">
        <w:rPr>
          <w:rFonts w:ascii="Arial" w:hAnsi="Arial" w:cs="Arial"/>
          <w:sz w:val="24"/>
          <w:szCs w:val="24"/>
        </w:rPr>
        <w:t>40</w:t>
      </w:r>
      <w:r w:rsidRPr="00D461B1">
        <w:rPr>
          <w:rFonts w:ascii="Arial" w:hAnsi="Arial" w:cs="Arial"/>
          <w:sz w:val="24"/>
          <w:szCs w:val="24"/>
        </w:rPr>
        <w:t xml:space="preserve"> million were received </w:t>
      </w:r>
      <w:r w:rsidRPr="00981588">
        <w:rPr>
          <w:rFonts w:ascii="Arial" w:hAnsi="Arial" w:cs="Arial"/>
          <w:sz w:val="24"/>
          <w:szCs w:val="24"/>
        </w:rPr>
        <w:t xml:space="preserve">in </w:t>
      </w:r>
      <w:r w:rsidR="00E11421" w:rsidRPr="00981588">
        <w:rPr>
          <w:rFonts w:ascii="Arial" w:hAnsi="Arial" w:cs="Arial"/>
          <w:sz w:val="24"/>
          <w:szCs w:val="24"/>
        </w:rPr>
        <w:t>April 2015</w:t>
      </w:r>
      <w:r w:rsidR="00E11421" w:rsidRPr="00D461B1">
        <w:rPr>
          <w:rFonts w:ascii="Arial" w:hAnsi="Arial" w:cs="Arial"/>
          <w:sz w:val="24"/>
          <w:szCs w:val="24"/>
        </w:rPr>
        <w:t xml:space="preserve"> </w:t>
      </w:r>
      <w:r w:rsidRPr="00D461B1">
        <w:rPr>
          <w:rFonts w:ascii="Arial" w:hAnsi="Arial" w:cs="Arial"/>
          <w:sz w:val="24"/>
          <w:szCs w:val="24"/>
        </w:rPr>
        <w:t>following MOFCOM (Chinese Ministry of Commerce) approval.</w:t>
      </w:r>
      <w:r>
        <w:rPr>
          <w:rFonts w:ascii="Arial" w:hAnsi="Arial" w:cs="Arial"/>
          <w:sz w:val="24"/>
          <w:szCs w:val="24"/>
        </w:rPr>
        <w:t xml:space="preserve"> Kingfisher has</w:t>
      </w:r>
      <w:r w:rsidRPr="00D461B1">
        <w:rPr>
          <w:rFonts w:ascii="Arial" w:hAnsi="Arial" w:cs="Arial"/>
          <w:sz w:val="24"/>
          <w:szCs w:val="24"/>
        </w:rPr>
        <w:t xml:space="preserve"> the option </w:t>
      </w:r>
      <w:r w:rsidR="00BB74AF">
        <w:rPr>
          <w:rFonts w:ascii="Arial" w:hAnsi="Arial" w:cs="Arial"/>
          <w:sz w:val="24"/>
          <w:szCs w:val="24"/>
        </w:rPr>
        <w:t>from May 2017</w:t>
      </w:r>
      <w:r w:rsidR="008536C9">
        <w:rPr>
          <w:rFonts w:ascii="Arial" w:hAnsi="Arial" w:cs="Arial"/>
          <w:sz w:val="24"/>
          <w:szCs w:val="24"/>
        </w:rPr>
        <w:t>,</w:t>
      </w:r>
      <w:r w:rsidRPr="00D461B1">
        <w:rPr>
          <w:rFonts w:ascii="Arial" w:hAnsi="Arial" w:cs="Arial"/>
          <w:sz w:val="24"/>
          <w:szCs w:val="24"/>
        </w:rPr>
        <w:t xml:space="preserve"> or sooner where agreed by both parties, to sell the remaining 30% economic interest to </w:t>
      </w:r>
      <w:proofErr w:type="spellStart"/>
      <w:r w:rsidRPr="00D461B1">
        <w:rPr>
          <w:rFonts w:ascii="Arial" w:hAnsi="Arial" w:cs="Arial"/>
          <w:sz w:val="24"/>
          <w:szCs w:val="24"/>
        </w:rPr>
        <w:t>Wumei</w:t>
      </w:r>
      <w:proofErr w:type="spellEnd"/>
      <w:r w:rsidRPr="00D461B1">
        <w:rPr>
          <w:rFonts w:ascii="Arial" w:hAnsi="Arial" w:cs="Arial"/>
          <w:sz w:val="24"/>
          <w:szCs w:val="24"/>
        </w:rPr>
        <w:t xml:space="preserve"> Holdings </w:t>
      </w:r>
      <w:proofErr w:type="spellStart"/>
      <w:r w:rsidRPr="00D461B1">
        <w:rPr>
          <w:rFonts w:ascii="Arial" w:hAnsi="Arial" w:cs="Arial"/>
          <w:sz w:val="24"/>
          <w:szCs w:val="24"/>
        </w:rPr>
        <w:t>Inc</w:t>
      </w:r>
      <w:proofErr w:type="spellEnd"/>
      <w:r w:rsidRPr="00D461B1">
        <w:rPr>
          <w:rFonts w:ascii="Arial" w:hAnsi="Arial" w:cs="Arial"/>
          <w:sz w:val="24"/>
          <w:szCs w:val="24"/>
        </w:rPr>
        <w:t xml:space="preserve"> for a fixed price of the Sterling equivalent of RMB 582</w:t>
      </w:r>
      <w:r w:rsidR="00FC0F41">
        <w:rPr>
          <w:rFonts w:ascii="Arial" w:hAnsi="Arial" w:cs="Arial"/>
          <w:sz w:val="24"/>
          <w:szCs w:val="24"/>
        </w:rPr>
        <w:t xml:space="preserve"> </w:t>
      </w:r>
      <w:r w:rsidRPr="00D461B1">
        <w:rPr>
          <w:rFonts w:ascii="Arial" w:hAnsi="Arial" w:cs="Arial"/>
          <w:sz w:val="24"/>
          <w:szCs w:val="24"/>
        </w:rPr>
        <w:t>m</w:t>
      </w:r>
      <w:r w:rsidR="00FC0F41">
        <w:rPr>
          <w:rFonts w:ascii="Arial" w:hAnsi="Arial" w:cs="Arial"/>
          <w:sz w:val="24"/>
          <w:szCs w:val="24"/>
        </w:rPr>
        <w:t>illion</w:t>
      </w:r>
      <w:r w:rsidRPr="00D461B1">
        <w:rPr>
          <w:rFonts w:ascii="Arial" w:hAnsi="Arial" w:cs="Arial"/>
          <w:sz w:val="24"/>
          <w:szCs w:val="24"/>
        </w:rPr>
        <w:t xml:space="preserve"> (£6</w:t>
      </w:r>
      <w:r w:rsidR="006E3B41">
        <w:rPr>
          <w:rFonts w:ascii="Arial" w:hAnsi="Arial" w:cs="Arial"/>
          <w:sz w:val="24"/>
          <w:szCs w:val="24"/>
        </w:rPr>
        <w:t>0</w:t>
      </w:r>
      <w:r w:rsidR="00FC0F41">
        <w:rPr>
          <w:rFonts w:ascii="Arial" w:hAnsi="Arial" w:cs="Arial"/>
          <w:sz w:val="24"/>
          <w:szCs w:val="24"/>
        </w:rPr>
        <w:t xml:space="preserve"> </w:t>
      </w:r>
      <w:r w:rsidRPr="00D461B1">
        <w:rPr>
          <w:rFonts w:ascii="Arial" w:hAnsi="Arial" w:cs="Arial"/>
          <w:sz w:val="24"/>
          <w:szCs w:val="24"/>
        </w:rPr>
        <w:t>m</w:t>
      </w:r>
      <w:r w:rsidR="00FC0F41">
        <w:rPr>
          <w:rFonts w:ascii="Arial" w:hAnsi="Arial" w:cs="Arial"/>
          <w:sz w:val="24"/>
          <w:szCs w:val="24"/>
        </w:rPr>
        <w:t>illion</w:t>
      </w:r>
      <w:r w:rsidRPr="00D461B1">
        <w:rPr>
          <w:rFonts w:ascii="Arial" w:hAnsi="Arial" w:cs="Arial"/>
          <w:sz w:val="24"/>
          <w:szCs w:val="24"/>
        </w:rPr>
        <w:t xml:space="preserve"> at</w:t>
      </w:r>
      <w:r>
        <w:rPr>
          <w:rFonts w:ascii="Arial" w:hAnsi="Arial" w:cs="Arial"/>
          <w:sz w:val="24"/>
          <w:szCs w:val="24"/>
        </w:rPr>
        <w:t xml:space="preserve"> </w:t>
      </w:r>
      <w:r w:rsidR="006E3B41">
        <w:rPr>
          <w:rFonts w:ascii="Arial" w:hAnsi="Arial" w:cs="Arial"/>
          <w:sz w:val="24"/>
          <w:szCs w:val="24"/>
        </w:rPr>
        <w:t>1 August 2015</w:t>
      </w:r>
      <w:r w:rsidRPr="00D461B1">
        <w:rPr>
          <w:rFonts w:ascii="Arial" w:hAnsi="Arial" w:cs="Arial"/>
          <w:sz w:val="24"/>
          <w:szCs w:val="24"/>
        </w:rPr>
        <w:t>).</w:t>
      </w:r>
    </w:p>
    <w:p w14:paraId="0E014CE5" w14:textId="77777777" w:rsidR="003A298D" w:rsidRPr="00D461B1" w:rsidRDefault="003A298D" w:rsidP="003A298D">
      <w:pPr>
        <w:autoSpaceDE w:val="0"/>
        <w:autoSpaceDN w:val="0"/>
        <w:adjustRightInd w:val="0"/>
        <w:jc w:val="left"/>
        <w:rPr>
          <w:rFonts w:ascii="Arial" w:hAnsi="Arial" w:cs="Arial"/>
          <w:sz w:val="24"/>
          <w:szCs w:val="24"/>
        </w:rPr>
      </w:pPr>
    </w:p>
    <w:p w14:paraId="62EFB652" w14:textId="724DF6A3" w:rsidR="003A298D" w:rsidRPr="00D461B1" w:rsidRDefault="003A298D" w:rsidP="003A298D">
      <w:pPr>
        <w:autoSpaceDE w:val="0"/>
        <w:autoSpaceDN w:val="0"/>
        <w:adjustRightInd w:val="0"/>
        <w:jc w:val="left"/>
        <w:rPr>
          <w:rFonts w:ascii="Arial" w:hAnsi="Arial" w:cs="Arial"/>
          <w:sz w:val="24"/>
          <w:szCs w:val="24"/>
        </w:rPr>
      </w:pPr>
      <w:r w:rsidRPr="00D461B1">
        <w:rPr>
          <w:rFonts w:ascii="Arial" w:hAnsi="Arial" w:cs="Arial"/>
          <w:sz w:val="24"/>
          <w:szCs w:val="24"/>
        </w:rPr>
        <w:t xml:space="preserve">During the period Kingfisher completed the sale of </w:t>
      </w:r>
      <w:r w:rsidR="00C409E5">
        <w:rPr>
          <w:rFonts w:ascii="Arial" w:hAnsi="Arial" w:cs="Arial"/>
          <w:sz w:val="24"/>
          <w:szCs w:val="24"/>
        </w:rPr>
        <w:t>a property company</w:t>
      </w:r>
      <w:r w:rsidRPr="00D461B1">
        <w:rPr>
          <w:rFonts w:ascii="Arial" w:hAnsi="Arial" w:cs="Arial"/>
          <w:sz w:val="24"/>
          <w:szCs w:val="24"/>
        </w:rPr>
        <w:t xml:space="preserve"> </w:t>
      </w:r>
      <w:r w:rsidR="000F4C2D">
        <w:rPr>
          <w:rFonts w:ascii="Arial" w:hAnsi="Arial" w:cs="Arial"/>
          <w:sz w:val="24"/>
          <w:szCs w:val="24"/>
        </w:rPr>
        <w:t xml:space="preserve">(that owned </w:t>
      </w:r>
      <w:r w:rsidR="000F4C2D" w:rsidRPr="00D461B1">
        <w:rPr>
          <w:rFonts w:ascii="Arial" w:hAnsi="Arial" w:cs="Arial"/>
          <w:sz w:val="24"/>
          <w:szCs w:val="24"/>
        </w:rPr>
        <w:t>three freehold properties</w:t>
      </w:r>
      <w:r w:rsidR="000F4C2D">
        <w:rPr>
          <w:rFonts w:ascii="Arial" w:hAnsi="Arial" w:cs="Arial"/>
          <w:sz w:val="24"/>
          <w:szCs w:val="24"/>
        </w:rPr>
        <w:t>)</w:t>
      </w:r>
      <w:r w:rsidR="000F4C2D" w:rsidRPr="00D461B1">
        <w:rPr>
          <w:rFonts w:ascii="Arial" w:hAnsi="Arial" w:cs="Arial"/>
          <w:sz w:val="24"/>
          <w:szCs w:val="24"/>
        </w:rPr>
        <w:t xml:space="preserve"> </w:t>
      </w:r>
      <w:r w:rsidR="00752392" w:rsidRPr="00752392">
        <w:rPr>
          <w:rFonts w:ascii="Arial" w:hAnsi="Arial" w:cs="Arial"/>
          <w:sz w:val="24"/>
          <w:szCs w:val="24"/>
        </w:rPr>
        <w:t>for proceeds of £1</w:t>
      </w:r>
      <w:r w:rsidR="006E3B41">
        <w:rPr>
          <w:rFonts w:ascii="Arial" w:hAnsi="Arial" w:cs="Arial"/>
          <w:sz w:val="24"/>
          <w:szCs w:val="24"/>
        </w:rPr>
        <w:t xml:space="preserve">8 </w:t>
      </w:r>
      <w:r w:rsidR="00752392" w:rsidRPr="00752392">
        <w:rPr>
          <w:rFonts w:ascii="Arial" w:hAnsi="Arial" w:cs="Arial"/>
          <w:sz w:val="24"/>
          <w:szCs w:val="24"/>
        </w:rPr>
        <w:t>m</w:t>
      </w:r>
      <w:r w:rsidR="006E3B41">
        <w:rPr>
          <w:rFonts w:ascii="Arial" w:hAnsi="Arial" w:cs="Arial"/>
          <w:sz w:val="24"/>
          <w:szCs w:val="24"/>
        </w:rPr>
        <w:t>illion</w:t>
      </w:r>
      <w:r w:rsidRPr="00D461B1">
        <w:rPr>
          <w:rFonts w:ascii="Arial" w:hAnsi="Arial" w:cs="Arial"/>
          <w:sz w:val="24"/>
          <w:szCs w:val="24"/>
        </w:rPr>
        <w:t>.</w:t>
      </w:r>
    </w:p>
    <w:p w14:paraId="21324C6C" w14:textId="77777777" w:rsidR="003A298D" w:rsidRPr="00D461B1" w:rsidRDefault="003A298D" w:rsidP="003A298D">
      <w:pPr>
        <w:jc w:val="left"/>
        <w:rPr>
          <w:rFonts w:ascii="Arial" w:hAnsi="Arial" w:cs="Arial"/>
          <w:sz w:val="24"/>
          <w:szCs w:val="24"/>
        </w:rPr>
      </w:pPr>
    </w:p>
    <w:p w14:paraId="21AA7C8A" w14:textId="77777777" w:rsidR="003A298D" w:rsidRPr="00D70B22" w:rsidRDefault="003A298D" w:rsidP="003A298D">
      <w:pPr>
        <w:jc w:val="left"/>
        <w:rPr>
          <w:rFonts w:ascii="Arial" w:hAnsi="Arial" w:cs="Arial"/>
          <w:b/>
          <w:sz w:val="24"/>
          <w:szCs w:val="24"/>
        </w:rPr>
      </w:pPr>
      <w:r w:rsidRPr="00D70B22">
        <w:rPr>
          <w:rFonts w:ascii="Arial" w:hAnsi="Arial" w:cs="Arial"/>
          <w:b/>
          <w:sz w:val="24"/>
          <w:szCs w:val="24"/>
        </w:rPr>
        <w:t>Pensions</w:t>
      </w:r>
    </w:p>
    <w:p w14:paraId="2478818B" w14:textId="77777777" w:rsidR="003A298D" w:rsidRPr="004B173A" w:rsidRDefault="003A298D" w:rsidP="003A298D">
      <w:pPr>
        <w:rPr>
          <w:rFonts w:ascii="Arial" w:hAnsi="Arial" w:cs="Arial"/>
          <w:b/>
          <w:sz w:val="24"/>
          <w:szCs w:val="24"/>
          <w:highlight w:val="yellow"/>
        </w:rPr>
      </w:pPr>
    </w:p>
    <w:p w14:paraId="4047E2AA" w14:textId="77777777" w:rsidR="000C5B45" w:rsidRDefault="000C5B45" w:rsidP="000C5B45">
      <w:pPr>
        <w:jc w:val="left"/>
        <w:rPr>
          <w:rFonts w:ascii="Arial" w:hAnsi="Arial" w:cs="Arial"/>
          <w:sz w:val="24"/>
          <w:szCs w:val="24"/>
        </w:rPr>
      </w:pPr>
      <w:r>
        <w:rPr>
          <w:rFonts w:ascii="Arial" w:hAnsi="Arial" w:cs="Arial"/>
          <w:sz w:val="24"/>
          <w:szCs w:val="24"/>
        </w:rPr>
        <w:t xml:space="preserve">At the period end, the Group had a net surplus of £59 million (£112 million net surplus at 31 January 2015) in relation to defined benefit pension arrangements, of which a £140 </w:t>
      </w:r>
      <w:r>
        <w:rPr>
          <w:rFonts w:ascii="Arial" w:hAnsi="Arial" w:cs="Arial"/>
          <w:sz w:val="24"/>
          <w:szCs w:val="24"/>
        </w:rPr>
        <w:lastRenderedPageBreak/>
        <w:t>million surplus (£194 million surplus at 31 January 2015) is in relation to the UK Scheme. The adverse movement is mainly driven by the fall in market value of assets over the period, only partially offset by the favourable impact of a higher discount rate (net of inflation) applied to the scheme liabilities. This accounting valuation is sensitive to a number of assumptions and market rates which are likely to fluctuate in the future.</w:t>
      </w:r>
    </w:p>
    <w:p w14:paraId="49DCCF46" w14:textId="77777777" w:rsidR="003A298D" w:rsidRDefault="003A298D" w:rsidP="003A298D">
      <w:pPr>
        <w:jc w:val="left"/>
        <w:rPr>
          <w:rFonts w:ascii="Arial" w:hAnsi="Arial" w:cs="Arial"/>
          <w:sz w:val="24"/>
          <w:szCs w:val="24"/>
        </w:rPr>
      </w:pPr>
    </w:p>
    <w:p w14:paraId="37089595" w14:textId="199A9CC3" w:rsidR="003A298D" w:rsidRPr="002053C1" w:rsidRDefault="003A298D" w:rsidP="003A298D">
      <w:pPr>
        <w:jc w:val="left"/>
        <w:rPr>
          <w:rFonts w:ascii="Arial" w:hAnsi="Arial" w:cs="Arial"/>
          <w:b/>
          <w:sz w:val="24"/>
          <w:szCs w:val="24"/>
        </w:rPr>
      </w:pPr>
      <w:r w:rsidRPr="002053C1">
        <w:rPr>
          <w:rFonts w:ascii="Arial" w:hAnsi="Arial" w:cs="Arial"/>
          <w:b/>
          <w:sz w:val="24"/>
          <w:szCs w:val="24"/>
        </w:rPr>
        <w:t>Property</w:t>
      </w:r>
      <w:r w:rsidR="00DA79C8">
        <w:rPr>
          <w:rFonts w:ascii="Arial" w:hAnsi="Arial" w:cs="Arial"/>
          <w:b/>
          <w:sz w:val="24"/>
          <w:szCs w:val="24"/>
        </w:rPr>
        <w:t xml:space="preserve"> – sales </w:t>
      </w:r>
      <w:r w:rsidR="00BB74AF">
        <w:rPr>
          <w:rFonts w:ascii="Arial" w:hAnsi="Arial" w:cs="Arial"/>
          <w:b/>
          <w:sz w:val="24"/>
          <w:szCs w:val="24"/>
        </w:rPr>
        <w:t xml:space="preserve">area </w:t>
      </w:r>
      <w:r w:rsidR="00DA79C8">
        <w:rPr>
          <w:rFonts w:ascii="Arial" w:hAnsi="Arial" w:cs="Arial"/>
          <w:b/>
          <w:sz w:val="24"/>
          <w:szCs w:val="24"/>
        </w:rPr>
        <w:t>restatements</w:t>
      </w:r>
    </w:p>
    <w:p w14:paraId="5F5F5735" w14:textId="77777777" w:rsidR="003A298D" w:rsidRDefault="003A298D" w:rsidP="003A298D">
      <w:pPr>
        <w:jc w:val="left"/>
        <w:rPr>
          <w:rFonts w:ascii="Arial" w:hAnsi="Arial" w:cs="Arial"/>
          <w:b/>
          <w:sz w:val="24"/>
          <w:szCs w:val="24"/>
        </w:rPr>
      </w:pPr>
    </w:p>
    <w:p w14:paraId="47BF6C4E" w14:textId="5B7CB10A" w:rsidR="003A298D" w:rsidRPr="00F30F51" w:rsidRDefault="003A298D" w:rsidP="00EF42EF">
      <w:pPr>
        <w:jc w:val="left"/>
        <w:rPr>
          <w:rFonts w:ascii="Arial" w:hAnsi="Arial" w:cs="Arial"/>
          <w:sz w:val="24"/>
          <w:szCs w:val="24"/>
          <w:highlight w:val="yellow"/>
        </w:rPr>
      </w:pPr>
      <w:r w:rsidRPr="007429E1">
        <w:rPr>
          <w:rFonts w:ascii="Arial" w:hAnsi="Arial" w:cs="Arial"/>
          <w:sz w:val="24"/>
          <w:szCs w:val="24"/>
        </w:rPr>
        <w:t>As</w:t>
      </w:r>
      <w:r w:rsidR="00DA79C8">
        <w:rPr>
          <w:rFonts w:ascii="Arial" w:hAnsi="Arial" w:cs="Arial"/>
          <w:sz w:val="24"/>
          <w:szCs w:val="24"/>
        </w:rPr>
        <w:t xml:space="preserve"> part of</w:t>
      </w:r>
      <w:r w:rsidRPr="007429E1">
        <w:rPr>
          <w:rFonts w:ascii="Arial" w:hAnsi="Arial" w:cs="Arial"/>
          <w:sz w:val="24"/>
          <w:szCs w:val="24"/>
        </w:rPr>
        <w:t xml:space="preserve"> ‘O</w:t>
      </w:r>
      <w:r w:rsidR="00DA79C8">
        <w:rPr>
          <w:rFonts w:ascii="Arial" w:hAnsi="Arial" w:cs="Arial"/>
          <w:sz w:val="24"/>
          <w:szCs w:val="24"/>
        </w:rPr>
        <w:t>NE</w:t>
      </w:r>
      <w:r w:rsidRPr="007429E1">
        <w:rPr>
          <w:rFonts w:ascii="Arial" w:hAnsi="Arial" w:cs="Arial"/>
          <w:sz w:val="24"/>
          <w:szCs w:val="24"/>
        </w:rPr>
        <w:t>’ Kingfisher we have completed a review of sales area reporting</w:t>
      </w:r>
      <w:r w:rsidR="00DA79C8">
        <w:rPr>
          <w:rFonts w:ascii="Arial" w:hAnsi="Arial" w:cs="Arial"/>
          <w:sz w:val="24"/>
          <w:szCs w:val="24"/>
        </w:rPr>
        <w:t xml:space="preserve"> </w:t>
      </w:r>
      <w:r w:rsidRPr="007429E1">
        <w:rPr>
          <w:rFonts w:ascii="Arial" w:hAnsi="Arial" w:cs="Arial"/>
          <w:sz w:val="24"/>
          <w:szCs w:val="24"/>
        </w:rPr>
        <w:t xml:space="preserve">to ensure consistency across our operating companies. </w:t>
      </w:r>
      <w:r w:rsidR="00DA79C8">
        <w:rPr>
          <w:rFonts w:ascii="Arial" w:hAnsi="Arial" w:cs="Arial"/>
          <w:sz w:val="24"/>
          <w:szCs w:val="24"/>
        </w:rPr>
        <w:t>This</w:t>
      </w:r>
      <w:r w:rsidR="00E857D5">
        <w:rPr>
          <w:rFonts w:ascii="Arial" w:hAnsi="Arial" w:cs="Arial"/>
          <w:sz w:val="24"/>
          <w:szCs w:val="24"/>
        </w:rPr>
        <w:t xml:space="preserve"> has </w:t>
      </w:r>
      <w:r w:rsidRPr="007429E1">
        <w:rPr>
          <w:rFonts w:ascii="Arial" w:hAnsi="Arial" w:cs="Arial"/>
          <w:sz w:val="24"/>
          <w:szCs w:val="24"/>
        </w:rPr>
        <w:t xml:space="preserve">resulted in a </w:t>
      </w:r>
      <w:r w:rsidR="003E3C5C">
        <w:rPr>
          <w:rFonts w:ascii="Arial" w:hAnsi="Arial" w:cs="Arial"/>
          <w:sz w:val="24"/>
          <w:szCs w:val="24"/>
        </w:rPr>
        <w:t>6</w:t>
      </w:r>
      <w:r w:rsidRPr="007429E1">
        <w:rPr>
          <w:rFonts w:ascii="Arial" w:hAnsi="Arial" w:cs="Arial"/>
          <w:sz w:val="24"/>
          <w:szCs w:val="24"/>
        </w:rPr>
        <w:t>% increase in sales areas across Kingfisher</w:t>
      </w:r>
      <w:r w:rsidR="00BB74AF">
        <w:rPr>
          <w:rFonts w:ascii="Arial" w:hAnsi="Arial" w:cs="Arial"/>
          <w:sz w:val="24"/>
          <w:szCs w:val="24"/>
        </w:rPr>
        <w:t>,</w:t>
      </w:r>
      <w:r w:rsidR="00623CA6">
        <w:rPr>
          <w:rFonts w:ascii="Arial" w:hAnsi="Arial" w:cs="Arial"/>
          <w:sz w:val="24"/>
          <w:szCs w:val="24"/>
        </w:rPr>
        <w:t xml:space="preserve"> details of which are below</w:t>
      </w:r>
      <w:r w:rsidR="00E857D5" w:rsidRPr="00926779">
        <w:rPr>
          <w:rFonts w:ascii="Arial" w:hAnsi="Arial" w:cs="Arial"/>
          <w:sz w:val="24"/>
          <w:szCs w:val="24"/>
        </w:rPr>
        <w:t>.</w:t>
      </w:r>
      <w:r w:rsidR="00E857D5">
        <w:rPr>
          <w:rFonts w:ascii="Arial" w:hAnsi="Arial" w:cs="Arial"/>
          <w:sz w:val="24"/>
          <w:szCs w:val="24"/>
        </w:rPr>
        <w:t xml:space="preserve"> </w:t>
      </w:r>
    </w:p>
    <w:tbl>
      <w:tblPr>
        <w:tblW w:w="9258" w:type="dxa"/>
        <w:tblInd w:w="98" w:type="dxa"/>
        <w:tblLayout w:type="fixed"/>
        <w:tblLook w:val="04A0" w:firstRow="1" w:lastRow="0" w:firstColumn="1" w:lastColumn="0" w:noHBand="0" w:noVBand="1"/>
      </w:tblPr>
      <w:tblGrid>
        <w:gridCol w:w="2879"/>
        <w:gridCol w:w="2126"/>
        <w:gridCol w:w="1985"/>
        <w:gridCol w:w="2268"/>
      </w:tblGrid>
      <w:tr w:rsidR="00956FAD" w:rsidRPr="00D461B1" w14:paraId="5A2F9C11" w14:textId="77777777" w:rsidTr="00E70614">
        <w:trPr>
          <w:trHeight w:val="555"/>
        </w:trPr>
        <w:tc>
          <w:tcPr>
            <w:tcW w:w="2879" w:type="dxa"/>
            <w:vAlign w:val="bottom"/>
          </w:tcPr>
          <w:p w14:paraId="15AABFCF" w14:textId="59A0C26B" w:rsidR="00956FAD" w:rsidRDefault="00BB74AF" w:rsidP="008E7ABE">
            <w:pPr>
              <w:jc w:val="left"/>
              <w:rPr>
                <w:rFonts w:ascii="Arial" w:hAnsi="Arial" w:cs="Arial"/>
                <w:bCs/>
                <w:sz w:val="24"/>
                <w:szCs w:val="24"/>
              </w:rPr>
            </w:pPr>
            <w:r>
              <w:rPr>
                <w:rFonts w:ascii="Arial" w:hAnsi="Arial" w:cs="Arial"/>
                <w:bCs/>
                <w:sz w:val="24"/>
                <w:szCs w:val="24"/>
              </w:rPr>
              <w:t>At</w:t>
            </w:r>
            <w:r w:rsidR="00956FAD">
              <w:rPr>
                <w:rFonts w:ascii="Arial" w:hAnsi="Arial" w:cs="Arial"/>
                <w:bCs/>
                <w:sz w:val="24"/>
                <w:szCs w:val="24"/>
              </w:rPr>
              <w:t xml:space="preserve"> </w:t>
            </w:r>
            <w:r w:rsidR="00956FAD" w:rsidRPr="008E7ABE">
              <w:rPr>
                <w:rFonts w:ascii="Arial" w:hAnsi="Arial" w:cs="Arial"/>
                <w:bCs/>
                <w:sz w:val="24"/>
                <w:szCs w:val="24"/>
              </w:rPr>
              <w:t>1</w:t>
            </w:r>
            <w:r w:rsidR="00956FAD">
              <w:rPr>
                <w:rFonts w:ascii="Arial" w:hAnsi="Arial" w:cs="Arial"/>
                <w:bCs/>
                <w:sz w:val="24"/>
                <w:szCs w:val="24"/>
              </w:rPr>
              <w:t xml:space="preserve"> August 2015</w:t>
            </w:r>
          </w:p>
          <w:p w14:paraId="528D2903" w14:textId="77777777" w:rsidR="00956FAD" w:rsidRPr="00D461B1" w:rsidRDefault="00956FAD" w:rsidP="008E7ABE">
            <w:pPr>
              <w:jc w:val="left"/>
              <w:rPr>
                <w:rFonts w:ascii="Arial" w:hAnsi="Arial" w:cs="Arial"/>
                <w:bCs/>
                <w:sz w:val="24"/>
                <w:szCs w:val="24"/>
              </w:rPr>
            </w:pPr>
          </w:p>
        </w:tc>
        <w:tc>
          <w:tcPr>
            <w:tcW w:w="2126" w:type="dxa"/>
            <w:vAlign w:val="bottom"/>
            <w:hideMark/>
          </w:tcPr>
          <w:p w14:paraId="0C6B3681" w14:textId="074F7165" w:rsidR="00956FAD" w:rsidRPr="00D461B1" w:rsidRDefault="00956FAD" w:rsidP="008E7ABE">
            <w:pPr>
              <w:jc w:val="right"/>
              <w:rPr>
                <w:rFonts w:ascii="Arial" w:hAnsi="Arial" w:cs="Arial"/>
                <w:b/>
                <w:bCs/>
                <w:sz w:val="24"/>
                <w:szCs w:val="24"/>
              </w:rPr>
            </w:pPr>
            <w:r>
              <w:rPr>
                <w:rFonts w:ascii="Arial" w:hAnsi="Arial" w:cs="Arial"/>
                <w:b/>
                <w:bCs/>
                <w:sz w:val="24"/>
                <w:szCs w:val="24"/>
              </w:rPr>
              <w:t>Restated  sales area</w:t>
            </w:r>
          </w:p>
          <w:p w14:paraId="0816A13F" w14:textId="77777777" w:rsidR="00956FAD" w:rsidRPr="00D461B1" w:rsidRDefault="00956FAD" w:rsidP="008E7ABE">
            <w:pPr>
              <w:jc w:val="right"/>
              <w:rPr>
                <w:rFonts w:ascii="Arial" w:hAnsi="Arial" w:cs="Arial"/>
                <w:b/>
                <w:bCs/>
                <w:sz w:val="24"/>
                <w:szCs w:val="24"/>
              </w:rPr>
            </w:pPr>
            <w:r>
              <w:rPr>
                <w:rFonts w:ascii="Arial" w:hAnsi="Arial" w:cs="Arial"/>
                <w:b/>
                <w:bCs/>
                <w:sz w:val="24"/>
                <w:szCs w:val="24"/>
              </w:rPr>
              <w:t>(000s m</w:t>
            </w:r>
            <w:r w:rsidRPr="008E7ABE">
              <w:rPr>
                <w:rFonts w:ascii="Arial" w:hAnsi="Arial" w:cs="Arial"/>
                <w:b/>
                <w:bCs/>
                <w:sz w:val="24"/>
                <w:szCs w:val="24"/>
                <w:vertAlign w:val="superscript"/>
              </w:rPr>
              <w:t>2</w:t>
            </w:r>
            <w:r>
              <w:rPr>
                <w:rFonts w:ascii="Arial" w:hAnsi="Arial" w:cs="Arial"/>
                <w:b/>
                <w:bCs/>
                <w:sz w:val="24"/>
                <w:szCs w:val="24"/>
              </w:rPr>
              <w:t>)</w:t>
            </w:r>
          </w:p>
        </w:tc>
        <w:tc>
          <w:tcPr>
            <w:tcW w:w="1985" w:type="dxa"/>
          </w:tcPr>
          <w:p w14:paraId="6734B212" w14:textId="77777777" w:rsidR="00956FAD" w:rsidRDefault="00956FAD" w:rsidP="008E7ABE">
            <w:pPr>
              <w:jc w:val="right"/>
              <w:rPr>
                <w:rFonts w:ascii="Arial" w:hAnsi="Arial" w:cs="Arial"/>
                <w:b/>
                <w:bCs/>
                <w:sz w:val="24"/>
                <w:szCs w:val="24"/>
              </w:rPr>
            </w:pPr>
          </w:p>
          <w:p w14:paraId="6BA0419D" w14:textId="0DBDE019" w:rsidR="00956FAD" w:rsidRPr="00D461B1" w:rsidRDefault="00956FAD" w:rsidP="008E7ABE">
            <w:pPr>
              <w:jc w:val="right"/>
              <w:rPr>
                <w:rFonts w:ascii="Arial" w:hAnsi="Arial" w:cs="Arial"/>
                <w:b/>
                <w:bCs/>
                <w:sz w:val="24"/>
                <w:szCs w:val="24"/>
              </w:rPr>
            </w:pPr>
            <w:r>
              <w:rPr>
                <w:rFonts w:ascii="Arial" w:hAnsi="Arial" w:cs="Arial"/>
                <w:b/>
                <w:bCs/>
                <w:sz w:val="24"/>
                <w:szCs w:val="24"/>
              </w:rPr>
              <w:t>Previous  sales area</w:t>
            </w:r>
          </w:p>
          <w:p w14:paraId="7E022582" w14:textId="77777777" w:rsidR="00956FAD" w:rsidRPr="00D461B1" w:rsidRDefault="00956FAD" w:rsidP="008E7ABE">
            <w:pPr>
              <w:jc w:val="right"/>
              <w:rPr>
                <w:rFonts w:ascii="Arial" w:hAnsi="Arial" w:cs="Arial"/>
                <w:bCs/>
                <w:sz w:val="24"/>
                <w:szCs w:val="24"/>
              </w:rPr>
            </w:pPr>
            <w:r>
              <w:rPr>
                <w:rFonts w:ascii="Arial" w:hAnsi="Arial" w:cs="Arial"/>
                <w:b/>
                <w:bCs/>
                <w:sz w:val="24"/>
                <w:szCs w:val="24"/>
              </w:rPr>
              <w:t>(000s m</w:t>
            </w:r>
            <w:r w:rsidRPr="008E7ABE">
              <w:rPr>
                <w:rFonts w:ascii="Arial" w:hAnsi="Arial" w:cs="Arial"/>
                <w:b/>
                <w:bCs/>
                <w:sz w:val="24"/>
                <w:szCs w:val="24"/>
                <w:vertAlign w:val="superscript"/>
              </w:rPr>
              <w:t>2</w:t>
            </w:r>
            <w:r>
              <w:rPr>
                <w:rFonts w:ascii="Arial" w:hAnsi="Arial" w:cs="Arial"/>
                <w:b/>
                <w:bCs/>
                <w:sz w:val="24"/>
                <w:szCs w:val="24"/>
              </w:rPr>
              <w:t>)</w:t>
            </w:r>
          </w:p>
        </w:tc>
        <w:tc>
          <w:tcPr>
            <w:tcW w:w="2268" w:type="dxa"/>
          </w:tcPr>
          <w:p w14:paraId="3365E7A2" w14:textId="77777777" w:rsidR="00956FAD" w:rsidRDefault="00956FAD" w:rsidP="008E7ABE">
            <w:pPr>
              <w:jc w:val="right"/>
              <w:rPr>
                <w:rFonts w:ascii="Arial" w:hAnsi="Arial" w:cs="Arial"/>
                <w:b/>
                <w:bCs/>
                <w:sz w:val="24"/>
                <w:szCs w:val="24"/>
              </w:rPr>
            </w:pPr>
          </w:p>
          <w:p w14:paraId="677411FC" w14:textId="77777777" w:rsidR="00956FAD" w:rsidRDefault="00956FAD" w:rsidP="008E7ABE">
            <w:pPr>
              <w:jc w:val="right"/>
              <w:rPr>
                <w:rFonts w:ascii="Arial" w:hAnsi="Arial" w:cs="Arial"/>
                <w:b/>
                <w:bCs/>
                <w:sz w:val="24"/>
                <w:szCs w:val="24"/>
              </w:rPr>
            </w:pPr>
          </w:p>
          <w:p w14:paraId="50DF2CC7" w14:textId="383CA8B2" w:rsidR="00956FAD" w:rsidRDefault="00BB74AF" w:rsidP="008E7ABE">
            <w:pPr>
              <w:jc w:val="right"/>
              <w:rPr>
                <w:rFonts w:ascii="Arial" w:hAnsi="Arial" w:cs="Arial"/>
                <w:b/>
                <w:bCs/>
                <w:sz w:val="24"/>
                <w:szCs w:val="24"/>
              </w:rPr>
            </w:pPr>
            <w:r>
              <w:rPr>
                <w:rFonts w:ascii="Arial" w:hAnsi="Arial" w:cs="Arial"/>
                <w:b/>
                <w:bCs/>
                <w:sz w:val="24"/>
                <w:szCs w:val="24"/>
              </w:rPr>
              <w:t>Change</w:t>
            </w:r>
          </w:p>
          <w:p w14:paraId="6AE2CC1B" w14:textId="484ADF98" w:rsidR="00956FAD" w:rsidRPr="00D461B1" w:rsidRDefault="00956FAD" w:rsidP="008E7ABE">
            <w:pPr>
              <w:jc w:val="right"/>
              <w:rPr>
                <w:rFonts w:ascii="Arial" w:hAnsi="Arial" w:cs="Arial"/>
                <w:bCs/>
                <w:sz w:val="24"/>
                <w:szCs w:val="24"/>
              </w:rPr>
            </w:pPr>
            <w:r>
              <w:rPr>
                <w:rFonts w:ascii="Arial" w:hAnsi="Arial" w:cs="Arial"/>
                <w:b/>
                <w:bCs/>
                <w:sz w:val="24"/>
                <w:szCs w:val="24"/>
              </w:rPr>
              <w:t>(000s m</w:t>
            </w:r>
            <w:r w:rsidRPr="008E7ABE">
              <w:rPr>
                <w:rFonts w:ascii="Arial" w:hAnsi="Arial" w:cs="Arial"/>
                <w:b/>
                <w:bCs/>
                <w:sz w:val="24"/>
                <w:szCs w:val="24"/>
                <w:vertAlign w:val="superscript"/>
              </w:rPr>
              <w:t>2</w:t>
            </w:r>
            <w:r>
              <w:rPr>
                <w:rFonts w:ascii="Arial" w:hAnsi="Arial" w:cs="Arial"/>
                <w:b/>
                <w:bCs/>
                <w:sz w:val="24"/>
                <w:szCs w:val="24"/>
              </w:rPr>
              <w:t>)</w:t>
            </w:r>
          </w:p>
        </w:tc>
      </w:tr>
      <w:tr w:rsidR="00956FAD" w:rsidRPr="00D461B1" w14:paraId="18F45B06" w14:textId="77777777" w:rsidTr="00E70614">
        <w:trPr>
          <w:trHeight w:val="255"/>
        </w:trPr>
        <w:tc>
          <w:tcPr>
            <w:tcW w:w="2879" w:type="dxa"/>
            <w:tcBorders>
              <w:top w:val="single" w:sz="4" w:space="0" w:color="auto"/>
              <w:left w:val="nil"/>
              <w:bottom w:val="nil"/>
              <w:right w:val="nil"/>
            </w:tcBorders>
            <w:vAlign w:val="bottom"/>
            <w:hideMark/>
          </w:tcPr>
          <w:p w14:paraId="6F8321E6" w14:textId="77777777" w:rsidR="00956FAD" w:rsidRPr="00D461B1" w:rsidRDefault="00956FAD" w:rsidP="00077F5C">
            <w:pPr>
              <w:rPr>
                <w:rFonts w:ascii="Arial" w:hAnsi="Arial" w:cs="Arial"/>
                <w:sz w:val="24"/>
                <w:szCs w:val="24"/>
              </w:rPr>
            </w:pPr>
            <w:proofErr w:type="spellStart"/>
            <w:r>
              <w:rPr>
                <w:rFonts w:ascii="Arial" w:hAnsi="Arial" w:cs="Arial"/>
                <w:sz w:val="24"/>
                <w:szCs w:val="24"/>
              </w:rPr>
              <w:t>Castorama</w:t>
            </w:r>
            <w:proofErr w:type="spellEnd"/>
          </w:p>
        </w:tc>
        <w:tc>
          <w:tcPr>
            <w:tcW w:w="2126" w:type="dxa"/>
            <w:tcBorders>
              <w:top w:val="single" w:sz="4" w:space="0" w:color="auto"/>
              <w:left w:val="nil"/>
              <w:bottom w:val="nil"/>
              <w:right w:val="nil"/>
            </w:tcBorders>
            <w:vAlign w:val="center"/>
          </w:tcPr>
          <w:p w14:paraId="14B859B6" w14:textId="25777ABA" w:rsidR="00956FAD" w:rsidRPr="00077F5C" w:rsidRDefault="00956FAD">
            <w:pPr>
              <w:jc w:val="right"/>
              <w:rPr>
                <w:rFonts w:ascii="Arial" w:hAnsi="Arial" w:cs="Arial"/>
              </w:rPr>
            </w:pPr>
            <w:r w:rsidRPr="00077F5C">
              <w:rPr>
                <w:rFonts w:ascii="Arial" w:hAnsi="Arial" w:cs="Arial"/>
                <w:color w:val="000000"/>
              </w:rPr>
              <w:t>1,23</w:t>
            </w:r>
            <w:r>
              <w:rPr>
                <w:rFonts w:ascii="Arial" w:hAnsi="Arial" w:cs="Arial"/>
                <w:color w:val="000000"/>
              </w:rPr>
              <w:t>7</w:t>
            </w:r>
          </w:p>
        </w:tc>
        <w:tc>
          <w:tcPr>
            <w:tcW w:w="1985" w:type="dxa"/>
            <w:tcBorders>
              <w:top w:val="single" w:sz="4" w:space="0" w:color="auto"/>
              <w:left w:val="nil"/>
              <w:bottom w:val="nil"/>
              <w:right w:val="nil"/>
            </w:tcBorders>
            <w:vAlign w:val="center"/>
          </w:tcPr>
          <w:p w14:paraId="7F5656FB" w14:textId="25FFFDB4" w:rsidR="00956FAD" w:rsidRPr="00077F5C" w:rsidRDefault="00956FAD">
            <w:pPr>
              <w:jc w:val="right"/>
              <w:rPr>
                <w:rFonts w:ascii="Arial" w:hAnsi="Arial" w:cs="Arial"/>
              </w:rPr>
            </w:pPr>
            <w:r w:rsidRPr="00077F5C">
              <w:rPr>
                <w:rFonts w:ascii="Arial" w:hAnsi="Arial" w:cs="Arial"/>
                <w:color w:val="000000"/>
              </w:rPr>
              <w:t>1,11</w:t>
            </w:r>
            <w:r>
              <w:rPr>
                <w:rFonts w:ascii="Arial" w:hAnsi="Arial" w:cs="Arial"/>
                <w:color w:val="000000"/>
              </w:rPr>
              <w:t>8</w:t>
            </w:r>
          </w:p>
        </w:tc>
        <w:tc>
          <w:tcPr>
            <w:tcW w:w="2268" w:type="dxa"/>
            <w:tcBorders>
              <w:top w:val="single" w:sz="4" w:space="0" w:color="auto"/>
              <w:left w:val="nil"/>
              <w:bottom w:val="nil"/>
              <w:right w:val="nil"/>
            </w:tcBorders>
            <w:vAlign w:val="center"/>
          </w:tcPr>
          <w:p w14:paraId="2E53E068" w14:textId="76501001" w:rsidR="00956FAD" w:rsidRPr="00077F5C" w:rsidRDefault="00956FAD">
            <w:pPr>
              <w:jc w:val="right"/>
              <w:rPr>
                <w:rFonts w:ascii="Arial" w:hAnsi="Arial" w:cs="Arial"/>
              </w:rPr>
            </w:pPr>
            <w:r w:rsidRPr="00077F5C">
              <w:rPr>
                <w:rFonts w:ascii="Arial" w:hAnsi="Arial" w:cs="Arial"/>
                <w:color w:val="000000"/>
              </w:rPr>
              <w:t>119</w:t>
            </w:r>
          </w:p>
        </w:tc>
      </w:tr>
      <w:tr w:rsidR="00956FAD" w:rsidRPr="00BF31C4" w14:paraId="0ABDC411" w14:textId="77777777" w:rsidTr="00E70614">
        <w:trPr>
          <w:trHeight w:val="255"/>
        </w:trPr>
        <w:tc>
          <w:tcPr>
            <w:tcW w:w="2879" w:type="dxa"/>
            <w:tcBorders>
              <w:top w:val="nil"/>
              <w:left w:val="nil"/>
              <w:bottom w:val="single" w:sz="4" w:space="0" w:color="auto"/>
              <w:right w:val="nil"/>
            </w:tcBorders>
            <w:vAlign w:val="bottom"/>
            <w:hideMark/>
          </w:tcPr>
          <w:p w14:paraId="7154ADE6" w14:textId="205AFDEB" w:rsidR="00956FAD" w:rsidRPr="00D461B1" w:rsidRDefault="00956FAD" w:rsidP="00077F5C">
            <w:pPr>
              <w:rPr>
                <w:rFonts w:ascii="Arial" w:hAnsi="Arial" w:cs="Arial"/>
                <w:sz w:val="24"/>
                <w:szCs w:val="24"/>
              </w:rPr>
            </w:pPr>
            <w:proofErr w:type="spellStart"/>
            <w:r>
              <w:rPr>
                <w:rFonts w:ascii="Arial" w:hAnsi="Arial" w:cs="Arial"/>
                <w:sz w:val="24"/>
                <w:szCs w:val="24"/>
              </w:rPr>
              <w:t>Brico</w:t>
            </w:r>
            <w:proofErr w:type="spellEnd"/>
            <w:r w:rsidRPr="00926779">
              <w:rPr>
                <w:rFonts w:ascii="Arial" w:hAnsi="Arial" w:cs="Arial"/>
                <w:sz w:val="24"/>
                <w:szCs w:val="24"/>
              </w:rPr>
              <w:t xml:space="preserve"> </w:t>
            </w:r>
            <w:proofErr w:type="spellStart"/>
            <w:r w:rsidRPr="00926779">
              <w:rPr>
                <w:rFonts w:ascii="Arial" w:hAnsi="Arial" w:cs="Arial"/>
                <w:sz w:val="24"/>
                <w:szCs w:val="24"/>
              </w:rPr>
              <w:t>Dépôt</w:t>
            </w:r>
            <w:proofErr w:type="spellEnd"/>
          </w:p>
        </w:tc>
        <w:tc>
          <w:tcPr>
            <w:tcW w:w="2126" w:type="dxa"/>
            <w:tcBorders>
              <w:top w:val="nil"/>
              <w:left w:val="nil"/>
              <w:bottom w:val="single" w:sz="4" w:space="0" w:color="auto"/>
              <w:right w:val="nil"/>
            </w:tcBorders>
            <w:vAlign w:val="center"/>
          </w:tcPr>
          <w:p w14:paraId="58A03DA6" w14:textId="4F62D6A7" w:rsidR="00956FAD" w:rsidRPr="00077F5C" w:rsidRDefault="00956FAD">
            <w:pPr>
              <w:jc w:val="right"/>
              <w:rPr>
                <w:rFonts w:ascii="Arial" w:hAnsi="Arial" w:cs="Arial"/>
              </w:rPr>
            </w:pPr>
            <w:r w:rsidRPr="00077F5C">
              <w:rPr>
                <w:rFonts w:ascii="Arial" w:hAnsi="Arial" w:cs="Arial"/>
                <w:color w:val="000000"/>
              </w:rPr>
              <w:t>810</w:t>
            </w:r>
          </w:p>
        </w:tc>
        <w:tc>
          <w:tcPr>
            <w:tcW w:w="1985" w:type="dxa"/>
            <w:tcBorders>
              <w:top w:val="nil"/>
              <w:left w:val="nil"/>
              <w:bottom w:val="single" w:sz="4" w:space="0" w:color="auto"/>
              <w:right w:val="nil"/>
            </w:tcBorders>
            <w:vAlign w:val="center"/>
          </w:tcPr>
          <w:p w14:paraId="1669F521" w14:textId="0D3678DA" w:rsidR="00956FAD" w:rsidRPr="00077F5C" w:rsidRDefault="00956FAD">
            <w:pPr>
              <w:jc w:val="right"/>
              <w:rPr>
                <w:rFonts w:ascii="Arial" w:hAnsi="Arial" w:cs="Arial"/>
              </w:rPr>
            </w:pPr>
            <w:r w:rsidRPr="00077F5C">
              <w:rPr>
                <w:rFonts w:ascii="Arial" w:hAnsi="Arial" w:cs="Arial"/>
                <w:color w:val="000000"/>
              </w:rPr>
              <w:t>649</w:t>
            </w:r>
          </w:p>
        </w:tc>
        <w:tc>
          <w:tcPr>
            <w:tcW w:w="2268" w:type="dxa"/>
            <w:tcBorders>
              <w:top w:val="nil"/>
              <w:left w:val="nil"/>
              <w:bottom w:val="single" w:sz="4" w:space="0" w:color="auto"/>
              <w:right w:val="nil"/>
            </w:tcBorders>
            <w:vAlign w:val="center"/>
          </w:tcPr>
          <w:p w14:paraId="79EDB512" w14:textId="548A7AD0" w:rsidR="00956FAD" w:rsidRPr="00077F5C" w:rsidRDefault="00956FAD">
            <w:pPr>
              <w:jc w:val="right"/>
              <w:rPr>
                <w:rFonts w:ascii="Arial" w:hAnsi="Arial" w:cs="Arial"/>
              </w:rPr>
            </w:pPr>
            <w:r w:rsidRPr="00077F5C">
              <w:rPr>
                <w:rFonts w:ascii="Arial" w:hAnsi="Arial" w:cs="Arial"/>
                <w:color w:val="000000"/>
              </w:rPr>
              <w:t>161</w:t>
            </w:r>
          </w:p>
        </w:tc>
      </w:tr>
      <w:tr w:rsidR="00956FAD" w:rsidRPr="00893355" w14:paraId="4FB87BC7" w14:textId="77777777" w:rsidTr="00E70614">
        <w:trPr>
          <w:trHeight w:val="255"/>
        </w:trPr>
        <w:tc>
          <w:tcPr>
            <w:tcW w:w="2879" w:type="dxa"/>
            <w:tcBorders>
              <w:top w:val="single" w:sz="4" w:space="0" w:color="auto"/>
              <w:left w:val="nil"/>
              <w:bottom w:val="single" w:sz="4" w:space="0" w:color="auto"/>
              <w:right w:val="nil"/>
            </w:tcBorders>
            <w:vAlign w:val="bottom"/>
            <w:hideMark/>
          </w:tcPr>
          <w:p w14:paraId="2D176B56" w14:textId="77777777" w:rsidR="00956FAD" w:rsidRPr="00893355" w:rsidRDefault="00956FAD" w:rsidP="00077F5C">
            <w:pPr>
              <w:rPr>
                <w:rFonts w:ascii="Arial" w:hAnsi="Arial" w:cs="Arial"/>
                <w:b/>
                <w:sz w:val="24"/>
                <w:szCs w:val="24"/>
              </w:rPr>
            </w:pPr>
            <w:r w:rsidRPr="00893355">
              <w:rPr>
                <w:rFonts w:ascii="Arial" w:hAnsi="Arial" w:cs="Arial"/>
                <w:b/>
                <w:sz w:val="24"/>
                <w:szCs w:val="24"/>
              </w:rPr>
              <w:t>France</w:t>
            </w:r>
          </w:p>
        </w:tc>
        <w:tc>
          <w:tcPr>
            <w:tcW w:w="2126" w:type="dxa"/>
            <w:tcBorders>
              <w:top w:val="single" w:sz="4" w:space="0" w:color="auto"/>
              <w:left w:val="nil"/>
              <w:bottom w:val="single" w:sz="4" w:space="0" w:color="auto"/>
              <w:right w:val="nil"/>
            </w:tcBorders>
            <w:vAlign w:val="center"/>
          </w:tcPr>
          <w:p w14:paraId="767D8DB1" w14:textId="24D4E567" w:rsidR="00956FAD" w:rsidRPr="00077F5C" w:rsidRDefault="00956FAD">
            <w:pPr>
              <w:jc w:val="right"/>
              <w:rPr>
                <w:rFonts w:ascii="Arial" w:hAnsi="Arial" w:cs="Arial"/>
                <w:b/>
              </w:rPr>
            </w:pPr>
            <w:r w:rsidRPr="00077F5C">
              <w:rPr>
                <w:rFonts w:ascii="Arial" w:hAnsi="Arial" w:cs="Arial"/>
                <w:b/>
                <w:bCs/>
                <w:color w:val="000000"/>
              </w:rPr>
              <w:t>2,047</w:t>
            </w:r>
          </w:p>
        </w:tc>
        <w:tc>
          <w:tcPr>
            <w:tcW w:w="1985" w:type="dxa"/>
            <w:tcBorders>
              <w:top w:val="single" w:sz="4" w:space="0" w:color="auto"/>
              <w:left w:val="nil"/>
              <w:bottom w:val="single" w:sz="4" w:space="0" w:color="auto"/>
              <w:right w:val="nil"/>
            </w:tcBorders>
            <w:vAlign w:val="center"/>
          </w:tcPr>
          <w:p w14:paraId="49B1BC22" w14:textId="18D3DA04" w:rsidR="00956FAD" w:rsidRPr="00077F5C" w:rsidRDefault="00956FAD">
            <w:pPr>
              <w:jc w:val="right"/>
              <w:rPr>
                <w:rFonts w:ascii="Arial" w:hAnsi="Arial" w:cs="Arial"/>
                <w:b/>
              </w:rPr>
            </w:pPr>
            <w:r w:rsidRPr="00077F5C">
              <w:rPr>
                <w:rFonts w:ascii="Arial" w:hAnsi="Arial" w:cs="Arial"/>
                <w:b/>
                <w:bCs/>
                <w:color w:val="000000"/>
              </w:rPr>
              <w:t>1,767</w:t>
            </w:r>
          </w:p>
        </w:tc>
        <w:tc>
          <w:tcPr>
            <w:tcW w:w="2268" w:type="dxa"/>
            <w:tcBorders>
              <w:top w:val="single" w:sz="4" w:space="0" w:color="auto"/>
              <w:left w:val="nil"/>
              <w:bottom w:val="single" w:sz="4" w:space="0" w:color="auto"/>
              <w:right w:val="nil"/>
            </w:tcBorders>
            <w:vAlign w:val="center"/>
          </w:tcPr>
          <w:p w14:paraId="428B2F81" w14:textId="75F9B218" w:rsidR="00956FAD" w:rsidRPr="00077F5C" w:rsidRDefault="00956FAD">
            <w:pPr>
              <w:jc w:val="right"/>
              <w:rPr>
                <w:rFonts w:ascii="Arial" w:hAnsi="Arial" w:cs="Arial"/>
                <w:b/>
              </w:rPr>
            </w:pPr>
            <w:r w:rsidRPr="00077F5C">
              <w:rPr>
                <w:rFonts w:ascii="Arial" w:hAnsi="Arial" w:cs="Arial"/>
                <w:b/>
                <w:bCs/>
                <w:color w:val="000000"/>
              </w:rPr>
              <w:t>280</w:t>
            </w:r>
          </w:p>
        </w:tc>
      </w:tr>
      <w:tr w:rsidR="00956FAD" w:rsidRPr="00D461B1" w14:paraId="736B4B96" w14:textId="77777777" w:rsidTr="00E70614">
        <w:trPr>
          <w:trHeight w:val="311"/>
        </w:trPr>
        <w:tc>
          <w:tcPr>
            <w:tcW w:w="2879" w:type="dxa"/>
            <w:tcBorders>
              <w:top w:val="single" w:sz="4" w:space="0" w:color="auto"/>
              <w:left w:val="nil"/>
              <w:bottom w:val="nil"/>
              <w:right w:val="nil"/>
            </w:tcBorders>
            <w:vAlign w:val="bottom"/>
            <w:hideMark/>
          </w:tcPr>
          <w:p w14:paraId="737152E3" w14:textId="77777777" w:rsidR="00956FAD" w:rsidRPr="00D461B1" w:rsidRDefault="00956FAD" w:rsidP="00077F5C">
            <w:pPr>
              <w:rPr>
                <w:rFonts w:ascii="Arial" w:hAnsi="Arial" w:cs="Arial"/>
                <w:sz w:val="24"/>
                <w:szCs w:val="24"/>
              </w:rPr>
            </w:pPr>
            <w:r>
              <w:rPr>
                <w:rFonts w:ascii="Arial" w:hAnsi="Arial" w:cs="Arial"/>
                <w:sz w:val="24"/>
                <w:szCs w:val="24"/>
              </w:rPr>
              <w:t>B&amp;Q UK &amp; Ireland</w:t>
            </w:r>
          </w:p>
        </w:tc>
        <w:tc>
          <w:tcPr>
            <w:tcW w:w="2126" w:type="dxa"/>
            <w:tcBorders>
              <w:top w:val="single" w:sz="4" w:space="0" w:color="auto"/>
              <w:left w:val="nil"/>
              <w:bottom w:val="nil"/>
              <w:right w:val="nil"/>
            </w:tcBorders>
            <w:vAlign w:val="center"/>
          </w:tcPr>
          <w:p w14:paraId="5D85C73F" w14:textId="2C557F78" w:rsidR="00956FAD" w:rsidRPr="00077F5C" w:rsidRDefault="00956FAD">
            <w:pPr>
              <w:jc w:val="right"/>
              <w:rPr>
                <w:rFonts w:ascii="Arial" w:hAnsi="Arial" w:cs="Arial"/>
              </w:rPr>
            </w:pPr>
            <w:r w:rsidRPr="00077F5C">
              <w:rPr>
                <w:rFonts w:ascii="Arial" w:hAnsi="Arial" w:cs="Arial"/>
                <w:color w:val="000000"/>
              </w:rPr>
              <w:t>2,540</w:t>
            </w:r>
          </w:p>
        </w:tc>
        <w:tc>
          <w:tcPr>
            <w:tcW w:w="1985" w:type="dxa"/>
            <w:tcBorders>
              <w:top w:val="single" w:sz="4" w:space="0" w:color="auto"/>
              <w:left w:val="nil"/>
              <w:bottom w:val="nil"/>
              <w:right w:val="nil"/>
            </w:tcBorders>
            <w:vAlign w:val="center"/>
          </w:tcPr>
          <w:p w14:paraId="7039B498" w14:textId="348E11A2" w:rsidR="00956FAD" w:rsidRPr="00077F5C" w:rsidRDefault="00956FAD">
            <w:pPr>
              <w:jc w:val="right"/>
              <w:rPr>
                <w:rFonts w:ascii="Arial" w:hAnsi="Arial" w:cs="Arial"/>
              </w:rPr>
            </w:pPr>
            <w:r w:rsidRPr="00077F5C">
              <w:rPr>
                <w:rFonts w:ascii="Arial" w:hAnsi="Arial" w:cs="Arial"/>
                <w:color w:val="000000"/>
              </w:rPr>
              <w:t>2,540</w:t>
            </w:r>
          </w:p>
        </w:tc>
        <w:tc>
          <w:tcPr>
            <w:tcW w:w="2268" w:type="dxa"/>
            <w:tcBorders>
              <w:top w:val="single" w:sz="4" w:space="0" w:color="auto"/>
              <w:left w:val="nil"/>
              <w:bottom w:val="nil"/>
              <w:right w:val="nil"/>
            </w:tcBorders>
            <w:vAlign w:val="center"/>
          </w:tcPr>
          <w:p w14:paraId="70D21CF5" w14:textId="4B29A2C3" w:rsidR="00956FAD" w:rsidRPr="00077F5C" w:rsidRDefault="00956FAD">
            <w:pPr>
              <w:jc w:val="right"/>
              <w:rPr>
                <w:rFonts w:ascii="Arial" w:hAnsi="Arial" w:cs="Arial"/>
              </w:rPr>
            </w:pPr>
            <w:r w:rsidRPr="00077F5C">
              <w:rPr>
                <w:rFonts w:ascii="Arial" w:hAnsi="Arial" w:cs="Arial"/>
                <w:color w:val="000000"/>
              </w:rPr>
              <w:t>-</w:t>
            </w:r>
          </w:p>
        </w:tc>
      </w:tr>
      <w:tr w:rsidR="00956FAD" w:rsidRPr="00BF31C4" w14:paraId="27200D4F" w14:textId="77777777" w:rsidTr="00E70614">
        <w:trPr>
          <w:trHeight w:val="270"/>
        </w:trPr>
        <w:tc>
          <w:tcPr>
            <w:tcW w:w="2879" w:type="dxa"/>
            <w:tcBorders>
              <w:bottom w:val="single" w:sz="4" w:space="0" w:color="auto"/>
            </w:tcBorders>
            <w:vAlign w:val="bottom"/>
            <w:hideMark/>
          </w:tcPr>
          <w:p w14:paraId="763FB13A" w14:textId="77777777" w:rsidR="00956FAD" w:rsidRPr="00D461B1" w:rsidRDefault="00956FAD" w:rsidP="00077F5C">
            <w:pPr>
              <w:rPr>
                <w:rFonts w:ascii="Arial" w:hAnsi="Arial" w:cs="Arial"/>
                <w:sz w:val="24"/>
                <w:szCs w:val="24"/>
              </w:rPr>
            </w:pPr>
            <w:r>
              <w:rPr>
                <w:rFonts w:ascii="Arial" w:hAnsi="Arial" w:cs="Arial"/>
                <w:sz w:val="24"/>
                <w:szCs w:val="24"/>
              </w:rPr>
              <w:t>Screwfix</w:t>
            </w:r>
          </w:p>
        </w:tc>
        <w:tc>
          <w:tcPr>
            <w:tcW w:w="2126" w:type="dxa"/>
            <w:tcBorders>
              <w:bottom w:val="single" w:sz="4" w:space="0" w:color="auto"/>
            </w:tcBorders>
            <w:vAlign w:val="center"/>
          </w:tcPr>
          <w:p w14:paraId="047EE21B" w14:textId="586269FE" w:rsidR="00956FAD" w:rsidRPr="00077F5C" w:rsidRDefault="00956FAD">
            <w:pPr>
              <w:jc w:val="right"/>
              <w:rPr>
                <w:rFonts w:ascii="Arial" w:hAnsi="Arial" w:cs="Arial"/>
              </w:rPr>
            </w:pPr>
            <w:r>
              <w:rPr>
                <w:rFonts w:ascii="Arial" w:hAnsi="Arial" w:cs="Arial"/>
                <w:color w:val="000000"/>
              </w:rPr>
              <w:t>26</w:t>
            </w:r>
          </w:p>
        </w:tc>
        <w:tc>
          <w:tcPr>
            <w:tcW w:w="1985" w:type="dxa"/>
            <w:tcBorders>
              <w:bottom w:val="single" w:sz="4" w:space="0" w:color="auto"/>
            </w:tcBorders>
            <w:vAlign w:val="center"/>
          </w:tcPr>
          <w:p w14:paraId="12B4C5CE" w14:textId="6EF03EE3" w:rsidR="00956FAD" w:rsidRPr="00077F5C" w:rsidRDefault="00956FAD" w:rsidP="00077F5C">
            <w:pPr>
              <w:jc w:val="right"/>
              <w:rPr>
                <w:rFonts w:ascii="Arial" w:hAnsi="Arial" w:cs="Arial"/>
              </w:rPr>
            </w:pPr>
            <w:r w:rsidRPr="00077F5C">
              <w:rPr>
                <w:rFonts w:ascii="Arial" w:hAnsi="Arial" w:cs="Arial"/>
                <w:color w:val="000000"/>
              </w:rPr>
              <w:t>26</w:t>
            </w:r>
          </w:p>
        </w:tc>
        <w:tc>
          <w:tcPr>
            <w:tcW w:w="2268" w:type="dxa"/>
            <w:tcBorders>
              <w:bottom w:val="single" w:sz="4" w:space="0" w:color="auto"/>
            </w:tcBorders>
            <w:vAlign w:val="center"/>
          </w:tcPr>
          <w:p w14:paraId="3C1538D1" w14:textId="11A97311" w:rsidR="00956FAD" w:rsidRPr="00077F5C" w:rsidRDefault="00956FAD" w:rsidP="00077F5C">
            <w:pPr>
              <w:jc w:val="right"/>
              <w:rPr>
                <w:rFonts w:ascii="Arial" w:hAnsi="Arial" w:cs="Arial"/>
              </w:rPr>
            </w:pPr>
            <w:r w:rsidRPr="00077F5C">
              <w:rPr>
                <w:rFonts w:ascii="Arial" w:hAnsi="Arial" w:cs="Arial"/>
                <w:color w:val="000000"/>
              </w:rPr>
              <w:t>-</w:t>
            </w:r>
          </w:p>
        </w:tc>
      </w:tr>
      <w:tr w:rsidR="00956FAD" w:rsidRPr="00893355" w14:paraId="541719B6" w14:textId="77777777" w:rsidTr="00E70614">
        <w:trPr>
          <w:trHeight w:val="270"/>
        </w:trPr>
        <w:tc>
          <w:tcPr>
            <w:tcW w:w="2879" w:type="dxa"/>
            <w:tcBorders>
              <w:top w:val="single" w:sz="4" w:space="0" w:color="auto"/>
              <w:left w:val="nil"/>
              <w:bottom w:val="single" w:sz="4" w:space="0" w:color="auto"/>
              <w:right w:val="nil"/>
            </w:tcBorders>
            <w:vAlign w:val="bottom"/>
            <w:hideMark/>
          </w:tcPr>
          <w:p w14:paraId="13AB565C" w14:textId="77777777" w:rsidR="00956FAD" w:rsidRPr="00893355" w:rsidRDefault="00956FAD" w:rsidP="00077F5C">
            <w:pPr>
              <w:rPr>
                <w:rFonts w:ascii="Arial" w:hAnsi="Arial" w:cs="Arial"/>
                <w:b/>
                <w:sz w:val="24"/>
                <w:szCs w:val="24"/>
              </w:rPr>
            </w:pPr>
            <w:r w:rsidRPr="00893355">
              <w:rPr>
                <w:rFonts w:ascii="Arial" w:hAnsi="Arial" w:cs="Arial"/>
                <w:b/>
                <w:sz w:val="24"/>
                <w:szCs w:val="24"/>
              </w:rPr>
              <w:t>UK &amp; Ireland</w:t>
            </w:r>
          </w:p>
        </w:tc>
        <w:tc>
          <w:tcPr>
            <w:tcW w:w="2126" w:type="dxa"/>
            <w:tcBorders>
              <w:top w:val="single" w:sz="4" w:space="0" w:color="auto"/>
              <w:left w:val="nil"/>
              <w:bottom w:val="single" w:sz="4" w:space="0" w:color="auto"/>
              <w:right w:val="nil"/>
            </w:tcBorders>
            <w:vAlign w:val="center"/>
          </w:tcPr>
          <w:p w14:paraId="2F1CC5EA" w14:textId="7B436093" w:rsidR="00956FAD" w:rsidRPr="00077F5C" w:rsidRDefault="00956FAD">
            <w:pPr>
              <w:jc w:val="right"/>
              <w:rPr>
                <w:rFonts w:ascii="Arial" w:hAnsi="Arial" w:cs="Arial"/>
                <w:b/>
              </w:rPr>
            </w:pPr>
            <w:r w:rsidRPr="00077F5C">
              <w:rPr>
                <w:rFonts w:ascii="Arial" w:hAnsi="Arial" w:cs="Arial"/>
                <w:b/>
                <w:bCs/>
                <w:color w:val="000000"/>
              </w:rPr>
              <w:t>2,</w:t>
            </w:r>
            <w:r>
              <w:rPr>
                <w:rFonts w:ascii="Arial" w:hAnsi="Arial" w:cs="Arial"/>
                <w:b/>
                <w:bCs/>
                <w:color w:val="000000"/>
              </w:rPr>
              <w:t>566</w:t>
            </w:r>
          </w:p>
        </w:tc>
        <w:tc>
          <w:tcPr>
            <w:tcW w:w="1985" w:type="dxa"/>
            <w:tcBorders>
              <w:top w:val="single" w:sz="4" w:space="0" w:color="auto"/>
              <w:left w:val="nil"/>
              <w:bottom w:val="single" w:sz="4" w:space="0" w:color="auto"/>
              <w:right w:val="nil"/>
            </w:tcBorders>
            <w:vAlign w:val="center"/>
          </w:tcPr>
          <w:p w14:paraId="7DE16836" w14:textId="4D805025" w:rsidR="00956FAD" w:rsidRPr="00077F5C" w:rsidRDefault="00956FAD">
            <w:pPr>
              <w:jc w:val="right"/>
              <w:rPr>
                <w:rFonts w:ascii="Arial" w:hAnsi="Arial" w:cs="Arial"/>
                <w:b/>
              </w:rPr>
            </w:pPr>
            <w:r w:rsidRPr="00077F5C">
              <w:rPr>
                <w:rFonts w:ascii="Arial" w:hAnsi="Arial" w:cs="Arial"/>
                <w:b/>
                <w:bCs/>
                <w:color w:val="000000"/>
              </w:rPr>
              <w:t>2,56</w:t>
            </w:r>
            <w:r>
              <w:rPr>
                <w:rFonts w:ascii="Arial" w:hAnsi="Arial" w:cs="Arial"/>
                <w:b/>
                <w:bCs/>
                <w:color w:val="000000"/>
              </w:rPr>
              <w:t>6</w:t>
            </w:r>
          </w:p>
        </w:tc>
        <w:tc>
          <w:tcPr>
            <w:tcW w:w="2268" w:type="dxa"/>
            <w:tcBorders>
              <w:top w:val="single" w:sz="4" w:space="0" w:color="auto"/>
              <w:left w:val="nil"/>
              <w:bottom w:val="single" w:sz="4" w:space="0" w:color="auto"/>
              <w:right w:val="nil"/>
            </w:tcBorders>
            <w:vAlign w:val="center"/>
          </w:tcPr>
          <w:p w14:paraId="4B67E763" w14:textId="70A17C2E" w:rsidR="00956FAD" w:rsidRPr="00077F5C" w:rsidRDefault="00956FAD">
            <w:pPr>
              <w:jc w:val="right"/>
              <w:rPr>
                <w:rFonts w:ascii="Arial" w:hAnsi="Arial" w:cs="Arial"/>
                <w:b/>
              </w:rPr>
            </w:pPr>
            <w:r w:rsidRPr="00077F5C">
              <w:rPr>
                <w:rFonts w:ascii="Arial" w:hAnsi="Arial" w:cs="Arial"/>
                <w:color w:val="000000"/>
              </w:rPr>
              <w:t>-</w:t>
            </w:r>
          </w:p>
        </w:tc>
      </w:tr>
      <w:tr w:rsidR="00956FAD" w:rsidRPr="00D461B1" w14:paraId="6AACE6E3" w14:textId="77777777" w:rsidTr="00E70614">
        <w:trPr>
          <w:trHeight w:val="270"/>
        </w:trPr>
        <w:tc>
          <w:tcPr>
            <w:tcW w:w="2879" w:type="dxa"/>
            <w:tcBorders>
              <w:top w:val="single" w:sz="4" w:space="0" w:color="auto"/>
              <w:left w:val="nil"/>
              <w:right w:val="nil"/>
            </w:tcBorders>
            <w:vAlign w:val="bottom"/>
            <w:hideMark/>
          </w:tcPr>
          <w:p w14:paraId="15424F55" w14:textId="77777777" w:rsidR="00956FAD" w:rsidRPr="00203270" w:rsidRDefault="00956FAD" w:rsidP="00077F5C">
            <w:pPr>
              <w:rPr>
                <w:rFonts w:ascii="Arial" w:hAnsi="Arial" w:cs="Arial"/>
                <w:sz w:val="24"/>
                <w:szCs w:val="24"/>
              </w:rPr>
            </w:pPr>
            <w:r w:rsidRPr="00203270">
              <w:rPr>
                <w:rFonts w:ascii="Arial" w:hAnsi="Arial" w:cs="Arial"/>
                <w:sz w:val="24"/>
                <w:szCs w:val="24"/>
              </w:rPr>
              <w:t>Poland</w:t>
            </w:r>
          </w:p>
        </w:tc>
        <w:tc>
          <w:tcPr>
            <w:tcW w:w="2126" w:type="dxa"/>
            <w:tcBorders>
              <w:top w:val="single" w:sz="4" w:space="0" w:color="auto"/>
              <w:left w:val="nil"/>
              <w:right w:val="nil"/>
            </w:tcBorders>
            <w:vAlign w:val="center"/>
          </w:tcPr>
          <w:p w14:paraId="2BEA3F28" w14:textId="0D70572C" w:rsidR="00956FAD" w:rsidRPr="00077F5C" w:rsidRDefault="00956FAD">
            <w:pPr>
              <w:jc w:val="right"/>
              <w:rPr>
                <w:rFonts w:ascii="Arial" w:hAnsi="Arial" w:cs="Arial"/>
              </w:rPr>
            </w:pPr>
            <w:r w:rsidRPr="00077F5C">
              <w:rPr>
                <w:rFonts w:ascii="Arial" w:hAnsi="Arial" w:cs="Arial"/>
                <w:color w:val="000000"/>
              </w:rPr>
              <w:t>603</w:t>
            </w:r>
          </w:p>
        </w:tc>
        <w:tc>
          <w:tcPr>
            <w:tcW w:w="1985" w:type="dxa"/>
            <w:tcBorders>
              <w:top w:val="single" w:sz="4" w:space="0" w:color="auto"/>
              <w:left w:val="nil"/>
              <w:right w:val="nil"/>
            </w:tcBorders>
            <w:vAlign w:val="center"/>
          </w:tcPr>
          <w:p w14:paraId="54859BC0" w14:textId="37CB6AD9" w:rsidR="00956FAD" w:rsidRPr="00077F5C" w:rsidRDefault="00956FAD">
            <w:pPr>
              <w:jc w:val="right"/>
              <w:rPr>
                <w:rFonts w:ascii="Arial" w:hAnsi="Arial" w:cs="Arial"/>
              </w:rPr>
            </w:pPr>
            <w:r w:rsidRPr="00077F5C">
              <w:rPr>
                <w:rFonts w:ascii="Arial" w:hAnsi="Arial" w:cs="Arial"/>
                <w:color w:val="000000"/>
              </w:rPr>
              <w:t>522</w:t>
            </w:r>
          </w:p>
        </w:tc>
        <w:tc>
          <w:tcPr>
            <w:tcW w:w="2268" w:type="dxa"/>
            <w:tcBorders>
              <w:top w:val="single" w:sz="4" w:space="0" w:color="auto"/>
              <w:left w:val="nil"/>
              <w:right w:val="nil"/>
            </w:tcBorders>
            <w:vAlign w:val="center"/>
          </w:tcPr>
          <w:p w14:paraId="24B4F3C3" w14:textId="44C263DE" w:rsidR="00956FAD" w:rsidRPr="00077F5C" w:rsidRDefault="00956FAD">
            <w:pPr>
              <w:jc w:val="right"/>
              <w:rPr>
                <w:rFonts w:ascii="Arial" w:hAnsi="Arial" w:cs="Arial"/>
              </w:rPr>
            </w:pPr>
            <w:r w:rsidRPr="00077F5C">
              <w:rPr>
                <w:rFonts w:ascii="Arial" w:hAnsi="Arial" w:cs="Arial"/>
                <w:color w:val="000000"/>
              </w:rPr>
              <w:t>81</w:t>
            </w:r>
          </w:p>
        </w:tc>
      </w:tr>
      <w:tr w:rsidR="00956FAD" w:rsidRPr="00D461B1" w14:paraId="67F39354" w14:textId="77777777" w:rsidTr="00E70614">
        <w:trPr>
          <w:trHeight w:val="270"/>
        </w:trPr>
        <w:tc>
          <w:tcPr>
            <w:tcW w:w="2879" w:type="dxa"/>
            <w:tcBorders>
              <w:left w:val="nil"/>
              <w:right w:val="nil"/>
            </w:tcBorders>
            <w:vAlign w:val="bottom"/>
          </w:tcPr>
          <w:p w14:paraId="06227A8B" w14:textId="77777777" w:rsidR="00956FAD" w:rsidRPr="00203270" w:rsidRDefault="00956FAD" w:rsidP="00077F5C">
            <w:pPr>
              <w:rPr>
                <w:rFonts w:ascii="Arial" w:hAnsi="Arial" w:cs="Arial"/>
                <w:sz w:val="24"/>
                <w:szCs w:val="24"/>
              </w:rPr>
            </w:pPr>
            <w:r w:rsidRPr="00203270">
              <w:rPr>
                <w:rFonts w:ascii="Arial" w:hAnsi="Arial" w:cs="Arial"/>
                <w:sz w:val="24"/>
                <w:szCs w:val="24"/>
              </w:rPr>
              <w:t>Portugal</w:t>
            </w:r>
          </w:p>
        </w:tc>
        <w:tc>
          <w:tcPr>
            <w:tcW w:w="2126" w:type="dxa"/>
            <w:tcBorders>
              <w:left w:val="nil"/>
              <w:right w:val="nil"/>
            </w:tcBorders>
            <w:vAlign w:val="center"/>
          </w:tcPr>
          <w:p w14:paraId="73C3E56F" w14:textId="31C01A6D" w:rsidR="00956FAD" w:rsidRPr="00077F5C" w:rsidRDefault="00956FAD" w:rsidP="00077F5C">
            <w:pPr>
              <w:jc w:val="right"/>
              <w:rPr>
                <w:rFonts w:ascii="Arial" w:hAnsi="Arial" w:cs="Arial"/>
              </w:rPr>
            </w:pPr>
            <w:r w:rsidRPr="00077F5C">
              <w:rPr>
                <w:rFonts w:ascii="Arial" w:hAnsi="Arial" w:cs="Arial"/>
                <w:color w:val="000000"/>
              </w:rPr>
              <w:t>12</w:t>
            </w:r>
          </w:p>
        </w:tc>
        <w:tc>
          <w:tcPr>
            <w:tcW w:w="1985" w:type="dxa"/>
            <w:tcBorders>
              <w:left w:val="nil"/>
              <w:right w:val="nil"/>
            </w:tcBorders>
            <w:vAlign w:val="center"/>
          </w:tcPr>
          <w:p w14:paraId="3D45C358" w14:textId="10C9AD9B" w:rsidR="00956FAD" w:rsidRPr="00077F5C" w:rsidRDefault="00956FAD">
            <w:pPr>
              <w:jc w:val="right"/>
              <w:rPr>
                <w:rFonts w:ascii="Arial" w:hAnsi="Arial" w:cs="Arial"/>
              </w:rPr>
            </w:pPr>
            <w:r w:rsidRPr="00077F5C">
              <w:rPr>
                <w:rFonts w:ascii="Arial" w:hAnsi="Arial" w:cs="Arial"/>
                <w:color w:val="000000"/>
              </w:rPr>
              <w:t>12</w:t>
            </w:r>
          </w:p>
        </w:tc>
        <w:tc>
          <w:tcPr>
            <w:tcW w:w="2268" w:type="dxa"/>
            <w:tcBorders>
              <w:left w:val="nil"/>
              <w:right w:val="nil"/>
            </w:tcBorders>
            <w:vAlign w:val="center"/>
          </w:tcPr>
          <w:p w14:paraId="3863CFBA" w14:textId="7523FFE9" w:rsidR="00956FAD" w:rsidRPr="00077F5C" w:rsidRDefault="00956FAD">
            <w:pPr>
              <w:jc w:val="right"/>
              <w:rPr>
                <w:rFonts w:ascii="Arial" w:hAnsi="Arial" w:cs="Arial"/>
              </w:rPr>
            </w:pPr>
            <w:r w:rsidRPr="00077F5C">
              <w:rPr>
                <w:rFonts w:ascii="Arial" w:hAnsi="Arial" w:cs="Arial"/>
                <w:color w:val="000000"/>
              </w:rPr>
              <w:t>-</w:t>
            </w:r>
          </w:p>
        </w:tc>
      </w:tr>
      <w:tr w:rsidR="00956FAD" w:rsidRPr="00D461B1" w14:paraId="30C424B4" w14:textId="77777777" w:rsidTr="00E70614">
        <w:trPr>
          <w:trHeight w:val="270"/>
        </w:trPr>
        <w:tc>
          <w:tcPr>
            <w:tcW w:w="2879" w:type="dxa"/>
            <w:tcBorders>
              <w:left w:val="nil"/>
              <w:right w:val="nil"/>
            </w:tcBorders>
            <w:vAlign w:val="bottom"/>
          </w:tcPr>
          <w:p w14:paraId="0667E96B" w14:textId="77777777" w:rsidR="00956FAD" w:rsidRPr="00203270" w:rsidRDefault="00956FAD" w:rsidP="00077F5C">
            <w:pPr>
              <w:rPr>
                <w:rFonts w:ascii="Arial" w:hAnsi="Arial" w:cs="Arial"/>
                <w:sz w:val="24"/>
                <w:szCs w:val="24"/>
              </w:rPr>
            </w:pPr>
            <w:r w:rsidRPr="00203270">
              <w:rPr>
                <w:rFonts w:ascii="Arial" w:hAnsi="Arial" w:cs="Arial"/>
                <w:sz w:val="24"/>
                <w:szCs w:val="24"/>
              </w:rPr>
              <w:t>Romania</w:t>
            </w:r>
          </w:p>
        </w:tc>
        <w:tc>
          <w:tcPr>
            <w:tcW w:w="2126" w:type="dxa"/>
            <w:tcBorders>
              <w:left w:val="nil"/>
              <w:right w:val="nil"/>
            </w:tcBorders>
            <w:vAlign w:val="center"/>
          </w:tcPr>
          <w:p w14:paraId="5B725090" w14:textId="6284B5DC" w:rsidR="00956FAD" w:rsidRPr="00077F5C" w:rsidRDefault="00956FAD">
            <w:pPr>
              <w:jc w:val="right"/>
              <w:rPr>
                <w:rFonts w:ascii="Arial" w:hAnsi="Arial" w:cs="Arial"/>
              </w:rPr>
            </w:pPr>
            <w:r w:rsidRPr="00077F5C">
              <w:rPr>
                <w:rFonts w:ascii="Arial" w:hAnsi="Arial" w:cs="Arial"/>
                <w:color w:val="000000"/>
              </w:rPr>
              <w:t>121</w:t>
            </w:r>
          </w:p>
        </w:tc>
        <w:tc>
          <w:tcPr>
            <w:tcW w:w="1985" w:type="dxa"/>
            <w:tcBorders>
              <w:left w:val="nil"/>
              <w:right w:val="nil"/>
            </w:tcBorders>
            <w:vAlign w:val="center"/>
          </w:tcPr>
          <w:p w14:paraId="4B8981F9" w14:textId="2677422D" w:rsidR="00956FAD" w:rsidRPr="00077F5C" w:rsidRDefault="00956FAD">
            <w:pPr>
              <w:tabs>
                <w:tab w:val="center" w:pos="671"/>
                <w:tab w:val="right" w:pos="1343"/>
              </w:tabs>
              <w:jc w:val="right"/>
              <w:rPr>
                <w:rFonts w:ascii="Arial" w:hAnsi="Arial" w:cs="Arial"/>
              </w:rPr>
            </w:pPr>
            <w:r w:rsidRPr="00077F5C">
              <w:rPr>
                <w:rFonts w:ascii="Arial" w:hAnsi="Arial" w:cs="Arial"/>
                <w:color w:val="000000"/>
              </w:rPr>
              <w:t>121</w:t>
            </w:r>
          </w:p>
        </w:tc>
        <w:tc>
          <w:tcPr>
            <w:tcW w:w="2268" w:type="dxa"/>
            <w:tcBorders>
              <w:left w:val="nil"/>
              <w:right w:val="nil"/>
            </w:tcBorders>
            <w:vAlign w:val="center"/>
          </w:tcPr>
          <w:p w14:paraId="754C093E" w14:textId="63D43A94" w:rsidR="00956FAD" w:rsidRPr="00077F5C" w:rsidRDefault="00956FAD" w:rsidP="00077F5C">
            <w:pPr>
              <w:tabs>
                <w:tab w:val="center" w:pos="671"/>
                <w:tab w:val="right" w:pos="1343"/>
              </w:tabs>
              <w:jc w:val="right"/>
              <w:rPr>
                <w:rFonts w:ascii="Arial" w:hAnsi="Arial" w:cs="Arial"/>
              </w:rPr>
            </w:pPr>
            <w:r w:rsidRPr="00077F5C">
              <w:rPr>
                <w:rFonts w:ascii="Arial" w:hAnsi="Arial" w:cs="Arial"/>
                <w:color w:val="000000"/>
              </w:rPr>
              <w:t>-</w:t>
            </w:r>
          </w:p>
        </w:tc>
      </w:tr>
      <w:tr w:rsidR="00956FAD" w:rsidRPr="00D461B1" w14:paraId="4E426D69" w14:textId="77777777" w:rsidTr="00E70614">
        <w:trPr>
          <w:trHeight w:val="270"/>
        </w:trPr>
        <w:tc>
          <w:tcPr>
            <w:tcW w:w="2879" w:type="dxa"/>
            <w:tcBorders>
              <w:left w:val="nil"/>
              <w:right w:val="nil"/>
            </w:tcBorders>
            <w:vAlign w:val="bottom"/>
          </w:tcPr>
          <w:p w14:paraId="6FC0E55B" w14:textId="77777777" w:rsidR="00956FAD" w:rsidRPr="00203270" w:rsidRDefault="00956FAD" w:rsidP="00077F5C">
            <w:pPr>
              <w:rPr>
                <w:rFonts w:ascii="Arial" w:hAnsi="Arial" w:cs="Arial"/>
                <w:sz w:val="24"/>
                <w:szCs w:val="24"/>
              </w:rPr>
            </w:pPr>
            <w:r w:rsidRPr="00203270">
              <w:rPr>
                <w:rFonts w:ascii="Arial" w:hAnsi="Arial" w:cs="Arial"/>
                <w:sz w:val="24"/>
                <w:szCs w:val="24"/>
              </w:rPr>
              <w:t>Russia</w:t>
            </w:r>
          </w:p>
        </w:tc>
        <w:tc>
          <w:tcPr>
            <w:tcW w:w="2126" w:type="dxa"/>
            <w:tcBorders>
              <w:left w:val="nil"/>
              <w:right w:val="nil"/>
            </w:tcBorders>
            <w:vAlign w:val="center"/>
          </w:tcPr>
          <w:p w14:paraId="562BC2D7" w14:textId="54DA673B" w:rsidR="00956FAD" w:rsidRPr="00077F5C" w:rsidRDefault="00956FAD">
            <w:pPr>
              <w:jc w:val="right"/>
              <w:rPr>
                <w:rFonts w:ascii="Arial" w:hAnsi="Arial" w:cs="Arial"/>
              </w:rPr>
            </w:pPr>
            <w:r w:rsidRPr="00077F5C">
              <w:rPr>
                <w:rFonts w:ascii="Arial" w:hAnsi="Arial" w:cs="Arial"/>
                <w:color w:val="000000"/>
              </w:rPr>
              <w:t>20</w:t>
            </w:r>
            <w:r>
              <w:rPr>
                <w:rFonts w:ascii="Arial" w:hAnsi="Arial" w:cs="Arial"/>
                <w:color w:val="000000"/>
              </w:rPr>
              <w:t>7</w:t>
            </w:r>
          </w:p>
        </w:tc>
        <w:tc>
          <w:tcPr>
            <w:tcW w:w="1985" w:type="dxa"/>
            <w:tcBorders>
              <w:left w:val="nil"/>
              <w:right w:val="nil"/>
            </w:tcBorders>
            <w:vAlign w:val="center"/>
          </w:tcPr>
          <w:p w14:paraId="67DE8E31" w14:textId="64B84D94" w:rsidR="00956FAD" w:rsidRPr="00077F5C" w:rsidRDefault="00956FAD">
            <w:pPr>
              <w:tabs>
                <w:tab w:val="center" w:pos="671"/>
                <w:tab w:val="right" w:pos="1343"/>
              </w:tabs>
              <w:jc w:val="right"/>
              <w:rPr>
                <w:rFonts w:ascii="Arial" w:hAnsi="Arial" w:cs="Arial"/>
              </w:rPr>
            </w:pPr>
            <w:r w:rsidRPr="00077F5C">
              <w:rPr>
                <w:rFonts w:ascii="Arial" w:hAnsi="Arial" w:cs="Arial"/>
                <w:color w:val="000000"/>
              </w:rPr>
              <w:t>20</w:t>
            </w:r>
            <w:r>
              <w:rPr>
                <w:rFonts w:ascii="Arial" w:hAnsi="Arial" w:cs="Arial"/>
                <w:color w:val="000000"/>
              </w:rPr>
              <w:t>7</w:t>
            </w:r>
          </w:p>
        </w:tc>
        <w:tc>
          <w:tcPr>
            <w:tcW w:w="2268" w:type="dxa"/>
            <w:tcBorders>
              <w:left w:val="nil"/>
              <w:right w:val="nil"/>
            </w:tcBorders>
            <w:vAlign w:val="center"/>
          </w:tcPr>
          <w:p w14:paraId="6001D0B4" w14:textId="4377C057" w:rsidR="00956FAD" w:rsidRPr="00077F5C" w:rsidRDefault="00956FAD">
            <w:pPr>
              <w:tabs>
                <w:tab w:val="center" w:pos="671"/>
                <w:tab w:val="right" w:pos="1343"/>
              </w:tabs>
              <w:jc w:val="right"/>
              <w:rPr>
                <w:rFonts w:ascii="Arial" w:hAnsi="Arial" w:cs="Arial"/>
              </w:rPr>
            </w:pPr>
            <w:r w:rsidRPr="00077F5C">
              <w:rPr>
                <w:rFonts w:ascii="Arial" w:hAnsi="Arial" w:cs="Arial"/>
                <w:color w:val="000000"/>
              </w:rPr>
              <w:t>-</w:t>
            </w:r>
          </w:p>
        </w:tc>
      </w:tr>
      <w:tr w:rsidR="00956FAD" w:rsidRPr="00D461B1" w14:paraId="19418C41" w14:textId="77777777" w:rsidTr="00E70614">
        <w:trPr>
          <w:trHeight w:val="270"/>
        </w:trPr>
        <w:tc>
          <w:tcPr>
            <w:tcW w:w="2879" w:type="dxa"/>
            <w:tcBorders>
              <w:left w:val="nil"/>
              <w:right w:val="nil"/>
            </w:tcBorders>
            <w:vAlign w:val="bottom"/>
          </w:tcPr>
          <w:p w14:paraId="656C2A56" w14:textId="77777777" w:rsidR="00956FAD" w:rsidRPr="00203270" w:rsidRDefault="00956FAD" w:rsidP="00077F5C">
            <w:pPr>
              <w:rPr>
                <w:rFonts w:ascii="Arial" w:hAnsi="Arial" w:cs="Arial"/>
                <w:sz w:val="24"/>
                <w:szCs w:val="24"/>
              </w:rPr>
            </w:pPr>
            <w:r w:rsidRPr="00203270">
              <w:rPr>
                <w:rFonts w:ascii="Arial" w:hAnsi="Arial" w:cs="Arial"/>
                <w:sz w:val="24"/>
                <w:szCs w:val="24"/>
              </w:rPr>
              <w:t>Spain</w:t>
            </w:r>
          </w:p>
        </w:tc>
        <w:tc>
          <w:tcPr>
            <w:tcW w:w="2126" w:type="dxa"/>
            <w:tcBorders>
              <w:left w:val="nil"/>
              <w:right w:val="nil"/>
            </w:tcBorders>
            <w:vAlign w:val="center"/>
          </w:tcPr>
          <w:p w14:paraId="01A1133E" w14:textId="6ED488E0" w:rsidR="00956FAD" w:rsidRPr="00077F5C" w:rsidRDefault="00956FAD">
            <w:pPr>
              <w:jc w:val="right"/>
              <w:rPr>
                <w:rFonts w:ascii="Arial" w:hAnsi="Arial" w:cs="Arial"/>
              </w:rPr>
            </w:pPr>
            <w:r w:rsidRPr="00077F5C">
              <w:rPr>
                <w:rFonts w:ascii="Arial" w:hAnsi="Arial" w:cs="Arial"/>
                <w:color w:val="000000"/>
              </w:rPr>
              <w:t>168</w:t>
            </w:r>
          </w:p>
        </w:tc>
        <w:tc>
          <w:tcPr>
            <w:tcW w:w="1985" w:type="dxa"/>
            <w:tcBorders>
              <w:left w:val="nil"/>
              <w:right w:val="nil"/>
            </w:tcBorders>
            <w:vAlign w:val="center"/>
          </w:tcPr>
          <w:p w14:paraId="1B6BD784" w14:textId="463CDE28" w:rsidR="00956FAD" w:rsidRPr="00077F5C" w:rsidRDefault="00956FAD">
            <w:pPr>
              <w:tabs>
                <w:tab w:val="center" w:pos="671"/>
                <w:tab w:val="right" w:pos="1343"/>
              </w:tabs>
              <w:jc w:val="right"/>
              <w:rPr>
                <w:rFonts w:ascii="Arial" w:hAnsi="Arial" w:cs="Arial"/>
              </w:rPr>
            </w:pPr>
            <w:r w:rsidRPr="00077F5C">
              <w:rPr>
                <w:rFonts w:ascii="Arial" w:hAnsi="Arial" w:cs="Arial"/>
                <w:color w:val="000000"/>
              </w:rPr>
              <w:t>168</w:t>
            </w:r>
          </w:p>
        </w:tc>
        <w:tc>
          <w:tcPr>
            <w:tcW w:w="2268" w:type="dxa"/>
            <w:tcBorders>
              <w:left w:val="nil"/>
              <w:right w:val="nil"/>
            </w:tcBorders>
            <w:vAlign w:val="center"/>
          </w:tcPr>
          <w:p w14:paraId="133799F4" w14:textId="73524416" w:rsidR="00956FAD" w:rsidRPr="00077F5C" w:rsidRDefault="00956FAD">
            <w:pPr>
              <w:tabs>
                <w:tab w:val="center" w:pos="671"/>
                <w:tab w:val="right" w:pos="1343"/>
              </w:tabs>
              <w:jc w:val="right"/>
              <w:rPr>
                <w:rFonts w:ascii="Arial" w:hAnsi="Arial" w:cs="Arial"/>
              </w:rPr>
            </w:pPr>
            <w:r w:rsidRPr="00077F5C">
              <w:rPr>
                <w:rFonts w:ascii="Arial" w:hAnsi="Arial" w:cs="Arial"/>
                <w:color w:val="000000"/>
              </w:rPr>
              <w:t>-</w:t>
            </w:r>
          </w:p>
        </w:tc>
      </w:tr>
      <w:tr w:rsidR="00956FAD" w:rsidRPr="00D461B1" w14:paraId="4CA3D4AB" w14:textId="77777777" w:rsidTr="000A14C5">
        <w:trPr>
          <w:trHeight w:val="270"/>
        </w:trPr>
        <w:tc>
          <w:tcPr>
            <w:tcW w:w="2879" w:type="dxa"/>
            <w:tcBorders>
              <w:left w:val="nil"/>
              <w:right w:val="nil"/>
            </w:tcBorders>
            <w:vAlign w:val="bottom"/>
          </w:tcPr>
          <w:p w14:paraId="02AE5376" w14:textId="77777777" w:rsidR="00956FAD" w:rsidRPr="00203270" w:rsidRDefault="00956FAD" w:rsidP="00077F5C">
            <w:pPr>
              <w:rPr>
                <w:rFonts w:ascii="Arial" w:hAnsi="Arial" w:cs="Arial"/>
                <w:sz w:val="24"/>
                <w:szCs w:val="24"/>
              </w:rPr>
            </w:pPr>
            <w:r w:rsidRPr="00203270">
              <w:rPr>
                <w:rFonts w:ascii="Arial" w:hAnsi="Arial" w:cs="Arial"/>
                <w:sz w:val="24"/>
                <w:szCs w:val="24"/>
              </w:rPr>
              <w:t>Turkey JV</w:t>
            </w:r>
          </w:p>
        </w:tc>
        <w:tc>
          <w:tcPr>
            <w:tcW w:w="2126" w:type="dxa"/>
            <w:tcBorders>
              <w:left w:val="nil"/>
              <w:right w:val="nil"/>
            </w:tcBorders>
            <w:vAlign w:val="center"/>
          </w:tcPr>
          <w:p w14:paraId="74C49208" w14:textId="603B62AA" w:rsidR="00956FAD" w:rsidRPr="00077F5C" w:rsidRDefault="00956FAD">
            <w:pPr>
              <w:jc w:val="right"/>
              <w:rPr>
                <w:rFonts w:ascii="Arial" w:hAnsi="Arial" w:cs="Arial"/>
              </w:rPr>
            </w:pPr>
            <w:r w:rsidRPr="00077F5C">
              <w:rPr>
                <w:rFonts w:ascii="Arial" w:hAnsi="Arial" w:cs="Arial"/>
                <w:color w:val="000000"/>
              </w:rPr>
              <w:t>239</w:t>
            </w:r>
          </w:p>
        </w:tc>
        <w:tc>
          <w:tcPr>
            <w:tcW w:w="1985" w:type="dxa"/>
            <w:tcBorders>
              <w:left w:val="nil"/>
              <w:right w:val="nil"/>
            </w:tcBorders>
            <w:vAlign w:val="center"/>
          </w:tcPr>
          <w:p w14:paraId="342337A4" w14:textId="2E02653F" w:rsidR="00956FAD" w:rsidRPr="00077F5C" w:rsidRDefault="00956FAD">
            <w:pPr>
              <w:tabs>
                <w:tab w:val="center" w:pos="671"/>
                <w:tab w:val="right" w:pos="1343"/>
              </w:tabs>
              <w:jc w:val="right"/>
              <w:rPr>
                <w:rFonts w:ascii="Arial" w:hAnsi="Arial" w:cs="Arial"/>
              </w:rPr>
            </w:pPr>
            <w:r w:rsidRPr="00077F5C">
              <w:rPr>
                <w:rFonts w:ascii="Arial" w:hAnsi="Arial" w:cs="Arial"/>
                <w:color w:val="000000"/>
              </w:rPr>
              <w:t>239</w:t>
            </w:r>
          </w:p>
        </w:tc>
        <w:tc>
          <w:tcPr>
            <w:tcW w:w="2268" w:type="dxa"/>
            <w:tcBorders>
              <w:left w:val="nil"/>
              <w:right w:val="nil"/>
            </w:tcBorders>
            <w:vAlign w:val="center"/>
          </w:tcPr>
          <w:p w14:paraId="461A6D5D" w14:textId="7C127564" w:rsidR="00956FAD" w:rsidRPr="00077F5C" w:rsidRDefault="00956FAD">
            <w:pPr>
              <w:tabs>
                <w:tab w:val="center" w:pos="671"/>
                <w:tab w:val="right" w:pos="1343"/>
              </w:tabs>
              <w:jc w:val="right"/>
              <w:rPr>
                <w:rFonts w:ascii="Arial" w:hAnsi="Arial" w:cs="Arial"/>
              </w:rPr>
            </w:pPr>
            <w:r w:rsidRPr="00077F5C">
              <w:rPr>
                <w:rFonts w:ascii="Arial" w:hAnsi="Arial" w:cs="Arial"/>
                <w:color w:val="000000"/>
              </w:rPr>
              <w:t>-</w:t>
            </w:r>
          </w:p>
        </w:tc>
      </w:tr>
      <w:tr w:rsidR="00956FAD" w:rsidRPr="00D461B1" w14:paraId="0D93A32D" w14:textId="77777777" w:rsidTr="000A14C5">
        <w:trPr>
          <w:trHeight w:val="270"/>
        </w:trPr>
        <w:tc>
          <w:tcPr>
            <w:tcW w:w="2879" w:type="dxa"/>
            <w:tcBorders>
              <w:left w:val="nil"/>
              <w:bottom w:val="single" w:sz="4" w:space="0" w:color="auto"/>
              <w:right w:val="nil"/>
            </w:tcBorders>
            <w:vAlign w:val="bottom"/>
          </w:tcPr>
          <w:p w14:paraId="44228B26" w14:textId="77777777" w:rsidR="00956FAD" w:rsidRPr="00203270" w:rsidRDefault="00956FAD" w:rsidP="00077F5C">
            <w:pPr>
              <w:rPr>
                <w:rFonts w:ascii="Arial" w:hAnsi="Arial" w:cs="Arial"/>
                <w:sz w:val="24"/>
                <w:szCs w:val="24"/>
              </w:rPr>
            </w:pPr>
            <w:r w:rsidRPr="00203270">
              <w:rPr>
                <w:rFonts w:ascii="Arial" w:hAnsi="Arial" w:cs="Arial"/>
                <w:sz w:val="24"/>
                <w:szCs w:val="24"/>
              </w:rPr>
              <w:t>Screwfix Germany</w:t>
            </w:r>
          </w:p>
        </w:tc>
        <w:tc>
          <w:tcPr>
            <w:tcW w:w="2126" w:type="dxa"/>
            <w:tcBorders>
              <w:left w:val="nil"/>
              <w:bottom w:val="single" w:sz="4" w:space="0" w:color="auto"/>
              <w:right w:val="nil"/>
            </w:tcBorders>
            <w:vAlign w:val="center"/>
          </w:tcPr>
          <w:p w14:paraId="7C410146" w14:textId="725EB30B" w:rsidR="00956FAD" w:rsidRPr="00077F5C" w:rsidRDefault="00956FAD">
            <w:pPr>
              <w:jc w:val="right"/>
              <w:rPr>
                <w:rFonts w:ascii="Arial" w:hAnsi="Arial" w:cs="Arial"/>
              </w:rPr>
            </w:pPr>
            <w:r>
              <w:rPr>
                <w:rFonts w:ascii="Arial" w:hAnsi="Arial" w:cs="Arial"/>
                <w:color w:val="000000"/>
              </w:rPr>
              <w:t>1</w:t>
            </w:r>
          </w:p>
        </w:tc>
        <w:tc>
          <w:tcPr>
            <w:tcW w:w="1985" w:type="dxa"/>
            <w:tcBorders>
              <w:left w:val="nil"/>
              <w:bottom w:val="single" w:sz="4" w:space="0" w:color="auto"/>
              <w:right w:val="nil"/>
            </w:tcBorders>
            <w:vAlign w:val="center"/>
          </w:tcPr>
          <w:p w14:paraId="64DADDC7" w14:textId="5DF9E161" w:rsidR="00956FAD" w:rsidRPr="00077F5C" w:rsidRDefault="00956FAD">
            <w:pPr>
              <w:tabs>
                <w:tab w:val="center" w:pos="671"/>
                <w:tab w:val="right" w:pos="1343"/>
              </w:tabs>
              <w:jc w:val="right"/>
              <w:rPr>
                <w:rFonts w:ascii="Arial" w:hAnsi="Arial" w:cs="Arial"/>
              </w:rPr>
            </w:pPr>
            <w:r w:rsidRPr="00077F5C">
              <w:rPr>
                <w:rFonts w:ascii="Arial" w:hAnsi="Arial" w:cs="Arial"/>
                <w:color w:val="000000"/>
              </w:rPr>
              <w:t>1</w:t>
            </w:r>
          </w:p>
        </w:tc>
        <w:tc>
          <w:tcPr>
            <w:tcW w:w="2268" w:type="dxa"/>
            <w:tcBorders>
              <w:left w:val="nil"/>
              <w:bottom w:val="single" w:sz="4" w:space="0" w:color="auto"/>
              <w:right w:val="nil"/>
            </w:tcBorders>
            <w:vAlign w:val="center"/>
          </w:tcPr>
          <w:p w14:paraId="3B7B052B" w14:textId="3BCF19DE" w:rsidR="00956FAD" w:rsidRPr="00077F5C" w:rsidRDefault="00956FAD" w:rsidP="00077F5C">
            <w:pPr>
              <w:tabs>
                <w:tab w:val="center" w:pos="671"/>
                <w:tab w:val="right" w:pos="1343"/>
              </w:tabs>
              <w:jc w:val="right"/>
              <w:rPr>
                <w:rFonts w:ascii="Arial" w:hAnsi="Arial" w:cs="Arial"/>
              </w:rPr>
            </w:pPr>
            <w:r w:rsidRPr="00077F5C">
              <w:rPr>
                <w:rFonts w:ascii="Arial" w:hAnsi="Arial" w:cs="Arial"/>
                <w:color w:val="000000"/>
              </w:rPr>
              <w:t>-</w:t>
            </w:r>
          </w:p>
        </w:tc>
      </w:tr>
      <w:tr w:rsidR="00956FAD" w:rsidRPr="00893355" w14:paraId="18B25A99" w14:textId="77777777" w:rsidTr="000A14C5">
        <w:trPr>
          <w:trHeight w:val="270"/>
        </w:trPr>
        <w:tc>
          <w:tcPr>
            <w:tcW w:w="2879" w:type="dxa"/>
            <w:tcBorders>
              <w:top w:val="single" w:sz="4" w:space="0" w:color="auto"/>
              <w:left w:val="nil"/>
              <w:bottom w:val="single" w:sz="4" w:space="0" w:color="auto"/>
              <w:right w:val="nil"/>
            </w:tcBorders>
            <w:vAlign w:val="bottom"/>
          </w:tcPr>
          <w:p w14:paraId="73E7A0BA" w14:textId="77777777" w:rsidR="00956FAD" w:rsidRPr="00893355" w:rsidRDefault="00956FAD" w:rsidP="00077F5C">
            <w:pPr>
              <w:rPr>
                <w:rFonts w:ascii="Arial" w:hAnsi="Arial" w:cs="Arial"/>
                <w:b/>
                <w:sz w:val="24"/>
                <w:szCs w:val="24"/>
              </w:rPr>
            </w:pPr>
            <w:r w:rsidRPr="00893355">
              <w:rPr>
                <w:rFonts w:ascii="Arial" w:hAnsi="Arial" w:cs="Arial"/>
                <w:b/>
                <w:sz w:val="24"/>
                <w:szCs w:val="24"/>
              </w:rPr>
              <w:t>Other International</w:t>
            </w:r>
          </w:p>
        </w:tc>
        <w:tc>
          <w:tcPr>
            <w:tcW w:w="2126" w:type="dxa"/>
            <w:tcBorders>
              <w:top w:val="single" w:sz="4" w:space="0" w:color="auto"/>
              <w:left w:val="nil"/>
              <w:bottom w:val="single" w:sz="4" w:space="0" w:color="auto"/>
              <w:right w:val="nil"/>
            </w:tcBorders>
            <w:vAlign w:val="center"/>
          </w:tcPr>
          <w:p w14:paraId="180E064B" w14:textId="2937031A" w:rsidR="00956FAD" w:rsidRPr="00077F5C" w:rsidRDefault="00956FAD">
            <w:pPr>
              <w:jc w:val="right"/>
              <w:rPr>
                <w:rFonts w:ascii="Arial" w:hAnsi="Arial" w:cs="Arial"/>
                <w:b/>
              </w:rPr>
            </w:pPr>
            <w:r w:rsidRPr="00077F5C">
              <w:rPr>
                <w:rFonts w:ascii="Arial" w:hAnsi="Arial" w:cs="Arial"/>
                <w:b/>
                <w:bCs/>
                <w:color w:val="000000"/>
              </w:rPr>
              <w:t>1,35</w:t>
            </w:r>
            <w:r>
              <w:rPr>
                <w:rFonts w:ascii="Arial" w:hAnsi="Arial" w:cs="Arial"/>
                <w:b/>
                <w:bCs/>
                <w:color w:val="000000"/>
              </w:rPr>
              <w:t>1</w:t>
            </w:r>
          </w:p>
        </w:tc>
        <w:tc>
          <w:tcPr>
            <w:tcW w:w="1985" w:type="dxa"/>
            <w:tcBorders>
              <w:top w:val="single" w:sz="4" w:space="0" w:color="auto"/>
              <w:left w:val="nil"/>
              <w:bottom w:val="single" w:sz="4" w:space="0" w:color="auto"/>
              <w:right w:val="nil"/>
            </w:tcBorders>
            <w:vAlign w:val="center"/>
          </w:tcPr>
          <w:p w14:paraId="6D14357F" w14:textId="3E7EC2E1" w:rsidR="00956FAD" w:rsidRPr="00077F5C" w:rsidRDefault="00956FAD" w:rsidP="00077F5C">
            <w:pPr>
              <w:tabs>
                <w:tab w:val="center" w:pos="671"/>
                <w:tab w:val="right" w:pos="1343"/>
              </w:tabs>
              <w:jc w:val="right"/>
              <w:rPr>
                <w:rFonts w:ascii="Arial" w:hAnsi="Arial" w:cs="Arial"/>
                <w:b/>
              </w:rPr>
            </w:pPr>
            <w:r w:rsidRPr="00077F5C">
              <w:rPr>
                <w:rFonts w:ascii="Arial" w:hAnsi="Arial" w:cs="Arial"/>
                <w:b/>
                <w:bCs/>
                <w:color w:val="000000"/>
              </w:rPr>
              <w:t>1,2</w:t>
            </w:r>
            <w:r>
              <w:rPr>
                <w:rFonts w:ascii="Arial" w:hAnsi="Arial" w:cs="Arial"/>
                <w:b/>
                <w:bCs/>
                <w:color w:val="000000"/>
              </w:rPr>
              <w:t>70</w:t>
            </w:r>
          </w:p>
        </w:tc>
        <w:tc>
          <w:tcPr>
            <w:tcW w:w="2268" w:type="dxa"/>
            <w:tcBorders>
              <w:top w:val="single" w:sz="4" w:space="0" w:color="auto"/>
              <w:left w:val="nil"/>
              <w:bottom w:val="single" w:sz="4" w:space="0" w:color="auto"/>
              <w:right w:val="nil"/>
            </w:tcBorders>
            <w:vAlign w:val="center"/>
          </w:tcPr>
          <w:p w14:paraId="3B554990" w14:textId="47D88F82" w:rsidR="00956FAD" w:rsidRPr="00077F5C" w:rsidRDefault="00956FAD">
            <w:pPr>
              <w:tabs>
                <w:tab w:val="center" w:pos="671"/>
                <w:tab w:val="right" w:pos="1343"/>
              </w:tabs>
              <w:jc w:val="right"/>
              <w:rPr>
                <w:rFonts w:ascii="Arial" w:hAnsi="Arial" w:cs="Arial"/>
                <w:b/>
              </w:rPr>
            </w:pPr>
            <w:r w:rsidRPr="00077F5C">
              <w:rPr>
                <w:rFonts w:ascii="Arial" w:hAnsi="Arial" w:cs="Arial"/>
                <w:b/>
                <w:bCs/>
                <w:color w:val="000000"/>
              </w:rPr>
              <w:t>8</w:t>
            </w:r>
            <w:r w:rsidR="00BB74AF">
              <w:rPr>
                <w:rFonts w:ascii="Arial" w:hAnsi="Arial" w:cs="Arial"/>
                <w:b/>
                <w:bCs/>
                <w:color w:val="000000"/>
              </w:rPr>
              <w:t>1</w:t>
            </w:r>
          </w:p>
        </w:tc>
      </w:tr>
      <w:tr w:rsidR="00956FAD" w:rsidRPr="00893355" w14:paraId="0A4AC146" w14:textId="77777777" w:rsidTr="00E70614">
        <w:trPr>
          <w:trHeight w:val="270"/>
        </w:trPr>
        <w:tc>
          <w:tcPr>
            <w:tcW w:w="2879" w:type="dxa"/>
            <w:tcBorders>
              <w:top w:val="single" w:sz="4" w:space="0" w:color="auto"/>
              <w:left w:val="nil"/>
              <w:bottom w:val="single" w:sz="8" w:space="0" w:color="auto"/>
              <w:right w:val="nil"/>
            </w:tcBorders>
            <w:vAlign w:val="bottom"/>
          </w:tcPr>
          <w:p w14:paraId="0D4A66B1" w14:textId="77777777" w:rsidR="00956FAD" w:rsidRPr="00893355" w:rsidRDefault="00956FAD" w:rsidP="00077F5C">
            <w:pPr>
              <w:rPr>
                <w:rFonts w:ascii="Arial" w:hAnsi="Arial" w:cs="Arial"/>
                <w:b/>
                <w:sz w:val="24"/>
                <w:szCs w:val="24"/>
              </w:rPr>
            </w:pPr>
            <w:r w:rsidRPr="00893355">
              <w:rPr>
                <w:rFonts w:ascii="Arial" w:hAnsi="Arial" w:cs="Arial"/>
                <w:b/>
                <w:sz w:val="24"/>
                <w:szCs w:val="24"/>
              </w:rPr>
              <w:t>Total Group</w:t>
            </w:r>
          </w:p>
        </w:tc>
        <w:tc>
          <w:tcPr>
            <w:tcW w:w="2126" w:type="dxa"/>
            <w:tcBorders>
              <w:top w:val="single" w:sz="4" w:space="0" w:color="auto"/>
              <w:left w:val="nil"/>
              <w:bottom w:val="single" w:sz="8" w:space="0" w:color="auto"/>
              <w:right w:val="nil"/>
            </w:tcBorders>
            <w:vAlign w:val="center"/>
          </w:tcPr>
          <w:p w14:paraId="7A52563C" w14:textId="3EFEBABA" w:rsidR="00956FAD" w:rsidRPr="00077F5C" w:rsidRDefault="00956FAD" w:rsidP="00077F5C">
            <w:pPr>
              <w:jc w:val="right"/>
              <w:rPr>
                <w:rFonts w:ascii="Arial" w:hAnsi="Arial" w:cs="Arial"/>
                <w:b/>
              </w:rPr>
            </w:pPr>
            <w:r>
              <w:rPr>
                <w:rFonts w:ascii="Arial" w:hAnsi="Arial" w:cs="Arial"/>
                <w:b/>
                <w:bCs/>
                <w:color w:val="000000"/>
              </w:rPr>
              <w:t>5,964</w:t>
            </w:r>
          </w:p>
        </w:tc>
        <w:tc>
          <w:tcPr>
            <w:tcW w:w="1985" w:type="dxa"/>
            <w:tcBorders>
              <w:top w:val="single" w:sz="4" w:space="0" w:color="auto"/>
              <w:left w:val="nil"/>
              <w:bottom w:val="single" w:sz="8" w:space="0" w:color="auto"/>
              <w:right w:val="nil"/>
            </w:tcBorders>
            <w:vAlign w:val="center"/>
          </w:tcPr>
          <w:p w14:paraId="43C33601" w14:textId="4E3FDD5F" w:rsidR="00956FAD" w:rsidRPr="00077F5C" w:rsidRDefault="00956FAD">
            <w:pPr>
              <w:tabs>
                <w:tab w:val="center" w:pos="671"/>
                <w:tab w:val="right" w:pos="1343"/>
              </w:tabs>
              <w:jc w:val="right"/>
              <w:rPr>
                <w:rFonts w:ascii="Arial" w:hAnsi="Arial" w:cs="Arial"/>
                <w:b/>
              </w:rPr>
            </w:pPr>
            <w:r w:rsidRPr="00077F5C">
              <w:rPr>
                <w:rFonts w:ascii="Arial" w:hAnsi="Arial" w:cs="Arial"/>
                <w:b/>
                <w:bCs/>
                <w:color w:val="000000"/>
              </w:rPr>
              <w:t>5,603</w:t>
            </w:r>
          </w:p>
        </w:tc>
        <w:tc>
          <w:tcPr>
            <w:tcW w:w="2268" w:type="dxa"/>
            <w:tcBorders>
              <w:top w:val="single" w:sz="4" w:space="0" w:color="auto"/>
              <w:left w:val="nil"/>
              <w:bottom w:val="single" w:sz="8" w:space="0" w:color="auto"/>
              <w:right w:val="nil"/>
            </w:tcBorders>
            <w:vAlign w:val="center"/>
          </w:tcPr>
          <w:p w14:paraId="32FBA818" w14:textId="7101A2B2" w:rsidR="00956FAD" w:rsidRPr="00077F5C" w:rsidRDefault="00956FAD">
            <w:pPr>
              <w:tabs>
                <w:tab w:val="center" w:pos="671"/>
                <w:tab w:val="right" w:pos="1343"/>
              </w:tabs>
              <w:jc w:val="right"/>
              <w:rPr>
                <w:rFonts w:ascii="Arial" w:hAnsi="Arial" w:cs="Arial"/>
                <w:b/>
              </w:rPr>
            </w:pPr>
            <w:r>
              <w:rPr>
                <w:rFonts w:ascii="Arial" w:hAnsi="Arial" w:cs="Arial"/>
                <w:b/>
                <w:bCs/>
                <w:color w:val="000000"/>
              </w:rPr>
              <w:t>36</w:t>
            </w:r>
            <w:r w:rsidR="00BB74AF">
              <w:rPr>
                <w:rFonts w:ascii="Arial" w:hAnsi="Arial" w:cs="Arial"/>
                <w:b/>
                <w:bCs/>
                <w:color w:val="000000"/>
              </w:rPr>
              <w:t>1</w:t>
            </w:r>
          </w:p>
        </w:tc>
      </w:tr>
    </w:tbl>
    <w:p w14:paraId="5D5DD3DD" w14:textId="77777777" w:rsidR="00C8334C" w:rsidRDefault="00C8334C" w:rsidP="00926779">
      <w:pPr>
        <w:jc w:val="left"/>
        <w:rPr>
          <w:rFonts w:ascii="Arial" w:hAnsi="Arial" w:cs="Arial"/>
          <w:b/>
          <w:bCs/>
          <w:sz w:val="24"/>
          <w:szCs w:val="24"/>
        </w:rPr>
      </w:pPr>
      <w:bookmarkStart w:id="7" w:name="FR"/>
      <w:bookmarkEnd w:id="7"/>
    </w:p>
    <w:p w14:paraId="4874C482" w14:textId="77777777" w:rsidR="00623CA6" w:rsidRPr="007429E1" w:rsidRDefault="00623CA6" w:rsidP="00623CA6">
      <w:pPr>
        <w:jc w:val="left"/>
        <w:rPr>
          <w:rFonts w:ascii="Arial" w:hAnsi="Arial" w:cs="Arial"/>
          <w:sz w:val="24"/>
          <w:szCs w:val="24"/>
        </w:rPr>
      </w:pPr>
      <w:r w:rsidRPr="007429E1">
        <w:rPr>
          <w:rFonts w:ascii="Arial" w:hAnsi="Arial" w:cs="Arial"/>
          <w:sz w:val="24"/>
          <w:szCs w:val="24"/>
        </w:rPr>
        <w:t>Restatements of Kingfisher’s quarterly space for the previous 3 years are available in data tables at:</w:t>
      </w:r>
    </w:p>
    <w:p w14:paraId="42A390DC" w14:textId="1C3DF25D" w:rsidR="00623CA6" w:rsidRDefault="00623CA6" w:rsidP="00623CA6">
      <w:pPr>
        <w:ind w:right="-368"/>
        <w:jc w:val="left"/>
        <w:rPr>
          <w:rFonts w:ascii="Arial" w:hAnsi="Arial" w:cs="Arial"/>
          <w:sz w:val="24"/>
          <w:szCs w:val="24"/>
          <w:highlight w:val="yellow"/>
        </w:rPr>
      </w:pPr>
    </w:p>
    <w:p w14:paraId="49B6BCDA" w14:textId="682D5059" w:rsidR="00623CA6" w:rsidRDefault="00475E3C" w:rsidP="00926779">
      <w:pPr>
        <w:jc w:val="left"/>
        <w:rPr>
          <w:rFonts w:ascii="Arial" w:hAnsi="Arial" w:cs="Arial"/>
          <w:b/>
          <w:bCs/>
          <w:sz w:val="24"/>
          <w:szCs w:val="24"/>
        </w:rPr>
      </w:pPr>
      <w:hyperlink r:id="rId14" w:history="1">
        <w:r w:rsidR="00571C1E" w:rsidRPr="006F6D98">
          <w:rPr>
            <w:rStyle w:val="Hyperlink"/>
            <w:rFonts w:ascii="Arial" w:hAnsi="Arial" w:cs="Arial"/>
            <w:iCs/>
            <w:sz w:val="24"/>
            <w:szCs w:val="18"/>
          </w:rPr>
          <w:t>www.kingfisher.com/index.asp?pageid=59</w:t>
        </w:r>
      </w:hyperlink>
    </w:p>
    <w:p w14:paraId="02B54BD4" w14:textId="77777777" w:rsidR="000A14C5" w:rsidRDefault="000A14C5">
      <w:pPr>
        <w:jc w:val="left"/>
        <w:rPr>
          <w:rFonts w:ascii="Arial" w:hAnsi="Arial" w:cs="Arial"/>
          <w:b/>
          <w:bCs/>
          <w:sz w:val="24"/>
          <w:szCs w:val="24"/>
        </w:rPr>
      </w:pPr>
      <w:r>
        <w:rPr>
          <w:rFonts w:ascii="Arial" w:hAnsi="Arial" w:cs="Arial"/>
          <w:b/>
          <w:bCs/>
          <w:sz w:val="24"/>
          <w:szCs w:val="24"/>
        </w:rPr>
        <w:br w:type="page"/>
      </w:r>
    </w:p>
    <w:p w14:paraId="571C34E4" w14:textId="26E03746" w:rsidR="003A298D" w:rsidRPr="00D461B1" w:rsidRDefault="003A298D" w:rsidP="00926779">
      <w:pPr>
        <w:jc w:val="left"/>
        <w:rPr>
          <w:rFonts w:ascii="Arial" w:hAnsi="Arial" w:cs="Arial"/>
          <w:b/>
          <w:bCs/>
          <w:sz w:val="24"/>
          <w:szCs w:val="24"/>
        </w:rPr>
      </w:pPr>
      <w:r w:rsidRPr="00D461B1">
        <w:rPr>
          <w:rFonts w:ascii="Arial" w:hAnsi="Arial" w:cs="Arial"/>
          <w:b/>
          <w:bCs/>
          <w:sz w:val="24"/>
          <w:szCs w:val="24"/>
        </w:rPr>
        <w:lastRenderedPageBreak/>
        <w:t>Risks</w:t>
      </w:r>
    </w:p>
    <w:p w14:paraId="7025E358" w14:textId="77777777" w:rsidR="003A298D" w:rsidRPr="00D461B1" w:rsidRDefault="003A298D" w:rsidP="003A298D">
      <w:pPr>
        <w:autoSpaceDE w:val="0"/>
        <w:autoSpaceDN w:val="0"/>
        <w:adjustRightInd w:val="0"/>
        <w:jc w:val="left"/>
        <w:rPr>
          <w:rFonts w:ascii="Arial" w:hAnsi="Arial" w:cs="Arial"/>
          <w:b/>
          <w:bCs/>
          <w:color w:val="FF0000"/>
          <w:sz w:val="24"/>
          <w:szCs w:val="24"/>
        </w:rPr>
      </w:pPr>
    </w:p>
    <w:p w14:paraId="2085F0C4" w14:textId="31DE93C0" w:rsidR="006D4243" w:rsidRPr="00D461B1" w:rsidRDefault="006D4243" w:rsidP="006D4243">
      <w:pPr>
        <w:autoSpaceDE w:val="0"/>
        <w:autoSpaceDN w:val="0"/>
        <w:adjustRightInd w:val="0"/>
        <w:jc w:val="left"/>
        <w:rPr>
          <w:rFonts w:ascii="Arial" w:hAnsi="Arial" w:cs="Arial"/>
          <w:bCs/>
          <w:sz w:val="24"/>
          <w:szCs w:val="24"/>
        </w:rPr>
      </w:pPr>
      <w:r w:rsidRPr="00D461B1">
        <w:rPr>
          <w:rFonts w:ascii="Arial" w:hAnsi="Arial" w:cs="Arial"/>
          <w:bCs/>
          <w:sz w:val="24"/>
          <w:szCs w:val="24"/>
        </w:rPr>
        <w:t xml:space="preserve">The Board considers risk assessment, identification of mitigating actions and internal control to be fundamental to achieving Kingfisher’s strategic objectives. </w:t>
      </w:r>
      <w:r>
        <w:rPr>
          <w:rFonts w:ascii="Arial" w:hAnsi="Arial" w:cs="Arial"/>
          <w:bCs/>
          <w:sz w:val="24"/>
          <w:szCs w:val="24"/>
        </w:rPr>
        <w:t xml:space="preserve">The principal risks have been reviewed as part of our half year procedures. </w:t>
      </w:r>
      <w:r w:rsidRPr="00D461B1">
        <w:rPr>
          <w:rFonts w:ascii="Arial" w:hAnsi="Arial" w:cs="Arial"/>
          <w:bCs/>
          <w:sz w:val="24"/>
          <w:szCs w:val="24"/>
        </w:rPr>
        <w:t xml:space="preserve">The Board considers that the principal risks to achieving its objectives, are </w:t>
      </w:r>
      <w:r>
        <w:rPr>
          <w:rFonts w:ascii="Arial" w:hAnsi="Arial" w:cs="Arial"/>
          <w:bCs/>
          <w:sz w:val="24"/>
          <w:szCs w:val="24"/>
        </w:rPr>
        <w:t>as listed</w:t>
      </w:r>
      <w:r w:rsidRPr="00D461B1">
        <w:rPr>
          <w:rFonts w:ascii="Arial" w:hAnsi="Arial" w:cs="Arial"/>
          <w:bCs/>
          <w:sz w:val="24"/>
          <w:szCs w:val="24"/>
        </w:rPr>
        <w:t xml:space="preserve"> below:</w:t>
      </w:r>
    </w:p>
    <w:p w14:paraId="4D725F87" w14:textId="77777777" w:rsidR="006D4243" w:rsidRPr="00D461B1" w:rsidRDefault="006D4243" w:rsidP="006D4243">
      <w:pPr>
        <w:autoSpaceDE w:val="0"/>
        <w:autoSpaceDN w:val="0"/>
        <w:adjustRightInd w:val="0"/>
        <w:jc w:val="left"/>
        <w:rPr>
          <w:rFonts w:ascii="Arial" w:hAnsi="Arial" w:cs="Arial"/>
          <w:bCs/>
          <w:sz w:val="24"/>
          <w:szCs w:val="24"/>
        </w:rPr>
      </w:pPr>
    </w:p>
    <w:p w14:paraId="37C78D18" w14:textId="21FA9FC0" w:rsidR="006D4243" w:rsidRPr="00D461B1" w:rsidRDefault="006D4243" w:rsidP="006D4243">
      <w:pPr>
        <w:pStyle w:val="ListParagraph"/>
        <w:numPr>
          <w:ilvl w:val="0"/>
          <w:numId w:val="4"/>
        </w:numPr>
        <w:autoSpaceDE w:val="0"/>
        <w:autoSpaceDN w:val="0"/>
        <w:adjustRightInd w:val="0"/>
        <w:jc w:val="left"/>
        <w:rPr>
          <w:rFonts w:ascii="Arial" w:hAnsi="Arial" w:cs="Arial"/>
          <w:bCs/>
          <w:sz w:val="24"/>
          <w:szCs w:val="24"/>
        </w:rPr>
      </w:pPr>
      <w:r w:rsidRPr="00D461B1">
        <w:rPr>
          <w:rFonts w:ascii="Arial" w:hAnsi="Arial" w:cs="Arial"/>
          <w:bCs/>
          <w:sz w:val="24"/>
          <w:szCs w:val="24"/>
        </w:rPr>
        <w:t xml:space="preserve">Organising Kingfisher as a more unified company with a </w:t>
      </w:r>
      <w:r w:rsidR="00B719AE">
        <w:rPr>
          <w:rFonts w:ascii="Arial" w:hAnsi="Arial" w:cs="Arial"/>
          <w:bCs/>
          <w:sz w:val="24"/>
          <w:szCs w:val="24"/>
        </w:rPr>
        <w:t>unified</w:t>
      </w:r>
      <w:r w:rsidRPr="00D461B1">
        <w:rPr>
          <w:rFonts w:ascii="Arial" w:hAnsi="Arial" w:cs="Arial"/>
          <w:bCs/>
          <w:sz w:val="24"/>
          <w:szCs w:val="24"/>
        </w:rPr>
        <w:t xml:space="preserve"> customer offer rather than a collection of individual businesses fails to deliver the anticipated benefits</w:t>
      </w:r>
    </w:p>
    <w:p w14:paraId="7D7C9D65" w14:textId="26CF5C72" w:rsidR="006D4243" w:rsidRPr="00D461B1" w:rsidRDefault="006D4243" w:rsidP="006D4243">
      <w:pPr>
        <w:pStyle w:val="ListParagraph"/>
        <w:numPr>
          <w:ilvl w:val="0"/>
          <w:numId w:val="4"/>
        </w:numPr>
        <w:autoSpaceDE w:val="0"/>
        <w:autoSpaceDN w:val="0"/>
        <w:adjustRightInd w:val="0"/>
        <w:jc w:val="left"/>
        <w:rPr>
          <w:rFonts w:ascii="Arial" w:hAnsi="Arial" w:cs="Arial"/>
          <w:bCs/>
          <w:sz w:val="24"/>
          <w:szCs w:val="24"/>
        </w:rPr>
      </w:pPr>
      <w:r w:rsidRPr="00D461B1">
        <w:rPr>
          <w:rFonts w:ascii="Arial" w:hAnsi="Arial" w:cs="Arial"/>
          <w:bCs/>
          <w:sz w:val="24"/>
          <w:szCs w:val="24"/>
        </w:rPr>
        <w:t>Our investments fail to deliver value to the Group, especially our investment in the IT strategy programme</w:t>
      </w:r>
    </w:p>
    <w:p w14:paraId="30AF1711" w14:textId="7C1A5721" w:rsidR="006D4243" w:rsidRPr="00D461B1" w:rsidRDefault="006D4243" w:rsidP="006D4243">
      <w:pPr>
        <w:pStyle w:val="ListParagraph"/>
        <w:numPr>
          <w:ilvl w:val="0"/>
          <w:numId w:val="4"/>
        </w:numPr>
        <w:autoSpaceDE w:val="0"/>
        <w:autoSpaceDN w:val="0"/>
        <w:adjustRightInd w:val="0"/>
        <w:jc w:val="left"/>
        <w:rPr>
          <w:rFonts w:ascii="Arial" w:hAnsi="Arial" w:cs="Arial"/>
          <w:bCs/>
          <w:sz w:val="24"/>
          <w:szCs w:val="24"/>
        </w:rPr>
      </w:pPr>
      <w:r w:rsidRPr="00D461B1">
        <w:rPr>
          <w:rFonts w:ascii="Arial" w:hAnsi="Arial" w:cs="Arial"/>
          <w:bCs/>
          <w:sz w:val="24"/>
          <w:szCs w:val="24"/>
        </w:rPr>
        <w:t>We fail to deliver the benefits of a more unified and unique offer and standardised activities and processes</w:t>
      </w:r>
    </w:p>
    <w:p w14:paraId="4814A5E4" w14:textId="198D8567" w:rsidR="006D4243" w:rsidRPr="002D5C78" w:rsidRDefault="006D4243" w:rsidP="006D4243">
      <w:pPr>
        <w:pStyle w:val="ListParagraph"/>
        <w:numPr>
          <w:ilvl w:val="0"/>
          <w:numId w:val="4"/>
        </w:numPr>
        <w:autoSpaceDE w:val="0"/>
        <w:autoSpaceDN w:val="0"/>
        <w:adjustRightInd w:val="0"/>
        <w:jc w:val="left"/>
        <w:rPr>
          <w:rFonts w:ascii="Arial" w:hAnsi="Arial" w:cs="Arial"/>
          <w:bCs/>
          <w:sz w:val="24"/>
          <w:szCs w:val="24"/>
        </w:rPr>
      </w:pPr>
      <w:r w:rsidRPr="003F4222">
        <w:rPr>
          <w:rFonts w:ascii="Arial" w:hAnsi="Arial" w:cs="Arial"/>
          <w:sz w:val="24"/>
          <w:szCs w:val="24"/>
        </w:rPr>
        <w:t>We fail to create a culture of innovation and innovate in our offer, format and digital channels to stimulate consumer spend and deliver the desired sales growth</w:t>
      </w:r>
    </w:p>
    <w:p w14:paraId="5B2CF6F1" w14:textId="65436FFF" w:rsidR="006D4243" w:rsidRPr="00D461B1" w:rsidRDefault="006D4243" w:rsidP="006D4243">
      <w:pPr>
        <w:pStyle w:val="ListParagraph"/>
        <w:numPr>
          <w:ilvl w:val="0"/>
          <w:numId w:val="4"/>
        </w:numPr>
        <w:autoSpaceDE w:val="0"/>
        <w:autoSpaceDN w:val="0"/>
        <w:adjustRightInd w:val="0"/>
        <w:jc w:val="left"/>
        <w:rPr>
          <w:rFonts w:ascii="Arial" w:hAnsi="Arial" w:cs="Arial"/>
          <w:bCs/>
          <w:sz w:val="24"/>
          <w:szCs w:val="24"/>
        </w:rPr>
      </w:pPr>
      <w:r w:rsidRPr="00D461B1">
        <w:rPr>
          <w:rFonts w:ascii="Arial" w:hAnsi="Arial" w:cs="Arial"/>
          <w:bCs/>
          <w:sz w:val="24"/>
          <w:szCs w:val="24"/>
        </w:rPr>
        <w:t>We fail to identify and maximise potential cost reductions and efficiency savings</w:t>
      </w:r>
    </w:p>
    <w:p w14:paraId="670A5098" w14:textId="672C7096" w:rsidR="006D4243" w:rsidRPr="00D461B1" w:rsidRDefault="006D4243" w:rsidP="006D4243">
      <w:pPr>
        <w:pStyle w:val="ListParagraph"/>
        <w:numPr>
          <w:ilvl w:val="0"/>
          <w:numId w:val="4"/>
        </w:numPr>
        <w:autoSpaceDE w:val="0"/>
        <w:autoSpaceDN w:val="0"/>
        <w:adjustRightInd w:val="0"/>
        <w:jc w:val="left"/>
        <w:rPr>
          <w:rFonts w:ascii="Arial" w:hAnsi="Arial" w:cs="Arial"/>
          <w:bCs/>
          <w:sz w:val="24"/>
          <w:szCs w:val="24"/>
        </w:rPr>
      </w:pPr>
      <w:r w:rsidRPr="00D461B1">
        <w:rPr>
          <w:rFonts w:ascii="Arial" w:hAnsi="Arial" w:cs="Arial"/>
          <w:bCs/>
          <w:sz w:val="24"/>
          <w:szCs w:val="24"/>
        </w:rPr>
        <w:t>Uncertainty surrounding the resilience of the global economy and increased geo-political volatility, particularly in Russia, may impact both consumer confidence and the long-term sustainability and capabilities of our supplier base</w:t>
      </w:r>
    </w:p>
    <w:p w14:paraId="11C2B748" w14:textId="2EE81A5D" w:rsidR="006D4243" w:rsidRPr="00D461B1" w:rsidRDefault="006D4243" w:rsidP="006D4243">
      <w:pPr>
        <w:pStyle w:val="ListParagraph"/>
        <w:numPr>
          <w:ilvl w:val="0"/>
          <w:numId w:val="4"/>
        </w:numPr>
        <w:autoSpaceDE w:val="0"/>
        <w:autoSpaceDN w:val="0"/>
        <w:adjustRightInd w:val="0"/>
        <w:jc w:val="left"/>
        <w:rPr>
          <w:rFonts w:ascii="Arial" w:hAnsi="Arial" w:cs="Arial"/>
          <w:bCs/>
          <w:sz w:val="24"/>
          <w:szCs w:val="24"/>
        </w:rPr>
      </w:pPr>
      <w:r w:rsidRPr="00D461B1">
        <w:rPr>
          <w:rFonts w:ascii="Arial" w:hAnsi="Arial" w:cs="Arial"/>
          <w:bCs/>
          <w:sz w:val="24"/>
          <w:szCs w:val="24"/>
        </w:rPr>
        <w:t>We do not make the necessary investment in our people to ensure that we have the appropriate capacity, skills and experience</w:t>
      </w:r>
    </w:p>
    <w:p w14:paraId="75FDF362" w14:textId="19481C88" w:rsidR="006D4243" w:rsidRPr="00D461B1" w:rsidRDefault="006D4243" w:rsidP="006D4243">
      <w:pPr>
        <w:pStyle w:val="ListParagraph"/>
        <w:numPr>
          <w:ilvl w:val="0"/>
          <w:numId w:val="4"/>
        </w:numPr>
        <w:autoSpaceDE w:val="0"/>
        <w:autoSpaceDN w:val="0"/>
        <w:adjustRightInd w:val="0"/>
        <w:jc w:val="left"/>
        <w:rPr>
          <w:rFonts w:ascii="Arial" w:hAnsi="Arial" w:cs="Arial"/>
          <w:bCs/>
          <w:sz w:val="24"/>
          <w:szCs w:val="24"/>
        </w:rPr>
      </w:pPr>
      <w:r w:rsidRPr="00D461B1">
        <w:rPr>
          <w:rFonts w:ascii="Arial" w:hAnsi="Arial" w:cs="Arial"/>
          <w:bCs/>
          <w:sz w:val="24"/>
          <w:szCs w:val="24"/>
        </w:rPr>
        <w:t>We fail to deliver our sustainability targets due to not integrating our sustainability plan into the day to day operations of the business</w:t>
      </w:r>
    </w:p>
    <w:p w14:paraId="2A6EF994" w14:textId="7E7B5077" w:rsidR="006D4243" w:rsidRPr="00D461B1" w:rsidRDefault="006D4243" w:rsidP="006D4243">
      <w:pPr>
        <w:pStyle w:val="ListParagraph"/>
        <w:numPr>
          <w:ilvl w:val="0"/>
          <w:numId w:val="4"/>
        </w:numPr>
        <w:autoSpaceDE w:val="0"/>
        <w:autoSpaceDN w:val="0"/>
        <w:adjustRightInd w:val="0"/>
        <w:jc w:val="left"/>
        <w:rPr>
          <w:rFonts w:ascii="Arial" w:hAnsi="Arial" w:cs="Arial"/>
          <w:bCs/>
          <w:sz w:val="24"/>
          <w:szCs w:val="24"/>
        </w:rPr>
      </w:pPr>
      <w:r w:rsidRPr="00D461B1">
        <w:rPr>
          <w:rFonts w:ascii="Arial" w:hAnsi="Arial" w:cs="Arial"/>
          <w:bCs/>
          <w:sz w:val="24"/>
          <w:szCs w:val="24"/>
        </w:rPr>
        <w:t>A lack of perceived price competitiveness, particularly when compared to more discount based or online competitors, would affect our ability to maintain or grow market share</w:t>
      </w:r>
    </w:p>
    <w:p w14:paraId="7E6969B8" w14:textId="5BCAD4DF" w:rsidR="006D4243" w:rsidRPr="00D461B1" w:rsidRDefault="006D4243" w:rsidP="006D4243">
      <w:pPr>
        <w:pStyle w:val="ListParagraph"/>
        <w:numPr>
          <w:ilvl w:val="0"/>
          <w:numId w:val="4"/>
        </w:numPr>
        <w:autoSpaceDE w:val="0"/>
        <w:autoSpaceDN w:val="0"/>
        <w:adjustRightInd w:val="0"/>
        <w:jc w:val="left"/>
        <w:rPr>
          <w:rFonts w:ascii="Arial" w:hAnsi="Arial" w:cs="Arial"/>
          <w:bCs/>
          <w:sz w:val="24"/>
          <w:szCs w:val="24"/>
        </w:rPr>
      </w:pPr>
      <w:r w:rsidRPr="00D461B1">
        <w:rPr>
          <w:rFonts w:ascii="Arial" w:hAnsi="Arial" w:cs="Arial"/>
          <w:bCs/>
          <w:sz w:val="24"/>
          <w:szCs w:val="24"/>
        </w:rPr>
        <w:t>We fail to maintain a safe environment for our customers and store colleagues which results in a major incident or fatality that is directly attributable to a failure in our Health &amp; Safety management systems</w:t>
      </w:r>
    </w:p>
    <w:p w14:paraId="2D09B892" w14:textId="0F5561BB" w:rsidR="006D4243" w:rsidRPr="00D461B1" w:rsidRDefault="006D4243" w:rsidP="006D4243">
      <w:pPr>
        <w:pStyle w:val="ListParagraph"/>
        <w:numPr>
          <w:ilvl w:val="0"/>
          <w:numId w:val="4"/>
        </w:numPr>
        <w:autoSpaceDE w:val="0"/>
        <w:autoSpaceDN w:val="0"/>
        <w:adjustRightInd w:val="0"/>
        <w:jc w:val="left"/>
        <w:rPr>
          <w:rFonts w:ascii="Arial" w:hAnsi="Arial" w:cs="Arial"/>
          <w:bCs/>
          <w:sz w:val="24"/>
          <w:szCs w:val="24"/>
        </w:rPr>
      </w:pPr>
      <w:r w:rsidRPr="00D461B1">
        <w:rPr>
          <w:rFonts w:ascii="Arial" w:hAnsi="Arial" w:cs="Arial"/>
          <w:bCs/>
          <w:sz w:val="24"/>
          <w:szCs w:val="24"/>
        </w:rPr>
        <w:t>Kingfisher’s reputation and brand are affected by a major environmental or ethical failure, a significant corporate fraud or material non-compliance with legislative or regulatory requirements resulting in punitive or custodial procedures</w:t>
      </w:r>
    </w:p>
    <w:p w14:paraId="68FA9546" w14:textId="77777777" w:rsidR="006D4243" w:rsidRPr="00D461B1" w:rsidRDefault="006D4243" w:rsidP="006D4243">
      <w:pPr>
        <w:pStyle w:val="ListParagraph"/>
        <w:autoSpaceDE w:val="0"/>
        <w:autoSpaceDN w:val="0"/>
        <w:adjustRightInd w:val="0"/>
        <w:jc w:val="left"/>
        <w:rPr>
          <w:rFonts w:ascii="Arial" w:hAnsi="Arial" w:cs="Arial"/>
          <w:bCs/>
          <w:sz w:val="24"/>
          <w:szCs w:val="24"/>
        </w:rPr>
      </w:pPr>
    </w:p>
    <w:p w14:paraId="703D8F45" w14:textId="77777777" w:rsidR="006D4243" w:rsidRDefault="006D4243" w:rsidP="006D4243">
      <w:r w:rsidRPr="00D461B1">
        <w:rPr>
          <w:rFonts w:ascii="Arial" w:hAnsi="Arial"/>
          <w:sz w:val="24"/>
          <w:szCs w:val="24"/>
        </w:rPr>
        <w:t>Further details of the Group risks and risk management process can be found on pages 26 to 29 of the 2014/15 Annual Report and Accounts.</w:t>
      </w:r>
    </w:p>
    <w:p w14:paraId="0A6572D4" w14:textId="0C18D87F" w:rsidR="00272A5E" w:rsidRDefault="003A298D" w:rsidP="00272A5E">
      <w:pPr>
        <w:tabs>
          <w:tab w:val="left" w:pos="357"/>
        </w:tabs>
        <w:ind w:right="-282"/>
        <w:jc w:val="left"/>
        <w:rPr>
          <w:rFonts w:ascii="Arial" w:hAnsi="Arial" w:cs="Arial"/>
          <w:b/>
          <w:bCs/>
          <w:sz w:val="24"/>
          <w:szCs w:val="24"/>
        </w:rPr>
      </w:pPr>
      <w:r w:rsidRPr="00D461B1">
        <w:rPr>
          <w:rFonts w:ascii="Arial" w:hAnsi="Arial" w:cs="Arial"/>
          <w:b/>
          <w:bCs/>
          <w:sz w:val="24"/>
          <w:szCs w:val="24"/>
        </w:rPr>
        <w:br w:type="page"/>
      </w:r>
    </w:p>
    <w:p w14:paraId="5E4FCA10" w14:textId="50684548" w:rsidR="00272A5E" w:rsidRPr="000971B9" w:rsidRDefault="00272A5E" w:rsidP="00272A5E">
      <w:pPr>
        <w:tabs>
          <w:tab w:val="left" w:pos="357"/>
        </w:tabs>
        <w:ind w:right="-282"/>
        <w:jc w:val="left"/>
        <w:rPr>
          <w:rFonts w:ascii="Arial" w:hAnsi="Arial" w:cs="Arial"/>
          <w:sz w:val="24"/>
          <w:szCs w:val="24"/>
        </w:rPr>
      </w:pPr>
      <w:r>
        <w:rPr>
          <w:rFonts w:ascii="Arial" w:hAnsi="Arial" w:cs="Arial"/>
          <w:b/>
          <w:bCs/>
          <w:sz w:val="24"/>
          <w:szCs w:val="24"/>
        </w:rPr>
        <w:lastRenderedPageBreak/>
        <w:t>S</w:t>
      </w:r>
      <w:r w:rsidRPr="000971B9">
        <w:rPr>
          <w:rFonts w:ascii="Arial" w:hAnsi="Arial" w:cs="Arial"/>
          <w:b/>
          <w:bCs/>
          <w:sz w:val="24"/>
          <w:szCs w:val="24"/>
        </w:rPr>
        <w:t>ection 5: G</w:t>
      </w:r>
      <w:r>
        <w:rPr>
          <w:rFonts w:ascii="Arial" w:hAnsi="Arial" w:cs="Arial"/>
          <w:b/>
          <w:bCs/>
          <w:sz w:val="24"/>
          <w:szCs w:val="24"/>
        </w:rPr>
        <w:t>lossary</w:t>
      </w:r>
      <w:r w:rsidRPr="000971B9">
        <w:rPr>
          <w:rFonts w:ascii="Arial" w:hAnsi="Arial" w:cs="Arial"/>
          <w:b/>
          <w:bCs/>
          <w:sz w:val="24"/>
          <w:szCs w:val="24"/>
        </w:rPr>
        <w:t xml:space="preserve"> (terms are listed in alphabetical order)</w:t>
      </w:r>
    </w:p>
    <w:p w14:paraId="3607A4A6" w14:textId="77777777" w:rsidR="00272A5E" w:rsidRPr="000971B9" w:rsidRDefault="00272A5E" w:rsidP="00272A5E">
      <w:pPr>
        <w:rPr>
          <w:rFonts w:ascii="Arial" w:hAnsi="Arial" w:cs="Arial"/>
          <w:b/>
          <w:sz w:val="20"/>
          <w:szCs w:val="20"/>
        </w:rPr>
      </w:pPr>
    </w:p>
    <w:p w14:paraId="5E44502A" w14:textId="66CB6F30" w:rsidR="00272A5E" w:rsidRPr="000971B9" w:rsidRDefault="00272A5E" w:rsidP="00272A5E">
      <w:pPr>
        <w:jc w:val="left"/>
        <w:rPr>
          <w:rFonts w:ascii="Arial" w:hAnsi="Arial" w:cs="Arial"/>
          <w:iCs/>
          <w:sz w:val="24"/>
          <w:szCs w:val="24"/>
        </w:rPr>
      </w:pPr>
      <w:r w:rsidRPr="00EA0151">
        <w:rPr>
          <w:rFonts w:ascii="Arial" w:hAnsi="Arial" w:cs="Arial"/>
          <w:b/>
          <w:sz w:val="24"/>
          <w:szCs w:val="24"/>
        </w:rPr>
        <w:t>Adjusted</w:t>
      </w:r>
      <w:r w:rsidRPr="00EA0151">
        <w:rPr>
          <w:rFonts w:ascii="Arial" w:hAnsi="Arial" w:cs="Arial"/>
          <w:iCs/>
          <w:sz w:val="24"/>
          <w:szCs w:val="24"/>
        </w:rPr>
        <w:t xml:space="preserve"> measures are before exceptional items, financing fair value </w:t>
      </w:r>
      <w:proofErr w:type="spellStart"/>
      <w:r w:rsidRPr="00EA0151">
        <w:rPr>
          <w:rFonts w:ascii="Arial" w:hAnsi="Arial" w:cs="Arial"/>
          <w:iCs/>
          <w:sz w:val="24"/>
          <w:szCs w:val="24"/>
        </w:rPr>
        <w:t>remeasurements</w:t>
      </w:r>
      <w:proofErr w:type="spellEnd"/>
      <w:r w:rsidRPr="00EA0151">
        <w:rPr>
          <w:rFonts w:ascii="Arial" w:hAnsi="Arial" w:cs="Arial"/>
          <w:iCs/>
          <w:sz w:val="24"/>
          <w:szCs w:val="24"/>
        </w:rPr>
        <w:t>, amortisation of acquisition intangibles, related tax items and tax on prior year items including the impact of rate changes on deferred tax. 201</w:t>
      </w:r>
      <w:r>
        <w:rPr>
          <w:rFonts w:ascii="Arial" w:hAnsi="Arial" w:cs="Arial"/>
          <w:iCs/>
          <w:sz w:val="24"/>
          <w:szCs w:val="24"/>
        </w:rPr>
        <w:t>4</w:t>
      </w:r>
      <w:r w:rsidRPr="00EA0151">
        <w:rPr>
          <w:rFonts w:ascii="Arial" w:hAnsi="Arial" w:cs="Arial"/>
          <w:iCs/>
          <w:sz w:val="24"/>
          <w:szCs w:val="24"/>
        </w:rPr>
        <w:t>/1</w:t>
      </w:r>
      <w:r>
        <w:rPr>
          <w:rFonts w:ascii="Arial" w:hAnsi="Arial" w:cs="Arial"/>
          <w:iCs/>
          <w:sz w:val="24"/>
          <w:szCs w:val="24"/>
        </w:rPr>
        <w:t>5</w:t>
      </w:r>
      <w:r w:rsidRPr="00EA0151">
        <w:rPr>
          <w:rFonts w:ascii="Arial" w:hAnsi="Arial" w:cs="Arial"/>
          <w:iCs/>
          <w:sz w:val="24"/>
          <w:szCs w:val="24"/>
        </w:rPr>
        <w:t xml:space="preserve"> comparatives have been restated </w:t>
      </w:r>
      <w:r w:rsidR="00BB74AF">
        <w:rPr>
          <w:rFonts w:ascii="Arial" w:hAnsi="Arial" w:cs="Arial"/>
          <w:iCs/>
          <w:sz w:val="24"/>
          <w:szCs w:val="24"/>
        </w:rPr>
        <w:t xml:space="preserve">for IFRIC 21 and </w:t>
      </w:r>
      <w:r w:rsidRPr="00EA0151">
        <w:rPr>
          <w:rFonts w:ascii="Arial" w:hAnsi="Arial" w:cs="Arial"/>
          <w:iCs/>
          <w:sz w:val="24"/>
          <w:szCs w:val="24"/>
        </w:rPr>
        <w:t xml:space="preserve">to exclude </w:t>
      </w:r>
      <w:r w:rsidRPr="008B675B">
        <w:rPr>
          <w:rFonts w:ascii="Arial" w:hAnsi="Arial" w:cs="Arial"/>
          <w:iCs/>
          <w:sz w:val="24"/>
          <w:szCs w:val="24"/>
        </w:rPr>
        <w:t>B&amp;Q China</w:t>
      </w:r>
      <w:r w:rsidR="008536C9">
        <w:rPr>
          <w:rFonts w:ascii="Arial" w:hAnsi="Arial" w:cs="Arial"/>
          <w:iCs/>
          <w:sz w:val="24"/>
          <w:szCs w:val="24"/>
        </w:rPr>
        <w:t>’s</w:t>
      </w:r>
      <w:r w:rsidRPr="00EA0151">
        <w:rPr>
          <w:rFonts w:ascii="Arial" w:hAnsi="Arial" w:cs="Arial"/>
          <w:iCs/>
          <w:sz w:val="24"/>
          <w:szCs w:val="24"/>
        </w:rPr>
        <w:t xml:space="preserve"> results. A reconciliation to statutory a</w:t>
      </w:r>
      <w:r w:rsidRPr="008B675B">
        <w:rPr>
          <w:rFonts w:ascii="Arial" w:hAnsi="Arial" w:cs="Arial"/>
          <w:iCs/>
          <w:sz w:val="24"/>
          <w:szCs w:val="24"/>
        </w:rPr>
        <w:t xml:space="preserve">mounts is set out in the Financial Review (Section </w:t>
      </w:r>
      <w:r w:rsidR="007D71B5">
        <w:rPr>
          <w:rFonts w:ascii="Arial" w:hAnsi="Arial" w:cs="Arial"/>
          <w:iCs/>
          <w:sz w:val="24"/>
          <w:szCs w:val="24"/>
        </w:rPr>
        <w:t>4</w:t>
      </w:r>
      <w:r w:rsidRPr="008B675B">
        <w:rPr>
          <w:rFonts w:ascii="Arial" w:hAnsi="Arial" w:cs="Arial"/>
          <w:iCs/>
          <w:sz w:val="24"/>
          <w:szCs w:val="24"/>
        </w:rPr>
        <w:t>).</w:t>
      </w:r>
    </w:p>
    <w:p w14:paraId="7DC44F9E" w14:textId="77777777" w:rsidR="00272A5E" w:rsidRPr="000971B9" w:rsidRDefault="00272A5E" w:rsidP="00272A5E">
      <w:pPr>
        <w:rPr>
          <w:rFonts w:ascii="Arial" w:hAnsi="Arial" w:cs="Arial"/>
          <w:iCs/>
          <w:sz w:val="20"/>
          <w:szCs w:val="20"/>
        </w:rPr>
      </w:pPr>
    </w:p>
    <w:p w14:paraId="54FF855F" w14:textId="2B22F4AF" w:rsidR="00D320DD" w:rsidRPr="00EF42EF" w:rsidRDefault="00D320DD" w:rsidP="00272A5E">
      <w:pPr>
        <w:jc w:val="left"/>
        <w:rPr>
          <w:rFonts w:ascii="Arial" w:hAnsi="Arial" w:cs="Arial"/>
          <w:iCs/>
          <w:sz w:val="24"/>
          <w:szCs w:val="24"/>
        </w:rPr>
      </w:pPr>
      <w:r>
        <w:rPr>
          <w:rFonts w:ascii="Arial" w:hAnsi="Arial" w:cs="Arial"/>
          <w:b/>
          <w:iCs/>
          <w:sz w:val="24"/>
          <w:szCs w:val="24"/>
        </w:rPr>
        <w:t xml:space="preserve">Adjusted sales </w:t>
      </w:r>
      <w:r w:rsidR="002A4D46" w:rsidRPr="00EF42EF">
        <w:rPr>
          <w:rFonts w:ascii="Arial" w:hAnsi="Arial" w:cs="Arial"/>
          <w:iCs/>
          <w:sz w:val="24"/>
          <w:szCs w:val="24"/>
        </w:rPr>
        <w:t>excludes</w:t>
      </w:r>
      <w:r w:rsidR="002A4D46">
        <w:rPr>
          <w:rFonts w:ascii="Arial" w:hAnsi="Arial" w:cs="Arial"/>
          <w:iCs/>
          <w:sz w:val="24"/>
          <w:szCs w:val="24"/>
        </w:rPr>
        <w:t xml:space="preserve"> B&amp;Q China sales</w:t>
      </w:r>
      <w:r w:rsidR="00BB74AF">
        <w:rPr>
          <w:rFonts w:ascii="Arial" w:hAnsi="Arial" w:cs="Arial"/>
          <w:iCs/>
          <w:sz w:val="24"/>
          <w:szCs w:val="24"/>
        </w:rPr>
        <w:t>.</w:t>
      </w:r>
    </w:p>
    <w:p w14:paraId="760220AD" w14:textId="69AC8193" w:rsidR="00D320DD" w:rsidRDefault="00D320DD" w:rsidP="00272A5E">
      <w:pPr>
        <w:jc w:val="left"/>
        <w:rPr>
          <w:rFonts w:ascii="Arial" w:hAnsi="Arial" w:cs="Arial"/>
          <w:b/>
          <w:iCs/>
          <w:sz w:val="24"/>
          <w:szCs w:val="24"/>
        </w:rPr>
      </w:pPr>
      <w:r>
        <w:rPr>
          <w:rFonts w:ascii="Arial" w:hAnsi="Arial" w:cs="Arial"/>
          <w:b/>
          <w:iCs/>
          <w:sz w:val="24"/>
          <w:szCs w:val="24"/>
        </w:rPr>
        <w:t xml:space="preserve"> </w:t>
      </w:r>
    </w:p>
    <w:p w14:paraId="6F2F63F8" w14:textId="77777777" w:rsidR="00272A5E" w:rsidRDefault="00272A5E" w:rsidP="00272A5E">
      <w:pPr>
        <w:jc w:val="left"/>
        <w:rPr>
          <w:rFonts w:ascii="Arial" w:hAnsi="Arial" w:cs="Arial"/>
          <w:iCs/>
          <w:sz w:val="24"/>
          <w:szCs w:val="24"/>
        </w:rPr>
      </w:pPr>
      <w:proofErr w:type="spellStart"/>
      <w:r w:rsidRPr="00614E39">
        <w:rPr>
          <w:rFonts w:ascii="Arial" w:hAnsi="Arial" w:cs="Arial"/>
          <w:b/>
          <w:iCs/>
          <w:sz w:val="24"/>
          <w:szCs w:val="24"/>
        </w:rPr>
        <w:t>Banque</w:t>
      </w:r>
      <w:proofErr w:type="spellEnd"/>
      <w:r w:rsidRPr="00614E39">
        <w:rPr>
          <w:rFonts w:ascii="Arial" w:hAnsi="Arial" w:cs="Arial"/>
          <w:b/>
          <w:iCs/>
          <w:sz w:val="24"/>
          <w:szCs w:val="24"/>
        </w:rPr>
        <w:t xml:space="preserve"> de France </w:t>
      </w:r>
      <w:r w:rsidRPr="00614E39">
        <w:rPr>
          <w:rFonts w:ascii="Arial" w:hAnsi="Arial" w:cs="Arial"/>
          <w:iCs/>
          <w:sz w:val="24"/>
          <w:szCs w:val="24"/>
        </w:rPr>
        <w:t>data includes relocated and extended stores.</w:t>
      </w:r>
      <w:r>
        <w:rPr>
          <w:rFonts w:ascii="Arial" w:hAnsi="Arial" w:cs="Arial"/>
          <w:iCs/>
          <w:sz w:val="24"/>
          <w:szCs w:val="24"/>
        </w:rPr>
        <w:t xml:space="preserve"> </w:t>
      </w:r>
    </w:p>
    <w:p w14:paraId="081B1FCD" w14:textId="77777777" w:rsidR="00272A5E" w:rsidRPr="008152E6" w:rsidRDefault="00475E3C" w:rsidP="00272A5E">
      <w:pPr>
        <w:jc w:val="left"/>
        <w:rPr>
          <w:rFonts w:ascii="Arial" w:hAnsi="Arial" w:cs="Arial"/>
          <w:iCs/>
          <w:sz w:val="24"/>
          <w:szCs w:val="24"/>
        </w:rPr>
      </w:pPr>
      <w:hyperlink r:id="rId15" w:history="1">
        <w:r w:rsidR="00272A5E" w:rsidRPr="008152E6">
          <w:rPr>
            <w:rStyle w:val="Hyperlink"/>
            <w:rFonts w:ascii="Arial" w:hAnsi="Arial" w:cs="Arial"/>
            <w:iCs/>
            <w:sz w:val="24"/>
            <w:szCs w:val="24"/>
          </w:rPr>
          <w:t>http://webstat.banque-france.fr/en/browse.do?node=5384326</w:t>
        </w:r>
      </w:hyperlink>
      <w:r w:rsidR="00272A5E">
        <w:rPr>
          <w:rFonts w:ascii="Arial" w:hAnsi="Arial" w:cs="Arial"/>
          <w:iCs/>
          <w:sz w:val="24"/>
          <w:szCs w:val="24"/>
        </w:rPr>
        <w:t xml:space="preserve"> </w:t>
      </w:r>
      <w:r w:rsidR="00272A5E" w:rsidRPr="008152E6" w:rsidDel="0037416A">
        <w:rPr>
          <w:rFonts w:ascii="Arial" w:hAnsi="Arial" w:cs="Arial"/>
          <w:iCs/>
          <w:sz w:val="24"/>
          <w:szCs w:val="24"/>
        </w:rPr>
        <w:t xml:space="preserve"> </w:t>
      </w:r>
    </w:p>
    <w:p w14:paraId="139FB4F2" w14:textId="77777777" w:rsidR="00272A5E" w:rsidRDefault="00272A5E" w:rsidP="00272A5E">
      <w:pPr>
        <w:rPr>
          <w:rFonts w:ascii="Arial" w:hAnsi="Arial" w:cs="Arial"/>
          <w:b/>
          <w:iCs/>
          <w:sz w:val="24"/>
          <w:szCs w:val="24"/>
        </w:rPr>
      </w:pPr>
    </w:p>
    <w:p w14:paraId="70ED679A" w14:textId="77777777" w:rsidR="00272A5E" w:rsidRPr="00705542" w:rsidRDefault="00272A5E" w:rsidP="00272A5E">
      <w:pPr>
        <w:jc w:val="left"/>
        <w:rPr>
          <w:rFonts w:ascii="Arial" w:hAnsi="Arial" w:cs="Arial"/>
          <w:iCs/>
          <w:sz w:val="24"/>
          <w:szCs w:val="24"/>
        </w:rPr>
      </w:pPr>
      <w:r>
        <w:rPr>
          <w:rFonts w:ascii="Arial" w:hAnsi="Arial" w:cs="Arial"/>
          <w:b/>
          <w:iCs/>
          <w:sz w:val="24"/>
          <w:szCs w:val="24"/>
        </w:rPr>
        <w:t xml:space="preserve">Cut existing product </w:t>
      </w:r>
      <w:r w:rsidRPr="00657B3E">
        <w:rPr>
          <w:rFonts w:ascii="Arial" w:hAnsi="Arial" w:cs="Arial"/>
          <w:b/>
          <w:iCs/>
          <w:sz w:val="24"/>
          <w:szCs w:val="24"/>
        </w:rPr>
        <w:t>tail</w:t>
      </w:r>
      <w:r>
        <w:rPr>
          <w:rFonts w:ascii="Arial" w:hAnsi="Arial" w:cs="Arial"/>
          <w:iCs/>
          <w:sz w:val="24"/>
          <w:szCs w:val="24"/>
        </w:rPr>
        <w:t xml:space="preserve"> - plan to reduce the number of </w:t>
      </w:r>
      <w:r w:rsidRPr="00487A65">
        <w:rPr>
          <w:rFonts w:ascii="Arial" w:hAnsi="Arial" w:cs="Arial"/>
          <w:iCs/>
          <w:sz w:val="24"/>
          <w:szCs w:val="24"/>
        </w:rPr>
        <w:t xml:space="preserve">delisted and ex-promotional ranges which do not form part of existing </w:t>
      </w:r>
      <w:r w:rsidRPr="00705542">
        <w:rPr>
          <w:rFonts w:ascii="Arial" w:hAnsi="Arial" w:cs="Arial"/>
          <w:iCs/>
          <w:sz w:val="24"/>
          <w:szCs w:val="24"/>
        </w:rPr>
        <w:t>retail planograms.</w:t>
      </w:r>
    </w:p>
    <w:p w14:paraId="5EAC67EB" w14:textId="77777777" w:rsidR="00272A5E" w:rsidRPr="000971B9" w:rsidRDefault="00272A5E" w:rsidP="00272A5E">
      <w:pPr>
        <w:rPr>
          <w:rFonts w:ascii="Arial" w:hAnsi="Arial" w:cs="Arial"/>
          <w:iCs/>
          <w:sz w:val="24"/>
          <w:szCs w:val="24"/>
        </w:rPr>
      </w:pPr>
    </w:p>
    <w:p w14:paraId="171B8EA5" w14:textId="77777777" w:rsidR="00272A5E" w:rsidRPr="000971B9" w:rsidRDefault="00272A5E" w:rsidP="00272A5E">
      <w:pPr>
        <w:jc w:val="left"/>
        <w:rPr>
          <w:rFonts w:ascii="Arial" w:hAnsi="Arial" w:cs="Arial"/>
          <w:iCs/>
          <w:sz w:val="24"/>
          <w:szCs w:val="24"/>
        </w:rPr>
      </w:pPr>
      <w:r w:rsidRPr="000971B9">
        <w:rPr>
          <w:rFonts w:ascii="Arial" w:hAnsi="Arial" w:cs="Arial"/>
          <w:b/>
          <w:iCs/>
          <w:sz w:val="24"/>
          <w:szCs w:val="24"/>
        </w:rPr>
        <w:t>EBITDA</w:t>
      </w:r>
      <w:r w:rsidRPr="000971B9">
        <w:rPr>
          <w:rFonts w:ascii="Arial" w:hAnsi="Arial" w:cs="Arial"/>
          <w:iCs/>
          <w:sz w:val="24"/>
          <w:szCs w:val="24"/>
        </w:rPr>
        <w:t xml:space="preserve"> (earnings before interest, tax, depreciation and amortisation) </w:t>
      </w:r>
      <w:r>
        <w:rPr>
          <w:rFonts w:ascii="Arial" w:hAnsi="Arial" w:cs="Arial"/>
          <w:iCs/>
          <w:sz w:val="24"/>
          <w:szCs w:val="24"/>
        </w:rPr>
        <w:t>is</w:t>
      </w:r>
      <w:r w:rsidRPr="000971B9">
        <w:rPr>
          <w:rFonts w:ascii="Arial" w:hAnsi="Arial" w:cs="Arial"/>
          <w:iCs/>
          <w:sz w:val="24"/>
          <w:szCs w:val="24"/>
        </w:rPr>
        <w:t xml:space="preserve"> calculated as </w:t>
      </w:r>
      <w:r>
        <w:rPr>
          <w:rFonts w:ascii="Arial" w:hAnsi="Arial" w:cs="Arial"/>
          <w:iCs/>
          <w:sz w:val="24"/>
          <w:szCs w:val="24"/>
        </w:rPr>
        <w:t>r</w:t>
      </w:r>
      <w:r w:rsidRPr="000971B9">
        <w:rPr>
          <w:rFonts w:ascii="Arial" w:hAnsi="Arial" w:cs="Arial"/>
          <w:iCs/>
          <w:sz w:val="24"/>
          <w:szCs w:val="24"/>
        </w:rPr>
        <w:t>etail profit less central costs and before depreciation and amortisation.</w:t>
      </w:r>
    </w:p>
    <w:p w14:paraId="173C157A" w14:textId="77777777" w:rsidR="00272A5E" w:rsidRPr="000971B9" w:rsidRDefault="00272A5E" w:rsidP="00272A5E">
      <w:pPr>
        <w:jc w:val="left"/>
        <w:rPr>
          <w:rFonts w:ascii="Arial" w:hAnsi="Arial" w:cs="Arial"/>
          <w:iCs/>
          <w:sz w:val="24"/>
          <w:szCs w:val="24"/>
        </w:rPr>
      </w:pPr>
    </w:p>
    <w:p w14:paraId="7710B25F" w14:textId="77777777" w:rsidR="00272A5E" w:rsidRPr="000971B9" w:rsidRDefault="00272A5E" w:rsidP="00272A5E">
      <w:pPr>
        <w:jc w:val="left"/>
        <w:rPr>
          <w:rFonts w:ascii="Arial" w:hAnsi="Arial" w:cs="Arial"/>
          <w:i/>
          <w:sz w:val="18"/>
          <w:szCs w:val="18"/>
        </w:rPr>
      </w:pPr>
      <w:r w:rsidRPr="000971B9">
        <w:rPr>
          <w:rFonts w:ascii="Arial" w:hAnsi="Arial" w:cs="Arial"/>
          <w:b/>
          <w:iCs/>
          <w:sz w:val="24"/>
          <w:szCs w:val="24"/>
        </w:rPr>
        <w:t>EBITDAR</w:t>
      </w:r>
      <w:r w:rsidRPr="000971B9">
        <w:rPr>
          <w:rFonts w:ascii="Arial" w:hAnsi="Arial" w:cs="Arial"/>
          <w:iCs/>
          <w:sz w:val="24"/>
          <w:szCs w:val="24"/>
        </w:rPr>
        <w:t xml:space="preserve"> (earnings before interest, tax, depreciation, amortisation and property operating lease rentals) is calculated as </w:t>
      </w:r>
      <w:r>
        <w:rPr>
          <w:rFonts w:ascii="Arial" w:hAnsi="Arial" w:cs="Arial"/>
          <w:iCs/>
          <w:sz w:val="24"/>
          <w:szCs w:val="24"/>
        </w:rPr>
        <w:t>r</w:t>
      </w:r>
      <w:r w:rsidRPr="000971B9">
        <w:rPr>
          <w:rFonts w:ascii="Arial" w:hAnsi="Arial" w:cs="Arial"/>
          <w:iCs/>
          <w:sz w:val="24"/>
          <w:szCs w:val="24"/>
        </w:rPr>
        <w:t xml:space="preserve">etail profit less central costs, before depreciation and amortisation and property operating lease rentals. </w:t>
      </w:r>
    </w:p>
    <w:p w14:paraId="5697EA89" w14:textId="77777777" w:rsidR="00272A5E" w:rsidRPr="000971B9" w:rsidRDefault="00272A5E" w:rsidP="00272A5E">
      <w:pPr>
        <w:jc w:val="left"/>
        <w:rPr>
          <w:rFonts w:ascii="Arial" w:hAnsi="Arial" w:cs="Arial"/>
          <w:b/>
          <w:iCs/>
          <w:sz w:val="24"/>
          <w:szCs w:val="24"/>
        </w:rPr>
      </w:pPr>
    </w:p>
    <w:p w14:paraId="1D0D65B6" w14:textId="77777777" w:rsidR="00272A5E" w:rsidRDefault="00272A5E" w:rsidP="00272A5E">
      <w:pPr>
        <w:jc w:val="left"/>
        <w:rPr>
          <w:rFonts w:ascii="Arial" w:hAnsi="Arial" w:cs="Arial"/>
          <w:b/>
          <w:sz w:val="24"/>
          <w:szCs w:val="24"/>
        </w:rPr>
      </w:pPr>
      <w:r w:rsidRPr="005F081C">
        <w:rPr>
          <w:rFonts w:ascii="Arial" w:hAnsi="Arial" w:cs="Arial"/>
          <w:b/>
          <w:sz w:val="24"/>
          <w:szCs w:val="24"/>
        </w:rPr>
        <w:t>Europe</w:t>
      </w:r>
      <w:r>
        <w:rPr>
          <w:rFonts w:ascii="Arial" w:hAnsi="Arial" w:cs="Arial"/>
          <w:b/>
          <w:sz w:val="24"/>
          <w:szCs w:val="24"/>
        </w:rPr>
        <w:t>+</w:t>
      </w:r>
      <w:r w:rsidRPr="000E6C79">
        <w:rPr>
          <w:rFonts w:ascii="Arial" w:hAnsi="Arial" w:cs="Arial"/>
          <w:sz w:val="24"/>
          <w:szCs w:val="24"/>
        </w:rPr>
        <w:t xml:space="preserve"> consists of Europe and </w:t>
      </w:r>
      <w:r>
        <w:rPr>
          <w:rFonts w:ascii="Arial" w:hAnsi="Arial" w:cs="Arial"/>
          <w:sz w:val="24"/>
          <w:szCs w:val="24"/>
        </w:rPr>
        <w:t xml:space="preserve">its </w:t>
      </w:r>
      <w:r w:rsidRPr="000E6C79">
        <w:rPr>
          <w:rFonts w:ascii="Arial" w:hAnsi="Arial" w:cs="Arial"/>
          <w:sz w:val="24"/>
          <w:szCs w:val="24"/>
        </w:rPr>
        <w:t xml:space="preserve">bordering </w:t>
      </w:r>
      <w:r>
        <w:rPr>
          <w:rFonts w:ascii="Arial" w:hAnsi="Arial" w:cs="Arial"/>
          <w:sz w:val="24"/>
          <w:szCs w:val="24"/>
        </w:rPr>
        <w:t>countries (e.g. Russia, Turkey).</w:t>
      </w:r>
    </w:p>
    <w:p w14:paraId="2603A5B9" w14:textId="77777777" w:rsidR="00272A5E" w:rsidRDefault="00272A5E" w:rsidP="00272A5E">
      <w:pPr>
        <w:jc w:val="left"/>
        <w:rPr>
          <w:rFonts w:ascii="Arial" w:hAnsi="Arial" w:cs="Arial"/>
          <w:b/>
          <w:iCs/>
          <w:sz w:val="24"/>
          <w:szCs w:val="24"/>
        </w:rPr>
      </w:pPr>
    </w:p>
    <w:p w14:paraId="74F9834B" w14:textId="77777777" w:rsidR="00272A5E" w:rsidRPr="000971B9" w:rsidRDefault="00272A5E" w:rsidP="00272A5E">
      <w:pPr>
        <w:jc w:val="left"/>
        <w:rPr>
          <w:rFonts w:ascii="Arial" w:hAnsi="Arial" w:cs="Arial"/>
          <w:iCs/>
          <w:sz w:val="24"/>
          <w:szCs w:val="24"/>
        </w:rPr>
      </w:pPr>
      <w:r w:rsidRPr="000971B9">
        <w:rPr>
          <w:rFonts w:ascii="Arial" w:hAnsi="Arial" w:cs="Arial"/>
          <w:b/>
          <w:iCs/>
          <w:sz w:val="24"/>
          <w:szCs w:val="24"/>
        </w:rPr>
        <w:t>France</w:t>
      </w:r>
      <w:r w:rsidRPr="000971B9">
        <w:rPr>
          <w:rFonts w:ascii="Arial" w:hAnsi="Arial" w:cs="Arial"/>
          <w:iCs/>
          <w:sz w:val="24"/>
          <w:szCs w:val="24"/>
        </w:rPr>
        <w:t xml:space="preserve"> consists of </w:t>
      </w:r>
      <w:proofErr w:type="spellStart"/>
      <w:r w:rsidRPr="000971B9">
        <w:rPr>
          <w:rFonts w:ascii="Arial" w:hAnsi="Arial" w:cs="Arial"/>
          <w:iCs/>
          <w:sz w:val="24"/>
          <w:szCs w:val="24"/>
        </w:rPr>
        <w:t>Castorama</w:t>
      </w:r>
      <w:proofErr w:type="spellEnd"/>
      <w:r w:rsidRPr="000971B9">
        <w:rPr>
          <w:rFonts w:ascii="Arial" w:hAnsi="Arial" w:cs="Arial"/>
          <w:iCs/>
          <w:sz w:val="24"/>
          <w:szCs w:val="24"/>
        </w:rPr>
        <w:t xml:space="preserve"> France and </w:t>
      </w:r>
      <w:proofErr w:type="spellStart"/>
      <w:r w:rsidRPr="000971B9">
        <w:rPr>
          <w:rFonts w:ascii="Arial" w:hAnsi="Arial" w:cs="Arial"/>
          <w:iCs/>
          <w:sz w:val="24"/>
          <w:szCs w:val="24"/>
        </w:rPr>
        <w:t>Brico</w:t>
      </w:r>
      <w:proofErr w:type="spellEnd"/>
      <w:r w:rsidRPr="000971B9">
        <w:rPr>
          <w:rFonts w:ascii="Arial" w:hAnsi="Arial" w:cs="Arial"/>
          <w:iCs/>
          <w:sz w:val="24"/>
          <w:szCs w:val="24"/>
        </w:rPr>
        <w:t xml:space="preserve"> </w:t>
      </w:r>
      <w:proofErr w:type="spellStart"/>
      <w:r w:rsidRPr="000971B9">
        <w:rPr>
          <w:rFonts w:ascii="Arial" w:hAnsi="Arial" w:cs="Arial"/>
          <w:iCs/>
          <w:sz w:val="24"/>
          <w:szCs w:val="24"/>
        </w:rPr>
        <w:t>Dépôt</w:t>
      </w:r>
      <w:proofErr w:type="spellEnd"/>
      <w:r w:rsidRPr="000971B9">
        <w:rPr>
          <w:rFonts w:ascii="Arial" w:hAnsi="Arial" w:cs="Arial"/>
          <w:iCs/>
          <w:sz w:val="24"/>
          <w:szCs w:val="24"/>
        </w:rPr>
        <w:t xml:space="preserve"> France.</w:t>
      </w:r>
    </w:p>
    <w:p w14:paraId="232ED354" w14:textId="77777777" w:rsidR="00272A5E" w:rsidRPr="000971B9" w:rsidRDefault="00272A5E" w:rsidP="00272A5E">
      <w:pPr>
        <w:jc w:val="left"/>
        <w:rPr>
          <w:rFonts w:ascii="Arial" w:hAnsi="Arial" w:cs="Arial"/>
          <w:iCs/>
          <w:sz w:val="24"/>
          <w:szCs w:val="24"/>
        </w:rPr>
      </w:pPr>
    </w:p>
    <w:p w14:paraId="566DF363" w14:textId="77777777" w:rsidR="00272A5E" w:rsidRPr="000971B9" w:rsidRDefault="00272A5E" w:rsidP="00272A5E">
      <w:pPr>
        <w:jc w:val="left"/>
        <w:rPr>
          <w:rFonts w:ascii="Arial" w:hAnsi="Arial" w:cs="Arial"/>
          <w:iCs/>
          <w:sz w:val="24"/>
          <w:szCs w:val="24"/>
        </w:rPr>
      </w:pPr>
      <w:r w:rsidRPr="000971B9">
        <w:rPr>
          <w:rFonts w:ascii="Arial" w:hAnsi="Arial" w:cs="Arial"/>
          <w:b/>
          <w:iCs/>
          <w:sz w:val="24"/>
          <w:szCs w:val="24"/>
        </w:rPr>
        <w:t xml:space="preserve">Free cash flow </w:t>
      </w:r>
      <w:r w:rsidRPr="000971B9">
        <w:rPr>
          <w:rFonts w:ascii="Arial" w:hAnsi="Arial" w:cs="Arial"/>
          <w:iCs/>
          <w:sz w:val="24"/>
          <w:szCs w:val="24"/>
        </w:rPr>
        <w:t xml:space="preserve">represents cash generated from operations less the amount spent on tax, interest and capital expenditure during the year (excluding </w:t>
      </w:r>
      <w:r>
        <w:rPr>
          <w:rFonts w:ascii="Arial" w:hAnsi="Arial" w:cs="Arial"/>
          <w:iCs/>
          <w:sz w:val="24"/>
          <w:szCs w:val="24"/>
        </w:rPr>
        <w:t xml:space="preserve">business </w:t>
      </w:r>
      <w:r w:rsidRPr="000971B9">
        <w:rPr>
          <w:rFonts w:ascii="Arial" w:hAnsi="Arial" w:cs="Arial"/>
          <w:iCs/>
          <w:sz w:val="24"/>
          <w:szCs w:val="24"/>
        </w:rPr>
        <w:t>acquisitions</w:t>
      </w:r>
      <w:r>
        <w:rPr>
          <w:rFonts w:ascii="Arial" w:hAnsi="Arial" w:cs="Arial"/>
          <w:iCs/>
          <w:sz w:val="24"/>
          <w:szCs w:val="24"/>
        </w:rPr>
        <w:t xml:space="preserve"> and disposals</w:t>
      </w:r>
      <w:r w:rsidRPr="000971B9">
        <w:rPr>
          <w:rFonts w:ascii="Arial" w:hAnsi="Arial" w:cs="Arial"/>
          <w:iCs/>
          <w:sz w:val="24"/>
          <w:szCs w:val="24"/>
        </w:rPr>
        <w:t xml:space="preserve">). A reconciliation from operating profit (before exceptional items) is set out in the Financial Review (Section </w:t>
      </w:r>
      <w:r>
        <w:rPr>
          <w:rFonts w:ascii="Arial" w:hAnsi="Arial" w:cs="Arial"/>
          <w:iCs/>
          <w:sz w:val="24"/>
          <w:szCs w:val="24"/>
        </w:rPr>
        <w:t>4</w:t>
      </w:r>
      <w:r w:rsidRPr="000971B9">
        <w:rPr>
          <w:rFonts w:ascii="Arial" w:hAnsi="Arial" w:cs="Arial"/>
          <w:iCs/>
          <w:sz w:val="24"/>
          <w:szCs w:val="24"/>
        </w:rPr>
        <w:t xml:space="preserve">). </w:t>
      </w:r>
    </w:p>
    <w:p w14:paraId="531F0DCE" w14:textId="77777777" w:rsidR="00272A5E" w:rsidRPr="000971B9" w:rsidRDefault="00272A5E" w:rsidP="00272A5E">
      <w:pPr>
        <w:jc w:val="left"/>
        <w:rPr>
          <w:rFonts w:ascii="Arial" w:hAnsi="Arial" w:cs="Arial"/>
          <w:iCs/>
          <w:sz w:val="24"/>
          <w:szCs w:val="24"/>
        </w:rPr>
      </w:pPr>
    </w:p>
    <w:p w14:paraId="696186CD" w14:textId="32CD3FCC" w:rsidR="00272A5E" w:rsidRDefault="00272A5E" w:rsidP="00272A5E">
      <w:pPr>
        <w:jc w:val="left"/>
        <w:rPr>
          <w:rFonts w:ascii="Arial" w:hAnsi="Arial" w:cs="Arial"/>
          <w:color w:val="000000" w:themeColor="text1"/>
          <w:sz w:val="24"/>
          <w:szCs w:val="24"/>
        </w:rPr>
      </w:pPr>
      <w:r>
        <w:rPr>
          <w:rFonts w:ascii="Arial" w:hAnsi="Arial" w:cs="Arial"/>
          <w:b/>
          <w:iCs/>
          <w:sz w:val="24"/>
          <w:szCs w:val="24"/>
        </w:rPr>
        <w:t xml:space="preserve">French house building market </w:t>
      </w:r>
      <w:r w:rsidRPr="00B672B2">
        <w:rPr>
          <w:rFonts w:ascii="Arial" w:hAnsi="Arial" w:cs="Arial"/>
          <w:iCs/>
          <w:sz w:val="24"/>
          <w:szCs w:val="24"/>
        </w:rPr>
        <w:t xml:space="preserve">- </w:t>
      </w:r>
      <w:r>
        <w:rPr>
          <w:rFonts w:ascii="Arial" w:hAnsi="Arial" w:cs="Arial"/>
          <w:iCs/>
          <w:sz w:val="24"/>
          <w:szCs w:val="24"/>
        </w:rPr>
        <w:t>n</w:t>
      </w:r>
      <w:r w:rsidRPr="00614E39">
        <w:rPr>
          <w:rFonts w:ascii="Arial" w:hAnsi="Arial" w:cs="Arial"/>
          <w:iCs/>
          <w:sz w:val="24"/>
          <w:szCs w:val="24"/>
        </w:rPr>
        <w:t>ew housing starts and p</w:t>
      </w:r>
      <w:r>
        <w:rPr>
          <w:rFonts w:ascii="Arial" w:hAnsi="Arial" w:cs="Arial"/>
          <w:iCs/>
          <w:sz w:val="24"/>
          <w:szCs w:val="24"/>
        </w:rPr>
        <w:t xml:space="preserve">lanning consent data for </w:t>
      </w:r>
      <w:r w:rsidRPr="00C95CBC">
        <w:rPr>
          <w:rFonts w:ascii="Arial" w:hAnsi="Arial" w:cs="Arial"/>
          <w:iCs/>
          <w:sz w:val="24"/>
          <w:szCs w:val="24"/>
        </w:rPr>
        <w:t xml:space="preserve">the </w:t>
      </w:r>
      <w:r w:rsidR="00C95CBC" w:rsidRPr="00E21AA0">
        <w:rPr>
          <w:rFonts w:ascii="Arial" w:hAnsi="Arial" w:cs="Arial"/>
          <w:iCs/>
          <w:sz w:val="24"/>
          <w:szCs w:val="24"/>
        </w:rPr>
        <w:t>6</w:t>
      </w:r>
      <w:r w:rsidRPr="00E21AA0">
        <w:rPr>
          <w:rFonts w:ascii="Arial" w:hAnsi="Arial" w:cs="Arial"/>
          <w:iCs/>
          <w:sz w:val="24"/>
          <w:szCs w:val="24"/>
        </w:rPr>
        <w:t xml:space="preserve"> months to J</w:t>
      </w:r>
      <w:r w:rsidR="00C95CBC" w:rsidRPr="00E21AA0">
        <w:rPr>
          <w:rFonts w:ascii="Arial" w:hAnsi="Arial" w:cs="Arial"/>
          <w:iCs/>
          <w:sz w:val="24"/>
          <w:szCs w:val="24"/>
        </w:rPr>
        <w:t>uly</w:t>
      </w:r>
      <w:r w:rsidRPr="00E21AA0">
        <w:rPr>
          <w:rFonts w:ascii="Arial" w:hAnsi="Arial" w:cs="Arial"/>
          <w:iCs/>
          <w:sz w:val="24"/>
          <w:szCs w:val="24"/>
        </w:rPr>
        <w:t xml:space="preserve"> 2015</w:t>
      </w:r>
      <w:r w:rsidRPr="00614E39">
        <w:rPr>
          <w:rFonts w:ascii="Arial" w:hAnsi="Arial" w:cs="Arial"/>
          <w:iCs/>
          <w:sz w:val="24"/>
          <w:szCs w:val="24"/>
        </w:rPr>
        <w:t xml:space="preserve"> according to the Ministry of Housing.</w:t>
      </w:r>
    </w:p>
    <w:p w14:paraId="5D7D670C" w14:textId="77777777" w:rsidR="00272A5E" w:rsidRDefault="00475E3C" w:rsidP="00272A5E">
      <w:pPr>
        <w:jc w:val="left"/>
        <w:rPr>
          <w:rFonts w:ascii="Arial" w:hAnsi="Arial" w:cs="Arial"/>
          <w:color w:val="000000" w:themeColor="text1"/>
          <w:sz w:val="24"/>
          <w:szCs w:val="24"/>
        </w:rPr>
      </w:pPr>
      <w:hyperlink r:id="rId16" w:history="1">
        <w:r w:rsidR="00272A5E" w:rsidRPr="00D13ED2">
          <w:rPr>
            <w:rStyle w:val="Hyperlink"/>
            <w:rFonts w:ascii="Arial" w:hAnsi="Arial" w:cs="Arial"/>
            <w:sz w:val="24"/>
            <w:szCs w:val="24"/>
          </w:rPr>
          <w:t>http://www.statistiques.developpement-durable.gouv.fr/logement-construction/s/construction-logements.html</w:t>
        </w:r>
      </w:hyperlink>
    </w:p>
    <w:p w14:paraId="2EE72BE0" w14:textId="77777777" w:rsidR="00272A5E" w:rsidRPr="00686158" w:rsidRDefault="00272A5E" w:rsidP="00272A5E">
      <w:pPr>
        <w:jc w:val="left"/>
        <w:rPr>
          <w:rFonts w:ascii="Arial" w:hAnsi="Arial" w:cs="Arial"/>
          <w:iCs/>
          <w:sz w:val="24"/>
          <w:szCs w:val="24"/>
        </w:rPr>
      </w:pPr>
    </w:p>
    <w:p w14:paraId="758AF528" w14:textId="77777777" w:rsidR="00272A5E" w:rsidRPr="000971B9" w:rsidRDefault="00272A5E" w:rsidP="00272A5E">
      <w:pPr>
        <w:jc w:val="left"/>
        <w:rPr>
          <w:rFonts w:ascii="Arial" w:hAnsi="Arial" w:cs="Arial"/>
          <w:iCs/>
          <w:sz w:val="24"/>
          <w:szCs w:val="24"/>
        </w:rPr>
      </w:pPr>
      <w:r w:rsidRPr="000971B9">
        <w:rPr>
          <w:rFonts w:ascii="Arial" w:hAnsi="Arial" w:cs="Arial"/>
          <w:b/>
          <w:iCs/>
          <w:sz w:val="24"/>
          <w:szCs w:val="24"/>
        </w:rPr>
        <w:t xml:space="preserve">FFVR </w:t>
      </w:r>
      <w:r w:rsidRPr="000971B9">
        <w:rPr>
          <w:rFonts w:ascii="Arial" w:hAnsi="Arial" w:cs="Arial"/>
          <w:iCs/>
          <w:sz w:val="24"/>
          <w:szCs w:val="24"/>
        </w:rPr>
        <w:t xml:space="preserve">(financing fair value </w:t>
      </w:r>
      <w:proofErr w:type="spellStart"/>
      <w:r w:rsidRPr="000971B9">
        <w:rPr>
          <w:rFonts w:ascii="Arial" w:hAnsi="Arial" w:cs="Arial"/>
          <w:iCs/>
          <w:sz w:val="24"/>
          <w:szCs w:val="24"/>
        </w:rPr>
        <w:t>remeasurements</w:t>
      </w:r>
      <w:proofErr w:type="spellEnd"/>
      <w:r w:rsidRPr="000971B9">
        <w:rPr>
          <w:rFonts w:ascii="Arial" w:hAnsi="Arial" w:cs="Arial"/>
          <w:iCs/>
          <w:sz w:val="24"/>
          <w:szCs w:val="24"/>
        </w:rPr>
        <w:t>)</w:t>
      </w:r>
      <w:r w:rsidRPr="000971B9">
        <w:rPr>
          <w:rFonts w:ascii="Arial" w:hAnsi="Arial" w:cs="Arial"/>
          <w:b/>
          <w:iCs/>
          <w:sz w:val="24"/>
          <w:szCs w:val="24"/>
        </w:rPr>
        <w:t xml:space="preserve"> </w:t>
      </w:r>
      <w:r w:rsidRPr="000971B9">
        <w:rPr>
          <w:rFonts w:ascii="Arial" w:hAnsi="Arial" w:cs="Arial"/>
          <w:iCs/>
          <w:sz w:val="24"/>
          <w:szCs w:val="24"/>
        </w:rPr>
        <w:t>represents changes in the fair value of financing derivatives, excluding interest accruals, offset by fair value adjustments to the carrying value of borrowings and other hedged items under fair value hedge relationships.</w:t>
      </w:r>
    </w:p>
    <w:p w14:paraId="6EEBF5FE" w14:textId="77777777" w:rsidR="00272A5E" w:rsidRPr="000971B9" w:rsidRDefault="00272A5E" w:rsidP="00272A5E">
      <w:pPr>
        <w:jc w:val="left"/>
        <w:rPr>
          <w:rFonts w:ascii="Arial" w:hAnsi="Arial" w:cs="Arial"/>
          <w:b/>
          <w:iCs/>
          <w:sz w:val="24"/>
          <w:szCs w:val="24"/>
        </w:rPr>
      </w:pPr>
    </w:p>
    <w:p w14:paraId="7C85E153" w14:textId="42D70085" w:rsidR="00EA7E88" w:rsidRDefault="0069269B" w:rsidP="0069269B">
      <w:pPr>
        <w:jc w:val="left"/>
        <w:rPr>
          <w:rFonts w:ascii="Arial" w:hAnsi="Arial" w:cs="Arial"/>
          <w:b/>
          <w:iCs/>
          <w:sz w:val="24"/>
          <w:szCs w:val="24"/>
        </w:rPr>
      </w:pPr>
      <w:r w:rsidRPr="0069269B">
        <w:rPr>
          <w:rFonts w:ascii="Arial" w:hAnsi="Arial" w:cs="Arial"/>
          <w:b/>
          <w:iCs/>
          <w:sz w:val="24"/>
          <w:szCs w:val="24"/>
        </w:rPr>
        <w:t xml:space="preserve">GNFR </w:t>
      </w:r>
      <w:r w:rsidRPr="00EF42EF">
        <w:rPr>
          <w:rFonts w:ascii="Arial" w:hAnsi="Arial" w:cs="Arial"/>
          <w:iCs/>
          <w:sz w:val="24"/>
          <w:szCs w:val="24"/>
        </w:rPr>
        <w:t xml:space="preserve">is defined as Goods Not For Resale and covers the procurement of all goods and services a retailer </w:t>
      </w:r>
      <w:r>
        <w:rPr>
          <w:rFonts w:ascii="Arial" w:hAnsi="Arial" w:cs="Arial"/>
          <w:iCs/>
          <w:sz w:val="24"/>
          <w:szCs w:val="24"/>
        </w:rPr>
        <w:t xml:space="preserve">needs </w:t>
      </w:r>
      <w:r w:rsidRPr="00EF42EF">
        <w:rPr>
          <w:rFonts w:ascii="Arial" w:hAnsi="Arial" w:cs="Arial"/>
          <w:iCs/>
          <w:sz w:val="24"/>
          <w:szCs w:val="24"/>
        </w:rPr>
        <w:t>(</w:t>
      </w:r>
      <w:r w:rsidR="00087315">
        <w:rPr>
          <w:rFonts w:ascii="Arial" w:hAnsi="Arial" w:cs="Arial"/>
          <w:iCs/>
          <w:sz w:val="24"/>
          <w:szCs w:val="24"/>
        </w:rPr>
        <w:t>including e.g.</w:t>
      </w:r>
      <w:r w:rsidRPr="00EF42EF">
        <w:rPr>
          <w:rFonts w:ascii="Arial" w:hAnsi="Arial" w:cs="Arial"/>
          <w:iCs/>
          <w:sz w:val="24"/>
          <w:szCs w:val="24"/>
        </w:rPr>
        <w:t xml:space="preserve"> </w:t>
      </w:r>
      <w:r>
        <w:rPr>
          <w:rFonts w:ascii="Arial" w:hAnsi="Arial" w:cs="Arial"/>
          <w:iCs/>
          <w:sz w:val="24"/>
          <w:szCs w:val="24"/>
        </w:rPr>
        <w:t>m</w:t>
      </w:r>
      <w:r w:rsidRPr="0069269B">
        <w:rPr>
          <w:rFonts w:ascii="Arial" w:hAnsi="Arial" w:cs="Arial"/>
          <w:iCs/>
          <w:sz w:val="24"/>
          <w:szCs w:val="24"/>
        </w:rPr>
        <w:t>edia</w:t>
      </w:r>
      <w:r w:rsidR="00B719AE">
        <w:rPr>
          <w:rFonts w:ascii="Arial" w:hAnsi="Arial" w:cs="Arial"/>
          <w:iCs/>
          <w:sz w:val="24"/>
          <w:szCs w:val="24"/>
        </w:rPr>
        <w:t xml:space="preserve"> buying</w:t>
      </w:r>
      <w:r w:rsidR="00EC2AC8">
        <w:rPr>
          <w:rFonts w:ascii="Arial" w:hAnsi="Arial" w:cs="Arial"/>
          <w:iCs/>
          <w:sz w:val="24"/>
          <w:szCs w:val="24"/>
        </w:rPr>
        <w:t xml:space="preserve">, </w:t>
      </w:r>
      <w:r w:rsidR="00B0743B">
        <w:rPr>
          <w:rFonts w:ascii="Arial" w:hAnsi="Arial" w:cs="Arial"/>
          <w:iCs/>
          <w:sz w:val="24"/>
          <w:szCs w:val="24"/>
        </w:rPr>
        <w:t>mechanical handling equipment</w:t>
      </w:r>
      <w:r w:rsidR="00EC2AC8">
        <w:rPr>
          <w:rFonts w:ascii="Arial" w:hAnsi="Arial" w:cs="Arial"/>
          <w:iCs/>
          <w:sz w:val="24"/>
          <w:szCs w:val="24"/>
        </w:rPr>
        <w:t>,</w:t>
      </w:r>
      <w:r>
        <w:rPr>
          <w:rFonts w:ascii="Arial" w:hAnsi="Arial" w:cs="Arial"/>
          <w:iCs/>
          <w:sz w:val="24"/>
          <w:szCs w:val="24"/>
        </w:rPr>
        <w:t xml:space="preserve"> </w:t>
      </w:r>
      <w:r w:rsidR="00B719AE">
        <w:rPr>
          <w:rFonts w:ascii="Arial" w:hAnsi="Arial" w:cs="Arial"/>
          <w:iCs/>
          <w:sz w:val="24"/>
          <w:szCs w:val="24"/>
        </w:rPr>
        <w:t>printing</w:t>
      </w:r>
      <w:r w:rsidR="00EC2AC8">
        <w:rPr>
          <w:rFonts w:ascii="Arial" w:hAnsi="Arial" w:cs="Arial"/>
          <w:iCs/>
          <w:sz w:val="24"/>
          <w:szCs w:val="24"/>
        </w:rPr>
        <w:t xml:space="preserve"> &amp; paper</w:t>
      </w:r>
      <w:r w:rsidRPr="00EF42EF">
        <w:rPr>
          <w:rFonts w:ascii="Arial" w:hAnsi="Arial" w:cs="Arial"/>
          <w:iCs/>
          <w:sz w:val="24"/>
          <w:szCs w:val="24"/>
        </w:rPr>
        <w:t>)</w:t>
      </w:r>
      <w:r>
        <w:rPr>
          <w:rFonts w:ascii="Arial" w:hAnsi="Arial" w:cs="Arial"/>
          <w:iCs/>
          <w:sz w:val="24"/>
          <w:szCs w:val="24"/>
        </w:rPr>
        <w:t>.</w:t>
      </w:r>
    </w:p>
    <w:p w14:paraId="37222317" w14:textId="77777777" w:rsidR="00EA7E88" w:rsidRDefault="00EA7E88" w:rsidP="00272A5E">
      <w:pPr>
        <w:jc w:val="left"/>
        <w:rPr>
          <w:rFonts w:ascii="Arial" w:hAnsi="Arial" w:cs="Arial"/>
          <w:b/>
          <w:iCs/>
          <w:sz w:val="24"/>
          <w:szCs w:val="24"/>
        </w:rPr>
      </w:pPr>
    </w:p>
    <w:p w14:paraId="6D48F1DB" w14:textId="77777777" w:rsidR="00272A5E" w:rsidRPr="000971B9" w:rsidRDefault="00272A5E" w:rsidP="00272A5E">
      <w:pPr>
        <w:jc w:val="left"/>
        <w:rPr>
          <w:rFonts w:ascii="Arial" w:hAnsi="Arial" w:cs="Arial"/>
          <w:iCs/>
          <w:sz w:val="24"/>
          <w:szCs w:val="24"/>
        </w:rPr>
      </w:pPr>
      <w:r w:rsidRPr="000971B9">
        <w:rPr>
          <w:rFonts w:ascii="Arial" w:hAnsi="Arial" w:cs="Arial"/>
          <w:b/>
          <w:iCs/>
          <w:sz w:val="24"/>
          <w:szCs w:val="24"/>
        </w:rPr>
        <w:t>LFL</w:t>
      </w:r>
      <w:r w:rsidRPr="000971B9">
        <w:rPr>
          <w:rFonts w:ascii="Arial" w:hAnsi="Arial" w:cs="Arial"/>
          <w:iCs/>
          <w:sz w:val="24"/>
          <w:szCs w:val="24"/>
        </w:rPr>
        <w:t xml:space="preserve"> stands for like-for-like sales growth represent</w:t>
      </w:r>
      <w:r>
        <w:rPr>
          <w:rFonts w:ascii="Arial" w:hAnsi="Arial" w:cs="Arial"/>
          <w:iCs/>
          <w:sz w:val="24"/>
          <w:szCs w:val="24"/>
        </w:rPr>
        <w:t>ing</w:t>
      </w:r>
      <w:r w:rsidRPr="000971B9">
        <w:rPr>
          <w:rFonts w:ascii="Arial" w:hAnsi="Arial" w:cs="Arial"/>
          <w:iCs/>
          <w:sz w:val="24"/>
          <w:szCs w:val="24"/>
        </w:rPr>
        <w:t xml:space="preserve"> the constant currency, year</w:t>
      </w:r>
      <w:r>
        <w:rPr>
          <w:rFonts w:ascii="Arial" w:hAnsi="Arial" w:cs="Arial"/>
          <w:iCs/>
          <w:sz w:val="24"/>
          <w:szCs w:val="24"/>
        </w:rPr>
        <w:t xml:space="preserve"> </w:t>
      </w:r>
      <w:r w:rsidRPr="000971B9">
        <w:rPr>
          <w:rFonts w:ascii="Arial" w:hAnsi="Arial" w:cs="Arial"/>
          <w:iCs/>
          <w:sz w:val="24"/>
          <w:szCs w:val="24"/>
        </w:rPr>
        <w:t>on</w:t>
      </w:r>
      <w:r>
        <w:rPr>
          <w:rFonts w:ascii="Arial" w:hAnsi="Arial" w:cs="Arial"/>
          <w:iCs/>
          <w:sz w:val="24"/>
          <w:szCs w:val="24"/>
        </w:rPr>
        <w:t xml:space="preserve"> </w:t>
      </w:r>
      <w:r w:rsidRPr="000971B9">
        <w:rPr>
          <w:rFonts w:ascii="Arial" w:hAnsi="Arial" w:cs="Arial"/>
          <w:iCs/>
          <w:sz w:val="24"/>
          <w:szCs w:val="24"/>
        </w:rPr>
        <w:t>year sales growth for stores that have been open for more than a year.</w:t>
      </w:r>
    </w:p>
    <w:p w14:paraId="22733DA5" w14:textId="77777777" w:rsidR="00272A5E" w:rsidRDefault="00272A5E" w:rsidP="00272A5E">
      <w:pPr>
        <w:jc w:val="left"/>
        <w:rPr>
          <w:rFonts w:ascii="Arial" w:hAnsi="Arial" w:cs="Arial"/>
          <w:b/>
          <w:iCs/>
          <w:sz w:val="24"/>
          <w:szCs w:val="24"/>
        </w:rPr>
      </w:pPr>
    </w:p>
    <w:p w14:paraId="3A10A9C0" w14:textId="4F0D1E4A" w:rsidR="00272A5E" w:rsidRPr="000971B9" w:rsidRDefault="00272A5E" w:rsidP="00272A5E">
      <w:pPr>
        <w:jc w:val="left"/>
        <w:rPr>
          <w:rFonts w:ascii="Arial" w:hAnsi="Arial" w:cs="Arial"/>
          <w:iCs/>
          <w:sz w:val="24"/>
          <w:szCs w:val="24"/>
        </w:rPr>
      </w:pPr>
      <w:r w:rsidRPr="000971B9">
        <w:rPr>
          <w:rFonts w:ascii="Arial" w:hAnsi="Arial" w:cs="Arial"/>
          <w:b/>
          <w:iCs/>
          <w:sz w:val="24"/>
          <w:szCs w:val="24"/>
        </w:rPr>
        <w:t xml:space="preserve">Net cash </w:t>
      </w:r>
      <w:r w:rsidRPr="000971B9">
        <w:rPr>
          <w:rFonts w:ascii="Arial" w:hAnsi="Arial" w:cs="Arial"/>
          <w:iCs/>
          <w:sz w:val="24"/>
          <w:szCs w:val="24"/>
        </w:rPr>
        <w:t xml:space="preserve">comprises borrowings and financing derivatives (excluding accrued interest), less cash and cash equivalents and </w:t>
      </w:r>
      <w:r>
        <w:rPr>
          <w:rFonts w:ascii="Arial" w:hAnsi="Arial" w:cs="Arial"/>
          <w:iCs/>
          <w:sz w:val="24"/>
          <w:szCs w:val="24"/>
        </w:rPr>
        <w:t>short term deposits</w:t>
      </w:r>
      <w:r w:rsidRPr="000971B9">
        <w:rPr>
          <w:rFonts w:ascii="Arial" w:hAnsi="Arial" w:cs="Arial"/>
          <w:iCs/>
          <w:sz w:val="24"/>
          <w:szCs w:val="24"/>
        </w:rPr>
        <w:t>.</w:t>
      </w:r>
      <w:r w:rsidR="007D6C94">
        <w:rPr>
          <w:rFonts w:ascii="Arial" w:hAnsi="Arial" w:cs="Arial"/>
          <w:iCs/>
          <w:sz w:val="24"/>
          <w:szCs w:val="24"/>
        </w:rPr>
        <w:t xml:space="preserve"> It excludes balances classified as held for sale.</w:t>
      </w:r>
    </w:p>
    <w:p w14:paraId="2C4CF72E" w14:textId="77777777" w:rsidR="00272A5E" w:rsidRPr="000971B9" w:rsidRDefault="00272A5E" w:rsidP="00272A5E">
      <w:pPr>
        <w:jc w:val="left"/>
        <w:rPr>
          <w:rFonts w:ascii="Arial" w:hAnsi="Arial" w:cs="Arial"/>
          <w:iCs/>
          <w:sz w:val="24"/>
          <w:szCs w:val="24"/>
        </w:rPr>
      </w:pPr>
    </w:p>
    <w:p w14:paraId="1FB35DAE" w14:textId="77777777" w:rsidR="00272A5E" w:rsidRDefault="00272A5E" w:rsidP="00272A5E">
      <w:pPr>
        <w:jc w:val="left"/>
        <w:rPr>
          <w:rFonts w:ascii="Arial" w:hAnsi="Arial" w:cs="Arial"/>
          <w:iCs/>
          <w:sz w:val="24"/>
          <w:szCs w:val="24"/>
        </w:rPr>
      </w:pPr>
      <w:r>
        <w:rPr>
          <w:rFonts w:ascii="Arial" w:hAnsi="Arial" w:cs="Arial"/>
          <w:b/>
          <w:iCs/>
          <w:sz w:val="24"/>
          <w:szCs w:val="24"/>
        </w:rPr>
        <w:lastRenderedPageBreak/>
        <w:t xml:space="preserve">New country development </w:t>
      </w:r>
      <w:r>
        <w:rPr>
          <w:rFonts w:ascii="Arial" w:hAnsi="Arial" w:cs="Arial"/>
          <w:iCs/>
          <w:sz w:val="24"/>
          <w:szCs w:val="24"/>
        </w:rPr>
        <w:t xml:space="preserve">consists of Germany, Portugal and Romania. </w:t>
      </w:r>
    </w:p>
    <w:p w14:paraId="3F1D9801" w14:textId="77777777" w:rsidR="00272A5E" w:rsidRPr="00686158" w:rsidRDefault="00272A5E" w:rsidP="00272A5E">
      <w:pPr>
        <w:jc w:val="left"/>
        <w:rPr>
          <w:rFonts w:ascii="Arial" w:hAnsi="Arial" w:cs="Arial"/>
          <w:iCs/>
          <w:sz w:val="24"/>
          <w:szCs w:val="24"/>
        </w:rPr>
      </w:pPr>
    </w:p>
    <w:p w14:paraId="6D5D3640" w14:textId="77777777" w:rsidR="00272A5E" w:rsidRDefault="00272A5E" w:rsidP="00272A5E">
      <w:pPr>
        <w:jc w:val="left"/>
        <w:rPr>
          <w:rFonts w:ascii="Arial" w:hAnsi="Arial" w:cs="Arial"/>
          <w:iCs/>
          <w:sz w:val="24"/>
          <w:szCs w:val="24"/>
        </w:rPr>
      </w:pPr>
      <w:proofErr w:type="spellStart"/>
      <w:r w:rsidRPr="000971B9">
        <w:rPr>
          <w:rFonts w:ascii="Arial" w:hAnsi="Arial" w:cs="Arial"/>
          <w:b/>
          <w:iCs/>
          <w:sz w:val="24"/>
          <w:szCs w:val="24"/>
        </w:rPr>
        <w:t>Omnichannel</w:t>
      </w:r>
      <w:proofErr w:type="spellEnd"/>
      <w:r w:rsidRPr="000971B9">
        <w:rPr>
          <w:rFonts w:ascii="Arial" w:hAnsi="Arial" w:cs="Arial"/>
          <w:b/>
          <w:iCs/>
          <w:sz w:val="24"/>
          <w:szCs w:val="24"/>
        </w:rPr>
        <w:t xml:space="preserve"> </w:t>
      </w:r>
      <w:r w:rsidRPr="000971B9">
        <w:rPr>
          <w:rFonts w:ascii="Arial" w:hAnsi="Arial" w:cs="Arial"/>
          <w:iCs/>
          <w:sz w:val="24"/>
          <w:szCs w:val="24"/>
        </w:rPr>
        <w:t>- allowing customers to shop with us in any way they prefer</w:t>
      </w:r>
      <w:r>
        <w:rPr>
          <w:rFonts w:ascii="Arial" w:hAnsi="Arial" w:cs="Arial"/>
          <w:iCs/>
          <w:sz w:val="24"/>
          <w:szCs w:val="24"/>
        </w:rPr>
        <w:t>.</w:t>
      </w:r>
    </w:p>
    <w:p w14:paraId="2BF737ED" w14:textId="77777777" w:rsidR="00272A5E" w:rsidRPr="000971B9" w:rsidRDefault="00272A5E" w:rsidP="00272A5E">
      <w:pPr>
        <w:jc w:val="left"/>
        <w:rPr>
          <w:rFonts w:ascii="Arial" w:hAnsi="Arial" w:cs="Arial"/>
          <w:b/>
          <w:iCs/>
          <w:sz w:val="24"/>
          <w:szCs w:val="24"/>
        </w:rPr>
      </w:pPr>
    </w:p>
    <w:p w14:paraId="4629508B" w14:textId="77777777" w:rsidR="00272A5E" w:rsidRPr="000971B9" w:rsidRDefault="00272A5E" w:rsidP="00272A5E">
      <w:pPr>
        <w:jc w:val="left"/>
        <w:rPr>
          <w:rFonts w:ascii="Arial" w:hAnsi="Arial" w:cs="Arial"/>
          <w:iCs/>
          <w:sz w:val="24"/>
          <w:szCs w:val="24"/>
        </w:rPr>
      </w:pPr>
      <w:r w:rsidRPr="000971B9">
        <w:rPr>
          <w:rFonts w:ascii="Arial" w:hAnsi="Arial" w:cs="Arial"/>
          <w:b/>
          <w:iCs/>
          <w:sz w:val="24"/>
          <w:szCs w:val="24"/>
        </w:rPr>
        <w:t>Other International</w:t>
      </w:r>
      <w:r w:rsidRPr="000971B9">
        <w:rPr>
          <w:rFonts w:ascii="Arial" w:hAnsi="Arial" w:cs="Arial"/>
          <w:iCs/>
          <w:sz w:val="24"/>
          <w:szCs w:val="24"/>
        </w:rPr>
        <w:t xml:space="preserve"> consists of </w:t>
      </w:r>
      <w:r>
        <w:rPr>
          <w:rFonts w:ascii="Arial" w:hAnsi="Arial" w:cs="Arial"/>
          <w:iCs/>
          <w:sz w:val="24"/>
          <w:szCs w:val="24"/>
        </w:rPr>
        <w:t xml:space="preserve">Germany, </w:t>
      </w:r>
      <w:r w:rsidRPr="000971B9">
        <w:rPr>
          <w:rFonts w:ascii="Arial" w:hAnsi="Arial" w:cs="Arial"/>
          <w:iCs/>
          <w:sz w:val="24"/>
          <w:szCs w:val="24"/>
        </w:rPr>
        <w:t xml:space="preserve">Poland, </w:t>
      </w:r>
      <w:r>
        <w:rPr>
          <w:rFonts w:ascii="Arial" w:hAnsi="Arial" w:cs="Arial"/>
          <w:iCs/>
          <w:sz w:val="24"/>
          <w:szCs w:val="24"/>
        </w:rPr>
        <w:t xml:space="preserve">Portugal, </w:t>
      </w:r>
      <w:r w:rsidRPr="000971B9">
        <w:rPr>
          <w:rFonts w:ascii="Arial" w:hAnsi="Arial" w:cs="Arial"/>
          <w:iCs/>
          <w:sz w:val="24"/>
          <w:szCs w:val="24"/>
        </w:rPr>
        <w:t>Romania, Russia, Spain</w:t>
      </w:r>
      <w:r>
        <w:rPr>
          <w:rFonts w:ascii="Arial" w:hAnsi="Arial" w:cs="Arial"/>
          <w:iCs/>
          <w:sz w:val="24"/>
          <w:szCs w:val="24"/>
        </w:rPr>
        <w:t xml:space="preserve"> and</w:t>
      </w:r>
      <w:r w:rsidRPr="000971B9">
        <w:rPr>
          <w:rFonts w:ascii="Arial" w:hAnsi="Arial" w:cs="Arial"/>
          <w:iCs/>
          <w:sz w:val="24"/>
          <w:szCs w:val="24"/>
        </w:rPr>
        <w:t xml:space="preserve"> Turkey (</w:t>
      </w:r>
      <w:proofErr w:type="spellStart"/>
      <w:r w:rsidRPr="000971B9">
        <w:rPr>
          <w:rFonts w:ascii="Arial" w:hAnsi="Arial" w:cs="Arial"/>
          <w:iCs/>
          <w:sz w:val="24"/>
          <w:szCs w:val="24"/>
        </w:rPr>
        <w:t>Koçtaş</w:t>
      </w:r>
      <w:proofErr w:type="spellEnd"/>
      <w:r w:rsidRPr="000971B9">
        <w:rPr>
          <w:rFonts w:ascii="Arial" w:hAnsi="Arial" w:cs="Arial"/>
          <w:iCs/>
          <w:sz w:val="24"/>
          <w:szCs w:val="24"/>
        </w:rPr>
        <w:t xml:space="preserve"> J</w:t>
      </w:r>
      <w:r>
        <w:rPr>
          <w:rFonts w:ascii="Arial" w:hAnsi="Arial" w:cs="Arial"/>
          <w:iCs/>
          <w:sz w:val="24"/>
          <w:szCs w:val="24"/>
        </w:rPr>
        <w:t>V).</w:t>
      </w:r>
    </w:p>
    <w:p w14:paraId="3A03CF58" w14:textId="77777777" w:rsidR="00272A5E" w:rsidRPr="000971B9" w:rsidRDefault="00272A5E" w:rsidP="00272A5E">
      <w:pPr>
        <w:jc w:val="left"/>
        <w:rPr>
          <w:rFonts w:ascii="Arial" w:hAnsi="Arial" w:cs="Arial"/>
          <w:iCs/>
          <w:sz w:val="24"/>
          <w:szCs w:val="24"/>
        </w:rPr>
      </w:pPr>
    </w:p>
    <w:p w14:paraId="3F363D8F" w14:textId="77777777" w:rsidR="00272A5E" w:rsidRPr="00105A25" w:rsidRDefault="00272A5E" w:rsidP="00272A5E">
      <w:pPr>
        <w:rPr>
          <w:rFonts w:ascii="Arial" w:hAnsi="Arial" w:cs="Arial"/>
          <w:iCs/>
          <w:sz w:val="24"/>
          <w:szCs w:val="24"/>
        </w:rPr>
      </w:pPr>
      <w:r w:rsidRPr="00044BCA">
        <w:rPr>
          <w:rFonts w:ascii="Arial" w:hAnsi="Arial" w:cs="Arial"/>
          <w:b/>
          <w:iCs/>
          <w:sz w:val="24"/>
          <w:szCs w:val="24"/>
        </w:rPr>
        <w:t>Planogram </w:t>
      </w:r>
      <w:r w:rsidRPr="00487A65">
        <w:rPr>
          <w:rFonts w:ascii="Arial" w:hAnsi="Arial" w:cs="Arial"/>
          <w:color w:val="222222"/>
          <w:sz w:val="24"/>
          <w:szCs w:val="24"/>
          <w:shd w:val="clear" w:color="auto" w:fill="FFFFFF"/>
        </w:rPr>
        <w:t xml:space="preserve">- </w:t>
      </w:r>
      <w:r w:rsidRPr="00105A25">
        <w:rPr>
          <w:rFonts w:ascii="Arial" w:hAnsi="Arial" w:cs="Arial"/>
          <w:iCs/>
          <w:sz w:val="24"/>
          <w:szCs w:val="24"/>
        </w:rPr>
        <w:t>a diagram that shows how and where specific retail products should be placed on retail shelves or displays</w:t>
      </w:r>
      <w:r w:rsidRPr="00487A65">
        <w:rPr>
          <w:rFonts w:ascii="Arial" w:hAnsi="Arial" w:cs="Arial"/>
          <w:iCs/>
          <w:sz w:val="24"/>
          <w:szCs w:val="24"/>
        </w:rPr>
        <w:t>.</w:t>
      </w:r>
    </w:p>
    <w:p w14:paraId="1EE46195" w14:textId="77777777" w:rsidR="00272A5E" w:rsidRPr="00657B3E" w:rsidRDefault="00272A5E" w:rsidP="00272A5E">
      <w:pPr>
        <w:jc w:val="left"/>
        <w:rPr>
          <w:rFonts w:ascii="Arial" w:hAnsi="Arial" w:cs="Arial"/>
          <w:iCs/>
          <w:sz w:val="24"/>
          <w:szCs w:val="24"/>
        </w:rPr>
      </w:pPr>
    </w:p>
    <w:p w14:paraId="3A80414F" w14:textId="25758431" w:rsidR="00272A5E" w:rsidRPr="000971B9" w:rsidRDefault="00272A5E" w:rsidP="00272A5E">
      <w:pPr>
        <w:jc w:val="left"/>
        <w:rPr>
          <w:rFonts w:ascii="Arial" w:hAnsi="Arial" w:cs="Arial"/>
          <w:iCs/>
          <w:sz w:val="24"/>
          <w:szCs w:val="24"/>
        </w:rPr>
      </w:pPr>
      <w:r w:rsidRPr="000971B9">
        <w:rPr>
          <w:rFonts w:ascii="Arial" w:hAnsi="Arial" w:cs="Arial"/>
          <w:b/>
          <w:iCs/>
          <w:sz w:val="24"/>
          <w:szCs w:val="24"/>
        </w:rPr>
        <w:t>Retail profit</w:t>
      </w:r>
      <w:r w:rsidRPr="000971B9">
        <w:rPr>
          <w:rFonts w:ascii="Arial" w:hAnsi="Arial" w:cs="Arial"/>
          <w:iCs/>
          <w:sz w:val="24"/>
          <w:szCs w:val="24"/>
        </w:rPr>
        <w:t xml:space="preserve"> is operating profit stated before central costs, exceptional items, amortisation of acquisition intangibles and the Group’s share of interest and tax of JVs and associates. </w:t>
      </w:r>
      <w:r w:rsidRPr="007B4514">
        <w:rPr>
          <w:rFonts w:ascii="Arial" w:hAnsi="Arial" w:cs="Arial"/>
          <w:iCs/>
          <w:sz w:val="24"/>
          <w:szCs w:val="24"/>
        </w:rPr>
        <w:t>201</w:t>
      </w:r>
      <w:r w:rsidRPr="008B675B">
        <w:rPr>
          <w:rFonts w:ascii="Arial" w:hAnsi="Arial" w:cs="Arial"/>
          <w:iCs/>
          <w:sz w:val="24"/>
          <w:szCs w:val="24"/>
        </w:rPr>
        <w:t>4</w:t>
      </w:r>
      <w:r w:rsidRPr="007B4514">
        <w:rPr>
          <w:rFonts w:ascii="Arial" w:hAnsi="Arial" w:cs="Arial"/>
          <w:iCs/>
          <w:sz w:val="24"/>
          <w:szCs w:val="24"/>
        </w:rPr>
        <w:t>/1</w:t>
      </w:r>
      <w:r w:rsidRPr="008B675B">
        <w:rPr>
          <w:rFonts w:ascii="Arial" w:hAnsi="Arial" w:cs="Arial"/>
          <w:iCs/>
          <w:sz w:val="24"/>
          <w:szCs w:val="24"/>
        </w:rPr>
        <w:t>5</w:t>
      </w:r>
      <w:r w:rsidRPr="007B4514">
        <w:rPr>
          <w:rFonts w:ascii="Arial" w:hAnsi="Arial" w:cs="Arial"/>
          <w:iCs/>
          <w:sz w:val="24"/>
          <w:szCs w:val="24"/>
        </w:rPr>
        <w:t xml:space="preserve"> comparatives have been restated </w:t>
      </w:r>
      <w:r w:rsidR="00BB74AF">
        <w:rPr>
          <w:rFonts w:ascii="Arial" w:hAnsi="Arial" w:cs="Arial"/>
          <w:iCs/>
          <w:sz w:val="24"/>
          <w:szCs w:val="24"/>
        </w:rPr>
        <w:t xml:space="preserve">for IFRIC 21 and </w:t>
      </w:r>
      <w:r w:rsidRPr="007B4514">
        <w:rPr>
          <w:rFonts w:ascii="Arial" w:hAnsi="Arial" w:cs="Arial"/>
          <w:iCs/>
          <w:sz w:val="24"/>
          <w:szCs w:val="24"/>
        </w:rPr>
        <w:t xml:space="preserve">to exclude </w:t>
      </w:r>
      <w:r w:rsidRPr="008B675B">
        <w:rPr>
          <w:rFonts w:ascii="Arial" w:hAnsi="Arial" w:cs="Arial"/>
          <w:iCs/>
          <w:sz w:val="24"/>
          <w:szCs w:val="24"/>
        </w:rPr>
        <w:t>B&amp;Q China</w:t>
      </w:r>
      <w:r w:rsidR="008536C9">
        <w:rPr>
          <w:rFonts w:ascii="Arial" w:hAnsi="Arial" w:cs="Arial"/>
          <w:iCs/>
          <w:sz w:val="24"/>
          <w:szCs w:val="24"/>
        </w:rPr>
        <w:t>’s</w:t>
      </w:r>
      <w:r w:rsidRPr="007B4514">
        <w:rPr>
          <w:rFonts w:ascii="Arial" w:hAnsi="Arial" w:cs="Arial"/>
          <w:iCs/>
          <w:sz w:val="24"/>
          <w:szCs w:val="24"/>
        </w:rPr>
        <w:t xml:space="preserve"> operating </w:t>
      </w:r>
      <w:r w:rsidR="00374041">
        <w:rPr>
          <w:rFonts w:ascii="Arial" w:hAnsi="Arial" w:cs="Arial"/>
          <w:iCs/>
          <w:sz w:val="24"/>
          <w:szCs w:val="24"/>
        </w:rPr>
        <w:t>loss</w:t>
      </w:r>
      <w:r w:rsidRPr="007B4514">
        <w:rPr>
          <w:rFonts w:ascii="Arial" w:hAnsi="Arial" w:cs="Arial"/>
          <w:iCs/>
          <w:sz w:val="24"/>
          <w:szCs w:val="24"/>
        </w:rPr>
        <w:t>.</w:t>
      </w:r>
      <w:r>
        <w:rPr>
          <w:rFonts w:ascii="Arial" w:hAnsi="Arial" w:cs="Arial"/>
          <w:iCs/>
          <w:sz w:val="24"/>
          <w:szCs w:val="24"/>
        </w:rPr>
        <w:t xml:space="preserve"> </w:t>
      </w:r>
    </w:p>
    <w:p w14:paraId="655645AB" w14:textId="77777777" w:rsidR="00272A5E" w:rsidRPr="000971B9" w:rsidRDefault="00272A5E" w:rsidP="00272A5E">
      <w:pPr>
        <w:tabs>
          <w:tab w:val="left" w:pos="357"/>
        </w:tabs>
        <w:ind w:right="-282"/>
        <w:jc w:val="left"/>
        <w:rPr>
          <w:rFonts w:ascii="Arial" w:hAnsi="Arial" w:cs="Arial"/>
          <w:b/>
          <w:sz w:val="24"/>
          <w:szCs w:val="24"/>
        </w:rPr>
      </w:pPr>
    </w:p>
    <w:p w14:paraId="39BBA662" w14:textId="285D1A07" w:rsidR="00272A5E" w:rsidRDefault="00272A5E" w:rsidP="00272A5E">
      <w:pPr>
        <w:tabs>
          <w:tab w:val="left" w:pos="357"/>
        </w:tabs>
        <w:ind w:right="-282"/>
        <w:jc w:val="left"/>
        <w:rPr>
          <w:rFonts w:ascii="Arial" w:hAnsi="Arial" w:cs="Arial"/>
          <w:b/>
          <w:sz w:val="24"/>
          <w:szCs w:val="24"/>
        </w:rPr>
      </w:pPr>
      <w:r>
        <w:rPr>
          <w:rFonts w:ascii="Arial" w:hAnsi="Arial" w:cs="Arial"/>
          <w:b/>
          <w:sz w:val="24"/>
          <w:szCs w:val="24"/>
        </w:rPr>
        <w:t>Right-size</w:t>
      </w:r>
      <w:r w:rsidRPr="00105A25">
        <w:rPr>
          <w:rFonts w:ascii="Arial" w:hAnsi="Arial" w:cs="Arial"/>
          <w:sz w:val="24"/>
          <w:szCs w:val="24"/>
        </w:rPr>
        <w:t xml:space="preserve"> refers to</w:t>
      </w:r>
      <w:r>
        <w:rPr>
          <w:rFonts w:ascii="Arial" w:hAnsi="Arial" w:cs="Arial"/>
          <w:sz w:val="24"/>
          <w:szCs w:val="24"/>
        </w:rPr>
        <w:t xml:space="preserve"> the space optimisation programme of B&amp;Q’s property estate (</w:t>
      </w:r>
      <w:r w:rsidR="0056735A" w:rsidRPr="0056735A">
        <w:rPr>
          <w:rFonts w:ascii="Arial" w:hAnsi="Arial" w:cs="Arial"/>
          <w:sz w:val="24"/>
          <w:szCs w:val="24"/>
        </w:rPr>
        <w:t>downsizing through space reduction and relocations</w:t>
      </w:r>
      <w:r>
        <w:rPr>
          <w:rFonts w:ascii="Arial" w:hAnsi="Arial" w:cs="Arial"/>
          <w:sz w:val="24"/>
          <w:szCs w:val="24"/>
        </w:rPr>
        <w:t xml:space="preserve">). </w:t>
      </w:r>
    </w:p>
    <w:p w14:paraId="6EEAE1B4" w14:textId="77777777" w:rsidR="00272A5E" w:rsidRDefault="00272A5E" w:rsidP="00272A5E">
      <w:pPr>
        <w:tabs>
          <w:tab w:val="left" w:pos="357"/>
        </w:tabs>
        <w:ind w:right="-282"/>
        <w:jc w:val="left"/>
        <w:rPr>
          <w:rFonts w:ascii="Arial" w:hAnsi="Arial" w:cs="Arial"/>
          <w:b/>
          <w:sz w:val="24"/>
          <w:szCs w:val="24"/>
        </w:rPr>
      </w:pPr>
    </w:p>
    <w:p w14:paraId="43E1AA01" w14:textId="267F0810" w:rsidR="00272A5E" w:rsidRDefault="003C3EAC" w:rsidP="00272A5E">
      <w:pPr>
        <w:tabs>
          <w:tab w:val="left" w:pos="357"/>
        </w:tabs>
        <w:ind w:right="-282"/>
        <w:jc w:val="left"/>
        <w:rPr>
          <w:rFonts w:ascii="Arial" w:hAnsi="Arial" w:cs="Arial"/>
          <w:iCs/>
          <w:sz w:val="24"/>
          <w:szCs w:val="24"/>
        </w:rPr>
      </w:pPr>
      <w:r>
        <w:rPr>
          <w:rFonts w:ascii="Arial" w:hAnsi="Arial" w:cs="Arial"/>
          <w:b/>
          <w:sz w:val="24"/>
          <w:szCs w:val="24"/>
        </w:rPr>
        <w:t>Statutory s</w:t>
      </w:r>
      <w:r w:rsidR="00272A5E" w:rsidRPr="000971B9">
        <w:rPr>
          <w:rFonts w:ascii="Arial" w:hAnsi="Arial" w:cs="Arial"/>
          <w:b/>
          <w:sz w:val="24"/>
          <w:szCs w:val="24"/>
        </w:rPr>
        <w:t>ales</w:t>
      </w:r>
      <w:r w:rsidR="00272A5E" w:rsidRPr="000971B9">
        <w:rPr>
          <w:rFonts w:ascii="Arial" w:hAnsi="Arial" w:cs="Arial"/>
          <w:iCs/>
          <w:sz w:val="24"/>
          <w:szCs w:val="24"/>
        </w:rPr>
        <w:t xml:space="preserve"> </w:t>
      </w:r>
      <w:r w:rsidR="00272A5E">
        <w:rPr>
          <w:rFonts w:ascii="Arial" w:hAnsi="Arial" w:cs="Arial"/>
          <w:iCs/>
          <w:sz w:val="24"/>
          <w:szCs w:val="24"/>
        </w:rPr>
        <w:t xml:space="preserve">- Group sales exclude </w:t>
      </w:r>
      <w:r w:rsidR="00272A5E" w:rsidRPr="000971B9">
        <w:rPr>
          <w:rFonts w:ascii="Arial" w:hAnsi="Arial" w:cs="Arial"/>
          <w:iCs/>
          <w:sz w:val="24"/>
          <w:szCs w:val="24"/>
        </w:rPr>
        <w:t>Joint Venture (</w:t>
      </w:r>
      <w:proofErr w:type="spellStart"/>
      <w:r w:rsidR="00272A5E" w:rsidRPr="000971B9">
        <w:rPr>
          <w:rFonts w:ascii="Arial" w:hAnsi="Arial" w:cs="Arial"/>
          <w:iCs/>
          <w:sz w:val="24"/>
          <w:szCs w:val="24"/>
        </w:rPr>
        <w:t>Koçtaş</w:t>
      </w:r>
      <w:proofErr w:type="spellEnd"/>
      <w:r w:rsidR="00272A5E" w:rsidRPr="000971B9">
        <w:rPr>
          <w:rFonts w:ascii="Arial" w:hAnsi="Arial" w:cs="Arial"/>
          <w:iCs/>
          <w:sz w:val="24"/>
          <w:szCs w:val="24"/>
        </w:rPr>
        <w:t xml:space="preserve"> JV) sales</w:t>
      </w:r>
      <w:r w:rsidR="00BB74AF">
        <w:rPr>
          <w:rFonts w:ascii="Arial" w:hAnsi="Arial" w:cs="Arial"/>
          <w:iCs/>
          <w:sz w:val="24"/>
          <w:szCs w:val="24"/>
        </w:rPr>
        <w:t>.</w:t>
      </w:r>
    </w:p>
    <w:p w14:paraId="63B65465" w14:textId="77777777" w:rsidR="00272A5E" w:rsidRDefault="00272A5E" w:rsidP="00272A5E">
      <w:pPr>
        <w:tabs>
          <w:tab w:val="left" w:pos="357"/>
        </w:tabs>
        <w:ind w:right="-282"/>
        <w:jc w:val="left"/>
        <w:rPr>
          <w:rFonts w:ascii="Arial" w:hAnsi="Arial" w:cs="Arial"/>
          <w:iCs/>
          <w:sz w:val="24"/>
          <w:szCs w:val="24"/>
        </w:rPr>
      </w:pPr>
      <w:bookmarkStart w:id="8" w:name="OLE_LINK9"/>
      <w:bookmarkStart w:id="9" w:name="OLE_LINK10"/>
    </w:p>
    <w:p w14:paraId="64D08300" w14:textId="53808B6D" w:rsidR="00272A5E" w:rsidRPr="000971B9" w:rsidRDefault="00CE17E3" w:rsidP="00272A5E">
      <w:pPr>
        <w:tabs>
          <w:tab w:val="left" w:pos="357"/>
        </w:tabs>
        <w:ind w:right="-282"/>
        <w:jc w:val="left"/>
        <w:rPr>
          <w:rFonts w:ascii="Arial" w:hAnsi="Arial" w:cs="Arial"/>
          <w:iCs/>
          <w:sz w:val="24"/>
          <w:szCs w:val="24"/>
        </w:rPr>
      </w:pPr>
      <w:r>
        <w:rPr>
          <w:rFonts w:ascii="Arial" w:hAnsi="Arial" w:cs="Arial"/>
          <w:b/>
          <w:iCs/>
          <w:sz w:val="24"/>
          <w:szCs w:val="24"/>
        </w:rPr>
        <w:t>SKU (</w:t>
      </w:r>
      <w:r w:rsidR="00272A5E" w:rsidRPr="008B675B">
        <w:rPr>
          <w:rFonts w:ascii="Arial" w:hAnsi="Arial" w:cs="Arial"/>
          <w:b/>
          <w:iCs/>
          <w:sz w:val="24"/>
          <w:szCs w:val="24"/>
        </w:rPr>
        <w:t>Stock Keeping Unit</w:t>
      </w:r>
      <w:r>
        <w:rPr>
          <w:rFonts w:ascii="Arial" w:hAnsi="Arial" w:cs="Arial"/>
          <w:b/>
          <w:iCs/>
          <w:sz w:val="24"/>
          <w:szCs w:val="24"/>
        </w:rPr>
        <w:t>)</w:t>
      </w:r>
      <w:r w:rsidR="00272A5E" w:rsidRPr="008B675B">
        <w:rPr>
          <w:rFonts w:ascii="Arial" w:hAnsi="Arial" w:cs="Arial"/>
          <w:b/>
          <w:iCs/>
          <w:sz w:val="24"/>
          <w:szCs w:val="24"/>
        </w:rPr>
        <w:t xml:space="preserve"> </w:t>
      </w:r>
      <w:r w:rsidR="00272A5E" w:rsidRPr="00EF42EF">
        <w:rPr>
          <w:rFonts w:ascii="Arial" w:hAnsi="Arial" w:cs="Arial"/>
          <w:iCs/>
          <w:sz w:val="24"/>
          <w:szCs w:val="24"/>
        </w:rPr>
        <w:t>-</w:t>
      </w:r>
      <w:r w:rsidR="00272A5E">
        <w:rPr>
          <w:rFonts w:ascii="Arial" w:hAnsi="Arial" w:cs="Arial"/>
          <w:iCs/>
          <w:sz w:val="24"/>
          <w:szCs w:val="24"/>
        </w:rPr>
        <w:t xml:space="preserve"> </w:t>
      </w:r>
      <w:r w:rsidR="00272A5E" w:rsidRPr="00EF7072">
        <w:rPr>
          <w:rFonts w:ascii="Arial" w:hAnsi="Arial" w:cs="Arial"/>
          <w:iCs/>
          <w:sz w:val="24"/>
          <w:szCs w:val="24"/>
        </w:rPr>
        <w:t>the number of individual variants of products sold or remaining in stock.</w:t>
      </w:r>
      <w:r w:rsidR="00272A5E">
        <w:rPr>
          <w:rFonts w:ascii="Arial" w:hAnsi="Arial" w:cs="Arial"/>
          <w:iCs/>
          <w:sz w:val="24"/>
          <w:szCs w:val="24"/>
        </w:rPr>
        <w:t xml:space="preserve"> It is </w:t>
      </w:r>
      <w:r w:rsidR="00272A5E" w:rsidRPr="00EF7072">
        <w:rPr>
          <w:rFonts w:ascii="Arial" w:hAnsi="Arial" w:cs="Arial"/>
          <w:iCs/>
          <w:sz w:val="24"/>
          <w:szCs w:val="24"/>
        </w:rPr>
        <w:t>a distinct type of item for sale, such as a product and all attributes associated with the item type that distinguish it from other</w:t>
      </w:r>
      <w:r w:rsidR="00272A5E">
        <w:rPr>
          <w:rFonts w:ascii="Arial" w:hAnsi="Arial" w:cs="Arial"/>
          <w:iCs/>
          <w:sz w:val="24"/>
          <w:szCs w:val="24"/>
        </w:rPr>
        <w:t>s</w:t>
      </w:r>
      <w:r w:rsidR="00272A5E" w:rsidRPr="00EF7072">
        <w:rPr>
          <w:rFonts w:ascii="Arial" w:hAnsi="Arial" w:cs="Arial"/>
          <w:iCs/>
          <w:sz w:val="24"/>
          <w:szCs w:val="24"/>
        </w:rPr>
        <w:t>.</w:t>
      </w:r>
      <w:r w:rsidR="00272A5E">
        <w:rPr>
          <w:rFonts w:ascii="Arial" w:hAnsi="Arial" w:cs="Arial"/>
          <w:iCs/>
          <w:sz w:val="24"/>
          <w:szCs w:val="24"/>
        </w:rPr>
        <w:t xml:space="preserve"> T</w:t>
      </w:r>
      <w:r w:rsidR="00272A5E" w:rsidRPr="00EF7072">
        <w:rPr>
          <w:rFonts w:ascii="Arial" w:hAnsi="Arial" w:cs="Arial"/>
          <w:iCs/>
          <w:sz w:val="24"/>
          <w:szCs w:val="24"/>
        </w:rPr>
        <w:t>hese attributes could include, but are not limited to, manufacturer, description, material, size, colo</w:t>
      </w:r>
      <w:r w:rsidR="00272A5E">
        <w:rPr>
          <w:rFonts w:ascii="Arial" w:hAnsi="Arial" w:cs="Arial"/>
          <w:iCs/>
          <w:sz w:val="24"/>
          <w:szCs w:val="24"/>
        </w:rPr>
        <w:t>u</w:t>
      </w:r>
      <w:r w:rsidR="00272A5E" w:rsidRPr="00EF7072">
        <w:rPr>
          <w:rFonts w:ascii="Arial" w:hAnsi="Arial" w:cs="Arial"/>
          <w:iCs/>
          <w:sz w:val="24"/>
          <w:szCs w:val="24"/>
        </w:rPr>
        <w:t>r, packaging, and warranty terms.</w:t>
      </w:r>
    </w:p>
    <w:bookmarkEnd w:id="8"/>
    <w:bookmarkEnd w:id="9"/>
    <w:p w14:paraId="6F9854F2" w14:textId="77777777" w:rsidR="00272A5E" w:rsidRPr="000971B9" w:rsidRDefault="00272A5E" w:rsidP="00272A5E">
      <w:pPr>
        <w:rPr>
          <w:rFonts w:ascii="Arial" w:hAnsi="Arial" w:cs="Arial"/>
          <w:b/>
          <w:iCs/>
          <w:sz w:val="24"/>
          <w:szCs w:val="24"/>
        </w:rPr>
      </w:pPr>
    </w:p>
    <w:p w14:paraId="41FFB8E8" w14:textId="77777777" w:rsidR="00272A5E" w:rsidRPr="00A929CE" w:rsidRDefault="00272A5E" w:rsidP="00272A5E">
      <w:pPr>
        <w:jc w:val="left"/>
        <w:rPr>
          <w:rFonts w:ascii="Arial" w:hAnsi="Arial" w:cs="Arial"/>
          <w:b/>
          <w:bCs/>
          <w:sz w:val="24"/>
          <w:szCs w:val="24"/>
        </w:rPr>
      </w:pPr>
      <w:r w:rsidRPr="000971B9">
        <w:rPr>
          <w:rFonts w:ascii="Arial" w:hAnsi="Arial" w:cs="Arial"/>
          <w:b/>
          <w:iCs/>
          <w:sz w:val="24"/>
          <w:szCs w:val="24"/>
        </w:rPr>
        <w:t>UK &amp; Ireland</w:t>
      </w:r>
      <w:r w:rsidRPr="000971B9">
        <w:rPr>
          <w:rFonts w:ascii="Arial" w:hAnsi="Arial" w:cs="Arial"/>
          <w:iCs/>
          <w:sz w:val="24"/>
          <w:szCs w:val="24"/>
        </w:rPr>
        <w:t xml:space="preserve"> consists of B&amp;Q in the UK &amp; Ireland and Screwfix.</w:t>
      </w:r>
    </w:p>
    <w:p w14:paraId="70F2DA9F" w14:textId="77777777" w:rsidR="00272A5E" w:rsidRDefault="00272A5E" w:rsidP="00272A5E">
      <w:pPr>
        <w:rPr>
          <w:rFonts w:ascii="Arial" w:hAnsi="Arial" w:cs="Arial"/>
          <w:b/>
          <w:bCs/>
          <w:sz w:val="24"/>
          <w:szCs w:val="24"/>
        </w:rPr>
      </w:pPr>
    </w:p>
    <w:p w14:paraId="6703884B" w14:textId="77777777" w:rsidR="00956FAD" w:rsidRDefault="00956FAD">
      <w:pPr>
        <w:jc w:val="left"/>
        <w:rPr>
          <w:rFonts w:ascii="Arial" w:hAnsi="Arial" w:cs="Arial"/>
          <w:b/>
          <w:bCs/>
          <w:sz w:val="24"/>
          <w:szCs w:val="24"/>
        </w:rPr>
      </w:pPr>
      <w:r>
        <w:rPr>
          <w:rFonts w:ascii="Arial" w:hAnsi="Arial" w:cs="Arial"/>
          <w:b/>
          <w:bCs/>
          <w:sz w:val="24"/>
          <w:szCs w:val="24"/>
        </w:rPr>
        <w:br w:type="page"/>
      </w:r>
    </w:p>
    <w:p w14:paraId="6A68225A" w14:textId="7B117006" w:rsidR="003A298D" w:rsidRPr="004803FB" w:rsidRDefault="003A298D" w:rsidP="00272A5E">
      <w:pPr>
        <w:rPr>
          <w:rFonts w:ascii="Arial" w:hAnsi="Arial" w:cs="Arial"/>
          <w:b/>
          <w:caps/>
        </w:rPr>
      </w:pPr>
      <w:r w:rsidRPr="00D461B1">
        <w:rPr>
          <w:rFonts w:ascii="Arial" w:hAnsi="Arial" w:cs="Arial"/>
          <w:b/>
          <w:bCs/>
          <w:sz w:val="24"/>
          <w:szCs w:val="24"/>
        </w:rPr>
        <w:lastRenderedPageBreak/>
        <w:t xml:space="preserve">Section </w:t>
      </w:r>
      <w:r w:rsidR="00DD4F01">
        <w:rPr>
          <w:rFonts w:ascii="Arial" w:hAnsi="Arial" w:cs="Arial"/>
          <w:b/>
          <w:bCs/>
          <w:sz w:val="24"/>
          <w:szCs w:val="24"/>
        </w:rPr>
        <w:t>6</w:t>
      </w:r>
      <w:r w:rsidRPr="00D461B1">
        <w:rPr>
          <w:rFonts w:ascii="Arial" w:hAnsi="Arial" w:cs="Arial"/>
          <w:b/>
          <w:bCs/>
          <w:sz w:val="24"/>
          <w:szCs w:val="24"/>
        </w:rPr>
        <w:t xml:space="preserve">: </w:t>
      </w:r>
      <w:r w:rsidRPr="00926779">
        <w:rPr>
          <w:rFonts w:ascii="Arial" w:hAnsi="Arial" w:cs="Arial"/>
          <w:b/>
          <w:sz w:val="24"/>
          <w:szCs w:val="24"/>
        </w:rPr>
        <w:t>Forward-looking statements</w:t>
      </w:r>
    </w:p>
    <w:p w14:paraId="37FAC5F7" w14:textId="77777777" w:rsidR="003A298D" w:rsidRPr="004803FB" w:rsidRDefault="003A298D" w:rsidP="003A298D">
      <w:pPr>
        <w:jc w:val="left"/>
        <w:rPr>
          <w:rFonts w:ascii="Arial" w:hAnsi="Arial" w:cs="Arial"/>
          <w:sz w:val="24"/>
          <w:szCs w:val="24"/>
        </w:rPr>
      </w:pPr>
    </w:p>
    <w:p w14:paraId="2A896475" w14:textId="77777777" w:rsidR="003A298D" w:rsidRPr="00506D26" w:rsidRDefault="003A298D" w:rsidP="003A298D">
      <w:pPr>
        <w:jc w:val="left"/>
        <w:rPr>
          <w:rFonts w:ascii="Arial" w:hAnsi="Arial" w:cs="Arial"/>
          <w:sz w:val="24"/>
          <w:szCs w:val="24"/>
        </w:rPr>
      </w:pPr>
      <w:r w:rsidRPr="00506D26">
        <w:rPr>
          <w:rFonts w:ascii="Arial" w:hAnsi="Arial" w:cs="Arial"/>
          <w:sz w:val="24"/>
          <w:szCs w:val="24"/>
        </w:rPr>
        <w:t xml:space="preserve">You are not to construe the content of this announcement as investment, legal or tax advice and you should make you own evaluation of the Company and the market.  If you are in any doubt about the contents of this announcement or the action you should take, you should consult a person authorised under the Financial Services and Markets Act 2000 (as amended) (or if you are a person outside the UK, otherwise duly qualified in your jurisdiction). </w:t>
      </w:r>
    </w:p>
    <w:p w14:paraId="73DF9A2B" w14:textId="77777777" w:rsidR="003A298D" w:rsidRPr="00506D26" w:rsidRDefault="003A298D" w:rsidP="003A298D">
      <w:pPr>
        <w:jc w:val="left"/>
        <w:rPr>
          <w:rFonts w:ascii="Arial" w:hAnsi="Arial" w:cs="Arial"/>
          <w:sz w:val="24"/>
          <w:szCs w:val="24"/>
        </w:rPr>
      </w:pPr>
    </w:p>
    <w:p w14:paraId="642A5044" w14:textId="00ECDB9A" w:rsidR="003A298D" w:rsidRPr="00506D26" w:rsidRDefault="003A298D" w:rsidP="003A298D">
      <w:pPr>
        <w:jc w:val="left"/>
        <w:rPr>
          <w:rFonts w:ascii="Arial" w:hAnsi="Arial" w:cs="Arial"/>
          <w:sz w:val="24"/>
          <w:szCs w:val="24"/>
        </w:rPr>
      </w:pPr>
      <w:r w:rsidRPr="00D7499F">
        <w:rPr>
          <w:rFonts w:ascii="Arial" w:hAnsi="Arial" w:cs="Arial"/>
          <w:sz w:val="24"/>
          <w:szCs w:val="24"/>
        </w:rPr>
        <w:t>This announcement has been prepared in relation to the financial r</w:t>
      </w:r>
      <w:r w:rsidR="008E7ABE">
        <w:rPr>
          <w:rFonts w:ascii="Arial" w:hAnsi="Arial" w:cs="Arial"/>
          <w:sz w:val="24"/>
          <w:szCs w:val="24"/>
        </w:rPr>
        <w:t>esults for the half year ended 1</w:t>
      </w:r>
      <w:r w:rsidRPr="00D7499F">
        <w:rPr>
          <w:rFonts w:ascii="Arial" w:hAnsi="Arial" w:cs="Arial"/>
          <w:sz w:val="24"/>
          <w:szCs w:val="24"/>
        </w:rPr>
        <w:t xml:space="preserve"> August 2015.</w:t>
      </w:r>
      <w:r w:rsidR="000E7097">
        <w:rPr>
          <w:rFonts w:ascii="Arial" w:hAnsi="Arial" w:cs="Arial"/>
          <w:sz w:val="24"/>
          <w:szCs w:val="24"/>
        </w:rPr>
        <w:t xml:space="preserve"> </w:t>
      </w:r>
      <w:r w:rsidRPr="00D7499F">
        <w:rPr>
          <w:rFonts w:ascii="Arial" w:hAnsi="Arial" w:cs="Arial"/>
          <w:sz w:val="24"/>
          <w:szCs w:val="24"/>
        </w:rPr>
        <w:t>The financial information referenced in this announcement is not</w:t>
      </w:r>
      <w:r w:rsidRPr="00506D26">
        <w:rPr>
          <w:rFonts w:ascii="Arial" w:hAnsi="Arial" w:cs="Arial"/>
          <w:sz w:val="24"/>
          <w:szCs w:val="24"/>
        </w:rPr>
        <w:t xml:space="preserve"> audited and does not contain sufficient detail to allow a full understanding of the results of the group.  Nothing in this announcement should be construed as either an offer or invitation to sell or any offering of securities or any invitation or inducement to any person to underwrite, subscribe for or otherwise acquire securities in any company within the group or an invitation or inducement to engage in investment activity under section 21 of the Financial Services and Markets Act 2000 (as amended).</w:t>
      </w:r>
      <w:r w:rsidRPr="00506D26">
        <w:rPr>
          <w:sz w:val="24"/>
          <w:szCs w:val="24"/>
        </w:rPr>
        <w:t xml:space="preserve"> </w:t>
      </w:r>
    </w:p>
    <w:p w14:paraId="4656293A" w14:textId="77777777" w:rsidR="003A298D" w:rsidRPr="00506D26" w:rsidRDefault="003A298D" w:rsidP="003A298D">
      <w:pPr>
        <w:jc w:val="left"/>
        <w:rPr>
          <w:rFonts w:ascii="Arial" w:hAnsi="Arial" w:cs="Arial"/>
          <w:sz w:val="24"/>
          <w:szCs w:val="24"/>
        </w:rPr>
      </w:pPr>
      <w:r w:rsidRPr="00506D26">
        <w:rPr>
          <w:rFonts w:ascii="Arial" w:hAnsi="Arial" w:cs="Arial"/>
          <w:sz w:val="24"/>
          <w:szCs w:val="24"/>
        </w:rPr>
        <w:t xml:space="preserve">Certain information contained in this announcement may constitute “forward-looking statements” (including within the meaning of the safe harbour provisions of the United States Private Securities Litigation Reform Act of 1995), which can be identified by the use of terms such as “may”, “will”, “would”, “could”, “should”, “expect”, “anticipate”, “project”, “estimate”, “intend”, “continue,” “target”, “plan”, “goal”, “aim” or “believe” (or the negatives thereof) or other variations thereon or comparable terminology. These forward-looking statements include all matters that are not historical facts and include statements regarding the Company’s intentions, beliefs or current expectations concerning, among other things, the Company’s results of operations, financial condition, changes in tax rates, liquidity, prospects, growth and strategies. </w:t>
      </w:r>
      <w:r w:rsidRPr="00506D26">
        <w:rPr>
          <w:rFonts w:ascii="Arial" w:hAnsi="Arial" w:cs="Arial"/>
          <w:i/>
          <w:iCs/>
          <w:sz w:val="24"/>
          <w:szCs w:val="24"/>
        </w:rPr>
        <w:t xml:space="preserve"> </w:t>
      </w:r>
      <w:r w:rsidRPr="00506D26">
        <w:rPr>
          <w:rFonts w:ascii="Arial" w:hAnsi="Arial" w:cs="Arial"/>
          <w:sz w:val="24"/>
          <w:szCs w:val="24"/>
        </w:rPr>
        <w:t>By their nature, forward-looking statements involve risks, assumptions and uncertainties that could cause actual events or results or actual performance of the Company to differ materially from those reflected or contemplated in such forward-looking statements. No representation or warranty is made as to the achievement or reasonableness of and no reliance should be placed on such forward-looking statements.</w:t>
      </w:r>
    </w:p>
    <w:p w14:paraId="72787ED1" w14:textId="77777777" w:rsidR="003A298D" w:rsidRPr="00506D26" w:rsidRDefault="003A298D" w:rsidP="003A298D">
      <w:pPr>
        <w:jc w:val="left"/>
        <w:rPr>
          <w:rFonts w:ascii="Arial" w:hAnsi="Arial" w:cs="Arial"/>
          <w:sz w:val="24"/>
          <w:szCs w:val="24"/>
        </w:rPr>
      </w:pPr>
    </w:p>
    <w:p w14:paraId="13A61595" w14:textId="77777777" w:rsidR="003A298D" w:rsidRPr="00506D26" w:rsidRDefault="003A298D" w:rsidP="003A298D">
      <w:pPr>
        <w:jc w:val="left"/>
        <w:rPr>
          <w:rFonts w:ascii="Arial" w:hAnsi="Arial" w:cs="Arial"/>
          <w:sz w:val="24"/>
          <w:szCs w:val="24"/>
        </w:rPr>
      </w:pPr>
      <w:r w:rsidRPr="00506D26">
        <w:rPr>
          <w:rFonts w:ascii="Arial" w:hAnsi="Arial" w:cs="Arial"/>
          <w:sz w:val="24"/>
          <w:szCs w:val="24"/>
        </w:rPr>
        <w:t>The Company does not undertake any obligation to update or revise any forward-looking statement to reflect any change in circumstances or in the Company’s expectations.</w:t>
      </w:r>
    </w:p>
    <w:p w14:paraId="6596C021" w14:textId="77777777" w:rsidR="003A298D" w:rsidRPr="00506D26" w:rsidRDefault="003A298D" w:rsidP="003A298D">
      <w:pPr>
        <w:spacing w:after="240"/>
        <w:jc w:val="left"/>
        <w:rPr>
          <w:rFonts w:cs="Times New Roman"/>
          <w:sz w:val="24"/>
          <w:szCs w:val="24"/>
        </w:rPr>
      </w:pPr>
    </w:p>
    <w:p w14:paraId="3AE69977" w14:textId="372D3E47" w:rsidR="00181E03" w:rsidRPr="00506D26" w:rsidRDefault="00181E03" w:rsidP="003A298D">
      <w:pPr>
        <w:jc w:val="left"/>
        <w:rPr>
          <w:rFonts w:cs="Times New Roman"/>
          <w:sz w:val="24"/>
          <w:szCs w:val="24"/>
        </w:rPr>
      </w:pPr>
    </w:p>
    <w:sectPr w:rsidR="00181E03" w:rsidRPr="00506D26" w:rsidSect="00BB74AF">
      <w:headerReference w:type="even" r:id="rId17"/>
      <w:headerReference w:type="default" r:id="rId18"/>
      <w:footerReference w:type="default" r:id="rId19"/>
      <w:headerReference w:type="first" r:id="rId20"/>
      <w:type w:val="continuous"/>
      <w:pgSz w:w="11909" w:h="16834" w:code="9"/>
      <w:pgMar w:top="1077" w:right="1134" w:bottom="720" w:left="1134" w:header="113"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0ADB9" w14:textId="77777777" w:rsidR="004D59CE" w:rsidRDefault="004D59CE">
      <w:pPr>
        <w:rPr>
          <w:rFonts w:cs="Times New Roman"/>
        </w:rPr>
      </w:pPr>
      <w:r>
        <w:rPr>
          <w:rFonts w:cs="Times New Roman"/>
        </w:rPr>
        <w:separator/>
      </w:r>
    </w:p>
  </w:endnote>
  <w:endnote w:type="continuationSeparator" w:id="0">
    <w:p w14:paraId="00D15255" w14:textId="77777777" w:rsidR="004D59CE" w:rsidRDefault="004D59C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Univers">
    <w:altName w:val="Arial"/>
    <w:panose1 w:val="00000000000000000000"/>
    <w:charset w:val="00"/>
    <w:family w:val="swiss"/>
    <w:notTrueType/>
    <w:pitch w:val="variable"/>
    <w:sig w:usb0="00000003" w:usb1="00000000" w:usb2="00000000" w:usb3="00000000" w:csb0="00000001" w:csb1="00000000"/>
  </w:font>
  <w:font w:name="ZapfCalligr BT">
    <w:altName w:val="Palatino Linotype"/>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35">
    <w:altName w:val="Avenir 35"/>
    <w:panose1 w:val="00000000000000000000"/>
    <w:charset w:val="00"/>
    <w:family w:val="swiss"/>
    <w:notTrueType/>
    <w:pitch w:val="default"/>
    <w:sig w:usb0="00000003" w:usb1="00000000" w:usb2="00000000" w:usb3="00000000" w:csb0="00000001" w:csb1="00000000"/>
  </w:font>
  <w:font w:name="Trade Gothic LT Std Light">
    <w:altName w:val="Courier New"/>
    <w:panose1 w:val="00000000000000000000"/>
    <w:charset w:val="00"/>
    <w:family w:val="modern"/>
    <w:notTrueType/>
    <w:pitch w:val="variable"/>
    <w:sig w:usb0="800000AF" w:usb1="4000204A" w:usb2="00000000" w:usb3="00000000" w:csb0="00000001" w:csb1="00000000"/>
  </w:font>
  <w:font w:name="Trade Gothic LT Std Bold">
    <w:altName w:val="Courier New"/>
    <w:panose1 w:val="00000000000000000000"/>
    <w:charset w:val="00"/>
    <w:family w:val="modern"/>
    <w:notTrueType/>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8157898"/>
      <w:docPartObj>
        <w:docPartGallery w:val="Page Numbers (Bottom of Page)"/>
        <w:docPartUnique/>
      </w:docPartObj>
    </w:sdtPr>
    <w:sdtEndPr>
      <w:rPr>
        <w:noProof/>
      </w:rPr>
    </w:sdtEndPr>
    <w:sdtContent>
      <w:p w14:paraId="458AAD36" w14:textId="77777777" w:rsidR="004D59CE" w:rsidRDefault="004D59CE">
        <w:pPr>
          <w:pStyle w:val="Footer"/>
          <w:jc w:val="right"/>
        </w:pPr>
        <w:r>
          <w:fldChar w:fldCharType="begin"/>
        </w:r>
        <w:r>
          <w:instrText xml:space="preserve"> PAGE   \* MERGEFORMAT </w:instrText>
        </w:r>
        <w:r>
          <w:fldChar w:fldCharType="separate"/>
        </w:r>
        <w:r w:rsidR="00475E3C">
          <w:rPr>
            <w:noProof/>
          </w:rPr>
          <w:t>23</w:t>
        </w:r>
        <w:r>
          <w:rPr>
            <w:noProof/>
          </w:rPr>
          <w:fldChar w:fldCharType="end"/>
        </w:r>
      </w:p>
    </w:sdtContent>
  </w:sdt>
  <w:p w14:paraId="7423D219" w14:textId="77777777" w:rsidR="004D59CE" w:rsidRPr="00930C11" w:rsidRDefault="004D59CE" w:rsidP="00965768">
    <w:pPr>
      <w:pStyle w:val="Footer"/>
      <w:ind w:right="360"/>
      <w:rPr>
        <w:rFonts w:ascii="Arial" w:hAnsi="Arial" w:cs="Arial"/>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A462B" w14:textId="77777777" w:rsidR="004D59CE" w:rsidRDefault="004D59CE">
      <w:pPr>
        <w:rPr>
          <w:rFonts w:cs="Times New Roman"/>
        </w:rPr>
      </w:pPr>
      <w:r>
        <w:rPr>
          <w:rFonts w:cs="Times New Roman"/>
        </w:rPr>
        <w:separator/>
      </w:r>
    </w:p>
  </w:footnote>
  <w:footnote w:type="continuationSeparator" w:id="0">
    <w:p w14:paraId="3956DDF2" w14:textId="77777777" w:rsidR="004D59CE" w:rsidRDefault="004D59CE">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262E6" w14:textId="0B5E6710" w:rsidR="004D59CE" w:rsidRDefault="004D59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9E616" w14:textId="3FA47BE6" w:rsidR="004D59CE" w:rsidRDefault="004D59CE">
    <w:pPr>
      <w:pStyle w:val="Header"/>
      <w:rPr>
        <w:rFonts w:ascii="Arial" w:hAnsi="Arial" w:cs="Arial"/>
        <w:sz w:val="20"/>
        <w:szCs w:val="20"/>
      </w:rPr>
    </w:pPr>
  </w:p>
  <w:p w14:paraId="51919458" w14:textId="66952D7A" w:rsidR="004D59CE" w:rsidRPr="00341E1C" w:rsidRDefault="004D59CE" w:rsidP="006E1748">
    <w:pPr>
      <w:pStyle w:val="Header"/>
      <w:jc w:val="center"/>
    </w:pPr>
    <w:r>
      <w:rPr>
        <w:noProof/>
      </w:rPr>
      <w:drawing>
        <wp:inline distT="0" distB="0" distL="0" distR="0" wp14:anchorId="7D377ADA" wp14:editId="5FA8AC83">
          <wp:extent cx="2066925" cy="586740"/>
          <wp:effectExtent l="0" t="0" r="9525" b="381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2066925" cy="58674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ECE4F" w14:textId="41AFABCB" w:rsidR="004D59CE" w:rsidRDefault="004D59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3A9C0444"/>
    <w:lvl w:ilvl="0">
      <w:start w:val="1"/>
      <w:numFmt w:val="bullet"/>
      <w:pStyle w:val="ListBullet4"/>
      <w:lvlText w:val=""/>
      <w:lvlJc w:val="left"/>
      <w:pPr>
        <w:tabs>
          <w:tab w:val="num" w:pos="1440"/>
        </w:tabs>
        <w:ind w:left="1440" w:hanging="360"/>
      </w:pPr>
      <w:rPr>
        <w:rFonts w:ascii="Symbol" w:hAnsi="Symbol" w:hint="default"/>
        <w:lang w:val="en-GB"/>
      </w:rPr>
    </w:lvl>
  </w:abstractNum>
  <w:abstractNum w:abstractNumId="1">
    <w:nsid w:val="01106264"/>
    <w:multiLevelType w:val="hybridMultilevel"/>
    <w:tmpl w:val="C92C29CE"/>
    <w:lvl w:ilvl="0" w:tplc="21008480">
      <w:start w:val="1"/>
      <w:numFmt w:val="bullet"/>
      <w:lvlText w:val=""/>
      <w:lvlJc w:val="left"/>
      <w:pPr>
        <w:tabs>
          <w:tab w:val="num" w:pos="720"/>
        </w:tabs>
        <w:ind w:left="720" w:hanging="360"/>
      </w:pPr>
      <w:rPr>
        <w:rFonts w:ascii="Wingdings" w:hAnsi="Wingdings" w:hint="default"/>
      </w:rPr>
    </w:lvl>
    <w:lvl w:ilvl="1" w:tplc="965E0032" w:tentative="1">
      <w:start w:val="1"/>
      <w:numFmt w:val="bullet"/>
      <w:lvlText w:val=""/>
      <w:lvlJc w:val="left"/>
      <w:pPr>
        <w:tabs>
          <w:tab w:val="num" w:pos="1440"/>
        </w:tabs>
        <w:ind w:left="1440" w:hanging="360"/>
      </w:pPr>
      <w:rPr>
        <w:rFonts w:ascii="Wingdings" w:hAnsi="Wingdings" w:hint="default"/>
      </w:rPr>
    </w:lvl>
    <w:lvl w:ilvl="2" w:tplc="D546743E" w:tentative="1">
      <w:start w:val="1"/>
      <w:numFmt w:val="bullet"/>
      <w:lvlText w:val=""/>
      <w:lvlJc w:val="left"/>
      <w:pPr>
        <w:tabs>
          <w:tab w:val="num" w:pos="2160"/>
        </w:tabs>
        <w:ind w:left="2160" w:hanging="360"/>
      </w:pPr>
      <w:rPr>
        <w:rFonts w:ascii="Wingdings" w:hAnsi="Wingdings" w:hint="default"/>
      </w:rPr>
    </w:lvl>
    <w:lvl w:ilvl="3" w:tplc="D4EAC0F4" w:tentative="1">
      <w:start w:val="1"/>
      <w:numFmt w:val="bullet"/>
      <w:lvlText w:val=""/>
      <w:lvlJc w:val="left"/>
      <w:pPr>
        <w:tabs>
          <w:tab w:val="num" w:pos="2880"/>
        </w:tabs>
        <w:ind w:left="2880" w:hanging="360"/>
      </w:pPr>
      <w:rPr>
        <w:rFonts w:ascii="Wingdings" w:hAnsi="Wingdings" w:hint="default"/>
      </w:rPr>
    </w:lvl>
    <w:lvl w:ilvl="4" w:tplc="D9F63188" w:tentative="1">
      <w:start w:val="1"/>
      <w:numFmt w:val="bullet"/>
      <w:lvlText w:val=""/>
      <w:lvlJc w:val="left"/>
      <w:pPr>
        <w:tabs>
          <w:tab w:val="num" w:pos="3600"/>
        </w:tabs>
        <w:ind w:left="3600" w:hanging="360"/>
      </w:pPr>
      <w:rPr>
        <w:rFonts w:ascii="Wingdings" w:hAnsi="Wingdings" w:hint="default"/>
      </w:rPr>
    </w:lvl>
    <w:lvl w:ilvl="5" w:tplc="AADC5B32" w:tentative="1">
      <w:start w:val="1"/>
      <w:numFmt w:val="bullet"/>
      <w:lvlText w:val=""/>
      <w:lvlJc w:val="left"/>
      <w:pPr>
        <w:tabs>
          <w:tab w:val="num" w:pos="4320"/>
        </w:tabs>
        <w:ind w:left="4320" w:hanging="360"/>
      </w:pPr>
      <w:rPr>
        <w:rFonts w:ascii="Wingdings" w:hAnsi="Wingdings" w:hint="default"/>
      </w:rPr>
    </w:lvl>
    <w:lvl w:ilvl="6" w:tplc="F260CDB8" w:tentative="1">
      <w:start w:val="1"/>
      <w:numFmt w:val="bullet"/>
      <w:lvlText w:val=""/>
      <w:lvlJc w:val="left"/>
      <w:pPr>
        <w:tabs>
          <w:tab w:val="num" w:pos="5040"/>
        </w:tabs>
        <w:ind w:left="5040" w:hanging="360"/>
      </w:pPr>
      <w:rPr>
        <w:rFonts w:ascii="Wingdings" w:hAnsi="Wingdings" w:hint="default"/>
      </w:rPr>
    </w:lvl>
    <w:lvl w:ilvl="7" w:tplc="8944681E" w:tentative="1">
      <w:start w:val="1"/>
      <w:numFmt w:val="bullet"/>
      <w:lvlText w:val=""/>
      <w:lvlJc w:val="left"/>
      <w:pPr>
        <w:tabs>
          <w:tab w:val="num" w:pos="5760"/>
        </w:tabs>
        <w:ind w:left="5760" w:hanging="360"/>
      </w:pPr>
      <w:rPr>
        <w:rFonts w:ascii="Wingdings" w:hAnsi="Wingdings" w:hint="default"/>
      </w:rPr>
    </w:lvl>
    <w:lvl w:ilvl="8" w:tplc="D4D20520" w:tentative="1">
      <w:start w:val="1"/>
      <w:numFmt w:val="bullet"/>
      <w:lvlText w:val=""/>
      <w:lvlJc w:val="left"/>
      <w:pPr>
        <w:tabs>
          <w:tab w:val="num" w:pos="6480"/>
        </w:tabs>
        <w:ind w:left="6480" w:hanging="360"/>
      </w:pPr>
      <w:rPr>
        <w:rFonts w:ascii="Wingdings" w:hAnsi="Wingdings" w:hint="default"/>
      </w:rPr>
    </w:lvl>
  </w:abstractNum>
  <w:abstractNum w:abstractNumId="2">
    <w:nsid w:val="016A77ED"/>
    <w:multiLevelType w:val="hybridMultilevel"/>
    <w:tmpl w:val="FFD65E5A"/>
    <w:lvl w:ilvl="0" w:tplc="31DE82B8">
      <w:start w:val="1"/>
      <w:numFmt w:val="decimal"/>
      <w:lvlText w:val="%1."/>
      <w:lvlJc w:val="left"/>
      <w:pPr>
        <w:tabs>
          <w:tab w:val="num" w:pos="720"/>
        </w:tabs>
        <w:ind w:left="720" w:hanging="360"/>
      </w:pPr>
    </w:lvl>
    <w:lvl w:ilvl="1" w:tplc="39B2CCF8" w:tentative="1">
      <w:start w:val="1"/>
      <w:numFmt w:val="decimal"/>
      <w:lvlText w:val="%2."/>
      <w:lvlJc w:val="left"/>
      <w:pPr>
        <w:tabs>
          <w:tab w:val="num" w:pos="1440"/>
        </w:tabs>
        <w:ind w:left="1440" w:hanging="360"/>
      </w:pPr>
    </w:lvl>
    <w:lvl w:ilvl="2" w:tplc="C0889E46" w:tentative="1">
      <w:start w:val="1"/>
      <w:numFmt w:val="decimal"/>
      <w:lvlText w:val="%3."/>
      <w:lvlJc w:val="left"/>
      <w:pPr>
        <w:tabs>
          <w:tab w:val="num" w:pos="2160"/>
        </w:tabs>
        <w:ind w:left="2160" w:hanging="360"/>
      </w:pPr>
    </w:lvl>
    <w:lvl w:ilvl="3" w:tplc="524A5BAE" w:tentative="1">
      <w:start w:val="1"/>
      <w:numFmt w:val="decimal"/>
      <w:lvlText w:val="%4."/>
      <w:lvlJc w:val="left"/>
      <w:pPr>
        <w:tabs>
          <w:tab w:val="num" w:pos="2880"/>
        </w:tabs>
        <w:ind w:left="2880" w:hanging="360"/>
      </w:pPr>
    </w:lvl>
    <w:lvl w:ilvl="4" w:tplc="7BB89F6A" w:tentative="1">
      <w:start w:val="1"/>
      <w:numFmt w:val="decimal"/>
      <w:lvlText w:val="%5."/>
      <w:lvlJc w:val="left"/>
      <w:pPr>
        <w:tabs>
          <w:tab w:val="num" w:pos="3600"/>
        </w:tabs>
        <w:ind w:left="3600" w:hanging="360"/>
      </w:pPr>
    </w:lvl>
    <w:lvl w:ilvl="5" w:tplc="296A1180" w:tentative="1">
      <w:start w:val="1"/>
      <w:numFmt w:val="decimal"/>
      <w:lvlText w:val="%6."/>
      <w:lvlJc w:val="left"/>
      <w:pPr>
        <w:tabs>
          <w:tab w:val="num" w:pos="4320"/>
        </w:tabs>
        <w:ind w:left="4320" w:hanging="360"/>
      </w:pPr>
    </w:lvl>
    <w:lvl w:ilvl="6" w:tplc="A3183C4E" w:tentative="1">
      <w:start w:val="1"/>
      <w:numFmt w:val="decimal"/>
      <w:lvlText w:val="%7."/>
      <w:lvlJc w:val="left"/>
      <w:pPr>
        <w:tabs>
          <w:tab w:val="num" w:pos="5040"/>
        </w:tabs>
        <w:ind w:left="5040" w:hanging="360"/>
      </w:pPr>
    </w:lvl>
    <w:lvl w:ilvl="7" w:tplc="F63874DA" w:tentative="1">
      <w:start w:val="1"/>
      <w:numFmt w:val="decimal"/>
      <w:lvlText w:val="%8."/>
      <w:lvlJc w:val="left"/>
      <w:pPr>
        <w:tabs>
          <w:tab w:val="num" w:pos="5760"/>
        </w:tabs>
        <w:ind w:left="5760" w:hanging="360"/>
      </w:pPr>
    </w:lvl>
    <w:lvl w:ilvl="8" w:tplc="44E20630" w:tentative="1">
      <w:start w:val="1"/>
      <w:numFmt w:val="decimal"/>
      <w:lvlText w:val="%9."/>
      <w:lvlJc w:val="left"/>
      <w:pPr>
        <w:tabs>
          <w:tab w:val="num" w:pos="6480"/>
        </w:tabs>
        <w:ind w:left="6480" w:hanging="360"/>
      </w:pPr>
    </w:lvl>
  </w:abstractNum>
  <w:abstractNum w:abstractNumId="3">
    <w:nsid w:val="062F6DCB"/>
    <w:multiLevelType w:val="hybridMultilevel"/>
    <w:tmpl w:val="133E8994"/>
    <w:lvl w:ilvl="0" w:tplc="5F6065B2">
      <w:start w:val="1"/>
      <w:numFmt w:val="decimal"/>
      <w:lvlText w:val="(%1)"/>
      <w:lvlJc w:val="left"/>
      <w:pPr>
        <w:ind w:left="720" w:hanging="360"/>
      </w:pPr>
      <w:rPr>
        <w:rFonts w:hint="default"/>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5C2513"/>
    <w:multiLevelType w:val="hybridMultilevel"/>
    <w:tmpl w:val="65DAC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C36B01"/>
    <w:multiLevelType w:val="hybridMultilevel"/>
    <w:tmpl w:val="2A64B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8014C7"/>
    <w:multiLevelType w:val="hybridMultilevel"/>
    <w:tmpl w:val="734211C8"/>
    <w:lvl w:ilvl="0" w:tplc="8806E798">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C2135F"/>
    <w:multiLevelType w:val="hybridMultilevel"/>
    <w:tmpl w:val="C90C7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FC4C39"/>
    <w:multiLevelType w:val="hybridMultilevel"/>
    <w:tmpl w:val="B8004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2442CC"/>
    <w:multiLevelType w:val="hybridMultilevel"/>
    <w:tmpl w:val="F0801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0E5359B"/>
    <w:multiLevelType w:val="hybridMultilevel"/>
    <w:tmpl w:val="82882746"/>
    <w:lvl w:ilvl="0" w:tplc="29669A02">
      <w:start w:val="1"/>
      <w:numFmt w:val="bullet"/>
      <w:lvlText w:val="•"/>
      <w:lvlJc w:val="left"/>
      <w:pPr>
        <w:tabs>
          <w:tab w:val="num" w:pos="720"/>
        </w:tabs>
        <w:ind w:left="720" w:hanging="360"/>
      </w:pPr>
      <w:rPr>
        <w:rFonts w:ascii="Arial" w:hAnsi="Arial" w:hint="default"/>
      </w:rPr>
    </w:lvl>
    <w:lvl w:ilvl="1" w:tplc="ECC00E7E">
      <w:start w:val="1"/>
      <w:numFmt w:val="bullet"/>
      <w:lvlText w:val="•"/>
      <w:lvlJc w:val="left"/>
      <w:pPr>
        <w:tabs>
          <w:tab w:val="num" w:pos="1440"/>
        </w:tabs>
        <w:ind w:left="1440" w:hanging="360"/>
      </w:pPr>
      <w:rPr>
        <w:rFonts w:ascii="Arial" w:hAnsi="Arial" w:hint="default"/>
      </w:rPr>
    </w:lvl>
    <w:lvl w:ilvl="2" w:tplc="683A1004" w:tentative="1">
      <w:start w:val="1"/>
      <w:numFmt w:val="bullet"/>
      <w:lvlText w:val="•"/>
      <w:lvlJc w:val="left"/>
      <w:pPr>
        <w:tabs>
          <w:tab w:val="num" w:pos="2160"/>
        </w:tabs>
        <w:ind w:left="2160" w:hanging="360"/>
      </w:pPr>
      <w:rPr>
        <w:rFonts w:ascii="Arial" w:hAnsi="Arial" w:hint="default"/>
      </w:rPr>
    </w:lvl>
    <w:lvl w:ilvl="3" w:tplc="D730E624" w:tentative="1">
      <w:start w:val="1"/>
      <w:numFmt w:val="bullet"/>
      <w:lvlText w:val="•"/>
      <w:lvlJc w:val="left"/>
      <w:pPr>
        <w:tabs>
          <w:tab w:val="num" w:pos="2880"/>
        </w:tabs>
        <w:ind w:left="2880" w:hanging="360"/>
      </w:pPr>
      <w:rPr>
        <w:rFonts w:ascii="Arial" w:hAnsi="Arial" w:hint="default"/>
      </w:rPr>
    </w:lvl>
    <w:lvl w:ilvl="4" w:tplc="7A7692B0" w:tentative="1">
      <w:start w:val="1"/>
      <w:numFmt w:val="bullet"/>
      <w:lvlText w:val="•"/>
      <w:lvlJc w:val="left"/>
      <w:pPr>
        <w:tabs>
          <w:tab w:val="num" w:pos="3600"/>
        </w:tabs>
        <w:ind w:left="3600" w:hanging="360"/>
      </w:pPr>
      <w:rPr>
        <w:rFonts w:ascii="Arial" w:hAnsi="Arial" w:hint="default"/>
      </w:rPr>
    </w:lvl>
    <w:lvl w:ilvl="5" w:tplc="035AFF02" w:tentative="1">
      <w:start w:val="1"/>
      <w:numFmt w:val="bullet"/>
      <w:lvlText w:val="•"/>
      <w:lvlJc w:val="left"/>
      <w:pPr>
        <w:tabs>
          <w:tab w:val="num" w:pos="4320"/>
        </w:tabs>
        <w:ind w:left="4320" w:hanging="360"/>
      </w:pPr>
      <w:rPr>
        <w:rFonts w:ascii="Arial" w:hAnsi="Arial" w:hint="default"/>
      </w:rPr>
    </w:lvl>
    <w:lvl w:ilvl="6" w:tplc="A7586CC2" w:tentative="1">
      <w:start w:val="1"/>
      <w:numFmt w:val="bullet"/>
      <w:lvlText w:val="•"/>
      <w:lvlJc w:val="left"/>
      <w:pPr>
        <w:tabs>
          <w:tab w:val="num" w:pos="5040"/>
        </w:tabs>
        <w:ind w:left="5040" w:hanging="360"/>
      </w:pPr>
      <w:rPr>
        <w:rFonts w:ascii="Arial" w:hAnsi="Arial" w:hint="default"/>
      </w:rPr>
    </w:lvl>
    <w:lvl w:ilvl="7" w:tplc="CE9CC640" w:tentative="1">
      <w:start w:val="1"/>
      <w:numFmt w:val="bullet"/>
      <w:lvlText w:val="•"/>
      <w:lvlJc w:val="left"/>
      <w:pPr>
        <w:tabs>
          <w:tab w:val="num" w:pos="5760"/>
        </w:tabs>
        <w:ind w:left="5760" w:hanging="360"/>
      </w:pPr>
      <w:rPr>
        <w:rFonts w:ascii="Arial" w:hAnsi="Arial" w:hint="default"/>
      </w:rPr>
    </w:lvl>
    <w:lvl w:ilvl="8" w:tplc="16E6F6C2" w:tentative="1">
      <w:start w:val="1"/>
      <w:numFmt w:val="bullet"/>
      <w:lvlText w:val="•"/>
      <w:lvlJc w:val="left"/>
      <w:pPr>
        <w:tabs>
          <w:tab w:val="num" w:pos="6480"/>
        </w:tabs>
        <w:ind w:left="6480" w:hanging="360"/>
      </w:pPr>
      <w:rPr>
        <w:rFonts w:ascii="Arial" w:hAnsi="Arial" w:hint="default"/>
      </w:rPr>
    </w:lvl>
  </w:abstractNum>
  <w:abstractNum w:abstractNumId="11">
    <w:nsid w:val="238F5D74"/>
    <w:multiLevelType w:val="hybridMultilevel"/>
    <w:tmpl w:val="2AB0F004"/>
    <w:lvl w:ilvl="0" w:tplc="4FD05FAC">
      <w:start w:val="1"/>
      <w:numFmt w:val="bullet"/>
      <w:pStyle w:val="Bullets"/>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7BE61CD"/>
    <w:multiLevelType w:val="hybridMultilevel"/>
    <w:tmpl w:val="84DA1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324A67"/>
    <w:multiLevelType w:val="hybridMultilevel"/>
    <w:tmpl w:val="98B4B3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AE7997"/>
    <w:multiLevelType w:val="hybridMultilevel"/>
    <w:tmpl w:val="EA78A52C"/>
    <w:lvl w:ilvl="0" w:tplc="882C9CE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70C06D6"/>
    <w:multiLevelType w:val="hybridMultilevel"/>
    <w:tmpl w:val="6DF83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88392C"/>
    <w:multiLevelType w:val="hybridMultilevel"/>
    <w:tmpl w:val="FE1E5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4F5960"/>
    <w:multiLevelType w:val="hybridMultilevel"/>
    <w:tmpl w:val="2940D406"/>
    <w:lvl w:ilvl="0" w:tplc="08090001">
      <w:start w:val="1"/>
      <w:numFmt w:val="bullet"/>
      <w:lvlText w:val=""/>
      <w:lvlJc w:val="left"/>
      <w:pPr>
        <w:ind w:left="720" w:hanging="360"/>
      </w:pPr>
      <w:rPr>
        <w:rFonts w:ascii="Symbol" w:hAnsi="Symbo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E66CB0"/>
    <w:multiLevelType w:val="hybridMultilevel"/>
    <w:tmpl w:val="22B27A28"/>
    <w:lvl w:ilvl="0" w:tplc="17241C32">
      <w:start w:val="10"/>
      <w:numFmt w:val="bullet"/>
      <w:lvlText w:val="-"/>
      <w:lvlJc w:val="left"/>
      <w:pPr>
        <w:ind w:left="432" w:hanging="360"/>
      </w:pPr>
      <w:rPr>
        <w:rFonts w:ascii="Arial" w:eastAsia="Batang"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9">
    <w:nsid w:val="48F81838"/>
    <w:multiLevelType w:val="hybridMultilevel"/>
    <w:tmpl w:val="C130E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1E0A65"/>
    <w:multiLevelType w:val="hybridMultilevel"/>
    <w:tmpl w:val="724C3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72739BF"/>
    <w:multiLevelType w:val="hybridMultilevel"/>
    <w:tmpl w:val="3C481F76"/>
    <w:lvl w:ilvl="0" w:tplc="651C7084">
      <w:start w:val="1"/>
      <w:numFmt w:val="decimal"/>
      <w:lvlText w:val="%1)"/>
      <w:lvlJc w:val="left"/>
      <w:pPr>
        <w:ind w:left="720" w:hanging="360"/>
      </w:pPr>
      <w:rPr>
        <w:rFonts w:hint="default"/>
        <w:b w:val="0"/>
        <w:sz w:val="24"/>
        <w:szCs w:val="24"/>
      </w:rPr>
    </w:lvl>
    <w:lvl w:ilvl="1" w:tplc="738402EC">
      <w:start w:val="1"/>
      <w:numFmt w:val="bullet"/>
      <w:lvlText w:val="-"/>
      <w:lvlJc w:val="left"/>
      <w:pPr>
        <w:ind w:left="1440" w:hanging="360"/>
      </w:pPr>
      <w:rPr>
        <w:rFonts w:ascii="Univers" w:hAnsi="Univers"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2">
    <w:nsid w:val="58643212"/>
    <w:multiLevelType w:val="hybridMultilevel"/>
    <w:tmpl w:val="416ACE6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3">
    <w:nsid w:val="59A55947"/>
    <w:multiLevelType w:val="hybridMultilevel"/>
    <w:tmpl w:val="8362B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670A12"/>
    <w:multiLevelType w:val="hybridMultilevel"/>
    <w:tmpl w:val="E580F74C"/>
    <w:lvl w:ilvl="0" w:tplc="E1784E96">
      <w:start w:val="1"/>
      <w:numFmt w:val="bullet"/>
      <w:lvlText w:val="•"/>
      <w:lvlJc w:val="left"/>
      <w:pPr>
        <w:tabs>
          <w:tab w:val="num" w:pos="720"/>
        </w:tabs>
        <w:ind w:left="720" w:hanging="360"/>
      </w:pPr>
      <w:rPr>
        <w:rFonts w:ascii="Arial" w:hAnsi="Arial" w:hint="default"/>
      </w:rPr>
    </w:lvl>
    <w:lvl w:ilvl="1" w:tplc="3C2CC39C">
      <w:start w:val="1"/>
      <w:numFmt w:val="bullet"/>
      <w:lvlText w:val="•"/>
      <w:lvlJc w:val="left"/>
      <w:pPr>
        <w:tabs>
          <w:tab w:val="num" w:pos="1440"/>
        </w:tabs>
        <w:ind w:left="1440" w:hanging="360"/>
      </w:pPr>
      <w:rPr>
        <w:rFonts w:ascii="Arial" w:hAnsi="Arial" w:hint="default"/>
      </w:rPr>
    </w:lvl>
    <w:lvl w:ilvl="2" w:tplc="D1B8F52E">
      <w:start w:val="49"/>
      <w:numFmt w:val="bullet"/>
      <w:lvlText w:val="•"/>
      <w:lvlJc w:val="left"/>
      <w:pPr>
        <w:tabs>
          <w:tab w:val="num" w:pos="2160"/>
        </w:tabs>
        <w:ind w:left="2160" w:hanging="360"/>
      </w:pPr>
      <w:rPr>
        <w:rFonts w:ascii="Arial" w:hAnsi="Arial" w:hint="default"/>
      </w:rPr>
    </w:lvl>
    <w:lvl w:ilvl="3" w:tplc="A488880A">
      <w:start w:val="49"/>
      <w:numFmt w:val="bullet"/>
      <w:lvlText w:val="•"/>
      <w:lvlJc w:val="left"/>
      <w:pPr>
        <w:tabs>
          <w:tab w:val="num" w:pos="2880"/>
        </w:tabs>
        <w:ind w:left="2880" w:hanging="360"/>
      </w:pPr>
      <w:rPr>
        <w:rFonts w:ascii="Arial" w:hAnsi="Arial" w:hint="default"/>
      </w:rPr>
    </w:lvl>
    <w:lvl w:ilvl="4" w:tplc="4CCECCF8" w:tentative="1">
      <w:start w:val="1"/>
      <w:numFmt w:val="bullet"/>
      <w:lvlText w:val="•"/>
      <w:lvlJc w:val="left"/>
      <w:pPr>
        <w:tabs>
          <w:tab w:val="num" w:pos="3600"/>
        </w:tabs>
        <w:ind w:left="3600" w:hanging="360"/>
      </w:pPr>
      <w:rPr>
        <w:rFonts w:ascii="Arial" w:hAnsi="Arial" w:hint="default"/>
      </w:rPr>
    </w:lvl>
    <w:lvl w:ilvl="5" w:tplc="C7CA2988" w:tentative="1">
      <w:start w:val="1"/>
      <w:numFmt w:val="bullet"/>
      <w:lvlText w:val="•"/>
      <w:lvlJc w:val="left"/>
      <w:pPr>
        <w:tabs>
          <w:tab w:val="num" w:pos="4320"/>
        </w:tabs>
        <w:ind w:left="4320" w:hanging="360"/>
      </w:pPr>
      <w:rPr>
        <w:rFonts w:ascii="Arial" w:hAnsi="Arial" w:hint="default"/>
      </w:rPr>
    </w:lvl>
    <w:lvl w:ilvl="6" w:tplc="A516E890" w:tentative="1">
      <w:start w:val="1"/>
      <w:numFmt w:val="bullet"/>
      <w:lvlText w:val="•"/>
      <w:lvlJc w:val="left"/>
      <w:pPr>
        <w:tabs>
          <w:tab w:val="num" w:pos="5040"/>
        </w:tabs>
        <w:ind w:left="5040" w:hanging="360"/>
      </w:pPr>
      <w:rPr>
        <w:rFonts w:ascii="Arial" w:hAnsi="Arial" w:hint="default"/>
      </w:rPr>
    </w:lvl>
    <w:lvl w:ilvl="7" w:tplc="9AA080D2" w:tentative="1">
      <w:start w:val="1"/>
      <w:numFmt w:val="bullet"/>
      <w:lvlText w:val="•"/>
      <w:lvlJc w:val="left"/>
      <w:pPr>
        <w:tabs>
          <w:tab w:val="num" w:pos="5760"/>
        </w:tabs>
        <w:ind w:left="5760" w:hanging="360"/>
      </w:pPr>
      <w:rPr>
        <w:rFonts w:ascii="Arial" w:hAnsi="Arial" w:hint="default"/>
      </w:rPr>
    </w:lvl>
    <w:lvl w:ilvl="8" w:tplc="85324350" w:tentative="1">
      <w:start w:val="1"/>
      <w:numFmt w:val="bullet"/>
      <w:lvlText w:val="•"/>
      <w:lvlJc w:val="left"/>
      <w:pPr>
        <w:tabs>
          <w:tab w:val="num" w:pos="6480"/>
        </w:tabs>
        <w:ind w:left="6480" w:hanging="360"/>
      </w:pPr>
      <w:rPr>
        <w:rFonts w:ascii="Arial" w:hAnsi="Arial" w:hint="default"/>
      </w:rPr>
    </w:lvl>
  </w:abstractNum>
  <w:abstractNum w:abstractNumId="25">
    <w:nsid w:val="62301D28"/>
    <w:multiLevelType w:val="hybridMultilevel"/>
    <w:tmpl w:val="98B04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F46E15"/>
    <w:multiLevelType w:val="hybridMultilevel"/>
    <w:tmpl w:val="C5CEF8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80A04AE"/>
    <w:multiLevelType w:val="hybridMultilevel"/>
    <w:tmpl w:val="7A743BBE"/>
    <w:lvl w:ilvl="0" w:tplc="600079A8">
      <w:start w:val="1"/>
      <w:numFmt w:val="bullet"/>
      <w:lvlText w:val=""/>
      <w:lvlJc w:val="left"/>
      <w:pPr>
        <w:tabs>
          <w:tab w:val="num" w:pos="720"/>
        </w:tabs>
        <w:ind w:left="720" w:hanging="360"/>
      </w:pPr>
      <w:rPr>
        <w:rFonts w:ascii="Wingdings" w:hAnsi="Wingdings" w:hint="default"/>
      </w:rPr>
    </w:lvl>
    <w:lvl w:ilvl="1" w:tplc="B0CCF282">
      <w:start w:val="1"/>
      <w:numFmt w:val="bullet"/>
      <w:lvlText w:val=""/>
      <w:lvlJc w:val="left"/>
      <w:pPr>
        <w:tabs>
          <w:tab w:val="num" w:pos="1440"/>
        </w:tabs>
        <w:ind w:left="1440" w:hanging="360"/>
      </w:pPr>
      <w:rPr>
        <w:rFonts w:ascii="Wingdings" w:hAnsi="Wingdings" w:hint="default"/>
      </w:rPr>
    </w:lvl>
    <w:lvl w:ilvl="2" w:tplc="F022F782" w:tentative="1">
      <w:start w:val="1"/>
      <w:numFmt w:val="bullet"/>
      <w:lvlText w:val=""/>
      <w:lvlJc w:val="left"/>
      <w:pPr>
        <w:tabs>
          <w:tab w:val="num" w:pos="2160"/>
        </w:tabs>
        <w:ind w:left="2160" w:hanging="360"/>
      </w:pPr>
      <w:rPr>
        <w:rFonts w:ascii="Wingdings" w:hAnsi="Wingdings" w:hint="default"/>
      </w:rPr>
    </w:lvl>
    <w:lvl w:ilvl="3" w:tplc="BF98CEFC" w:tentative="1">
      <w:start w:val="1"/>
      <w:numFmt w:val="bullet"/>
      <w:lvlText w:val=""/>
      <w:lvlJc w:val="left"/>
      <w:pPr>
        <w:tabs>
          <w:tab w:val="num" w:pos="2880"/>
        </w:tabs>
        <w:ind w:left="2880" w:hanging="360"/>
      </w:pPr>
      <w:rPr>
        <w:rFonts w:ascii="Wingdings" w:hAnsi="Wingdings" w:hint="default"/>
      </w:rPr>
    </w:lvl>
    <w:lvl w:ilvl="4" w:tplc="19BA3BC2" w:tentative="1">
      <w:start w:val="1"/>
      <w:numFmt w:val="bullet"/>
      <w:lvlText w:val=""/>
      <w:lvlJc w:val="left"/>
      <w:pPr>
        <w:tabs>
          <w:tab w:val="num" w:pos="3600"/>
        </w:tabs>
        <w:ind w:left="3600" w:hanging="360"/>
      </w:pPr>
      <w:rPr>
        <w:rFonts w:ascii="Wingdings" w:hAnsi="Wingdings" w:hint="default"/>
      </w:rPr>
    </w:lvl>
    <w:lvl w:ilvl="5" w:tplc="01ACA206" w:tentative="1">
      <w:start w:val="1"/>
      <w:numFmt w:val="bullet"/>
      <w:lvlText w:val=""/>
      <w:lvlJc w:val="left"/>
      <w:pPr>
        <w:tabs>
          <w:tab w:val="num" w:pos="4320"/>
        </w:tabs>
        <w:ind w:left="4320" w:hanging="360"/>
      </w:pPr>
      <w:rPr>
        <w:rFonts w:ascii="Wingdings" w:hAnsi="Wingdings" w:hint="default"/>
      </w:rPr>
    </w:lvl>
    <w:lvl w:ilvl="6" w:tplc="446EAD1E" w:tentative="1">
      <w:start w:val="1"/>
      <w:numFmt w:val="bullet"/>
      <w:lvlText w:val=""/>
      <w:lvlJc w:val="left"/>
      <w:pPr>
        <w:tabs>
          <w:tab w:val="num" w:pos="5040"/>
        </w:tabs>
        <w:ind w:left="5040" w:hanging="360"/>
      </w:pPr>
      <w:rPr>
        <w:rFonts w:ascii="Wingdings" w:hAnsi="Wingdings" w:hint="default"/>
      </w:rPr>
    </w:lvl>
    <w:lvl w:ilvl="7" w:tplc="DEC820F4" w:tentative="1">
      <w:start w:val="1"/>
      <w:numFmt w:val="bullet"/>
      <w:lvlText w:val=""/>
      <w:lvlJc w:val="left"/>
      <w:pPr>
        <w:tabs>
          <w:tab w:val="num" w:pos="5760"/>
        </w:tabs>
        <w:ind w:left="5760" w:hanging="360"/>
      </w:pPr>
      <w:rPr>
        <w:rFonts w:ascii="Wingdings" w:hAnsi="Wingdings" w:hint="default"/>
      </w:rPr>
    </w:lvl>
    <w:lvl w:ilvl="8" w:tplc="8224343E" w:tentative="1">
      <w:start w:val="1"/>
      <w:numFmt w:val="bullet"/>
      <w:lvlText w:val=""/>
      <w:lvlJc w:val="left"/>
      <w:pPr>
        <w:tabs>
          <w:tab w:val="num" w:pos="6480"/>
        </w:tabs>
        <w:ind w:left="6480" w:hanging="360"/>
      </w:pPr>
      <w:rPr>
        <w:rFonts w:ascii="Wingdings" w:hAnsi="Wingdings" w:hint="default"/>
      </w:rPr>
    </w:lvl>
  </w:abstractNum>
  <w:abstractNum w:abstractNumId="28">
    <w:nsid w:val="68746B20"/>
    <w:multiLevelType w:val="hybridMultilevel"/>
    <w:tmpl w:val="33584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A6F7D67"/>
    <w:multiLevelType w:val="hybridMultilevel"/>
    <w:tmpl w:val="64FA4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6E164B8"/>
    <w:multiLevelType w:val="hybridMultilevel"/>
    <w:tmpl w:val="47A4C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DD05AAC"/>
    <w:multiLevelType w:val="hybridMultilevel"/>
    <w:tmpl w:val="83523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0"/>
  </w:num>
  <w:num w:numId="4">
    <w:abstractNumId w:val="4"/>
  </w:num>
  <w:num w:numId="5">
    <w:abstractNumId w:val="31"/>
  </w:num>
  <w:num w:numId="6">
    <w:abstractNumId w:val="2"/>
  </w:num>
  <w:num w:numId="7">
    <w:abstractNumId w:val="14"/>
  </w:num>
  <w:num w:numId="8">
    <w:abstractNumId w:val="13"/>
  </w:num>
  <w:num w:numId="9">
    <w:abstractNumId w:val="17"/>
  </w:num>
  <w:num w:numId="10">
    <w:abstractNumId w:val="25"/>
  </w:num>
  <w:num w:numId="11">
    <w:abstractNumId w:val="18"/>
  </w:num>
  <w:num w:numId="12">
    <w:abstractNumId w:val="15"/>
  </w:num>
  <w:num w:numId="13">
    <w:abstractNumId w:val="7"/>
  </w:num>
  <w:num w:numId="14">
    <w:abstractNumId w:val="5"/>
  </w:num>
  <w:num w:numId="15">
    <w:abstractNumId w:val="8"/>
  </w:num>
  <w:num w:numId="16">
    <w:abstractNumId w:val="1"/>
  </w:num>
  <w:num w:numId="17">
    <w:abstractNumId w:val="26"/>
  </w:num>
  <w:num w:numId="18">
    <w:abstractNumId w:val="23"/>
  </w:num>
  <w:num w:numId="19">
    <w:abstractNumId w:val="16"/>
  </w:num>
  <w:num w:numId="20">
    <w:abstractNumId w:val="22"/>
  </w:num>
  <w:num w:numId="21">
    <w:abstractNumId w:val="10"/>
  </w:num>
  <w:num w:numId="22">
    <w:abstractNumId w:val="24"/>
  </w:num>
  <w:num w:numId="23">
    <w:abstractNumId w:val="6"/>
  </w:num>
  <w:num w:numId="24">
    <w:abstractNumId w:val="30"/>
  </w:num>
  <w:num w:numId="25">
    <w:abstractNumId w:val="19"/>
  </w:num>
  <w:num w:numId="26">
    <w:abstractNumId w:val="12"/>
  </w:num>
  <w:num w:numId="27">
    <w:abstractNumId w:val="27"/>
  </w:num>
  <w:num w:numId="28">
    <w:abstractNumId w:val="28"/>
  </w:num>
  <w:num w:numId="29">
    <w:abstractNumId w:val="9"/>
  </w:num>
  <w:num w:numId="30">
    <w:abstractNumId w:val="20"/>
  </w:num>
  <w:num w:numId="31">
    <w:abstractNumId w:val="3"/>
  </w:num>
  <w:num w:numId="32">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trackRevisions/>
  <w:defaultTabStop w:val="720"/>
  <w:doNotHyphenateCaps/>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69"/>
    <w:rsid w:val="0000047F"/>
    <w:rsid w:val="000006D2"/>
    <w:rsid w:val="00000FE7"/>
    <w:rsid w:val="000012DD"/>
    <w:rsid w:val="0000154D"/>
    <w:rsid w:val="000015BF"/>
    <w:rsid w:val="00001E1A"/>
    <w:rsid w:val="000026D0"/>
    <w:rsid w:val="00002DFA"/>
    <w:rsid w:val="00002F27"/>
    <w:rsid w:val="0000303B"/>
    <w:rsid w:val="000034A6"/>
    <w:rsid w:val="00003A9F"/>
    <w:rsid w:val="00003FF5"/>
    <w:rsid w:val="0000423D"/>
    <w:rsid w:val="000045F9"/>
    <w:rsid w:val="000047E4"/>
    <w:rsid w:val="00005607"/>
    <w:rsid w:val="00006863"/>
    <w:rsid w:val="00006B3B"/>
    <w:rsid w:val="00006C01"/>
    <w:rsid w:val="00006F66"/>
    <w:rsid w:val="00007058"/>
    <w:rsid w:val="000077C7"/>
    <w:rsid w:val="00007BD0"/>
    <w:rsid w:val="0001042A"/>
    <w:rsid w:val="00010672"/>
    <w:rsid w:val="000109D7"/>
    <w:rsid w:val="00010EC9"/>
    <w:rsid w:val="00011491"/>
    <w:rsid w:val="000119D5"/>
    <w:rsid w:val="00012085"/>
    <w:rsid w:val="000125AC"/>
    <w:rsid w:val="00012C17"/>
    <w:rsid w:val="00012FF2"/>
    <w:rsid w:val="00013174"/>
    <w:rsid w:val="000138C0"/>
    <w:rsid w:val="00013A12"/>
    <w:rsid w:val="00013AD9"/>
    <w:rsid w:val="00013BFF"/>
    <w:rsid w:val="00014458"/>
    <w:rsid w:val="00014608"/>
    <w:rsid w:val="000147F4"/>
    <w:rsid w:val="00014AB9"/>
    <w:rsid w:val="00014C8E"/>
    <w:rsid w:val="00014F94"/>
    <w:rsid w:val="00015283"/>
    <w:rsid w:val="000156C2"/>
    <w:rsid w:val="00015B14"/>
    <w:rsid w:val="00016C9C"/>
    <w:rsid w:val="00016E58"/>
    <w:rsid w:val="0001743F"/>
    <w:rsid w:val="00020047"/>
    <w:rsid w:val="000206F6"/>
    <w:rsid w:val="00020713"/>
    <w:rsid w:val="00020B7F"/>
    <w:rsid w:val="00020DCF"/>
    <w:rsid w:val="0002185E"/>
    <w:rsid w:val="00021ADE"/>
    <w:rsid w:val="00021E77"/>
    <w:rsid w:val="00021FC5"/>
    <w:rsid w:val="00021FCA"/>
    <w:rsid w:val="00022100"/>
    <w:rsid w:val="000221CC"/>
    <w:rsid w:val="00022456"/>
    <w:rsid w:val="00023169"/>
    <w:rsid w:val="000232E9"/>
    <w:rsid w:val="000234FE"/>
    <w:rsid w:val="0002395F"/>
    <w:rsid w:val="00023E6F"/>
    <w:rsid w:val="00024CBC"/>
    <w:rsid w:val="00025399"/>
    <w:rsid w:val="00025774"/>
    <w:rsid w:val="000261CC"/>
    <w:rsid w:val="00026714"/>
    <w:rsid w:val="00026977"/>
    <w:rsid w:val="00027085"/>
    <w:rsid w:val="00027B8D"/>
    <w:rsid w:val="00027E09"/>
    <w:rsid w:val="000300B8"/>
    <w:rsid w:val="0003078B"/>
    <w:rsid w:val="00030D76"/>
    <w:rsid w:val="00030DEB"/>
    <w:rsid w:val="00030F90"/>
    <w:rsid w:val="00031334"/>
    <w:rsid w:val="0003137D"/>
    <w:rsid w:val="00031453"/>
    <w:rsid w:val="000317BC"/>
    <w:rsid w:val="000317F9"/>
    <w:rsid w:val="000318DF"/>
    <w:rsid w:val="00031C7B"/>
    <w:rsid w:val="00031D82"/>
    <w:rsid w:val="00031E2E"/>
    <w:rsid w:val="0003213B"/>
    <w:rsid w:val="00032390"/>
    <w:rsid w:val="00032C17"/>
    <w:rsid w:val="00033259"/>
    <w:rsid w:val="00033342"/>
    <w:rsid w:val="00033A74"/>
    <w:rsid w:val="00033D2D"/>
    <w:rsid w:val="00033D3C"/>
    <w:rsid w:val="00033D68"/>
    <w:rsid w:val="000341AB"/>
    <w:rsid w:val="000344B3"/>
    <w:rsid w:val="000346AA"/>
    <w:rsid w:val="000349E8"/>
    <w:rsid w:val="00034CB7"/>
    <w:rsid w:val="00034CC9"/>
    <w:rsid w:val="00034DDC"/>
    <w:rsid w:val="000359DA"/>
    <w:rsid w:val="00035B51"/>
    <w:rsid w:val="00035FDA"/>
    <w:rsid w:val="00036114"/>
    <w:rsid w:val="00036C2F"/>
    <w:rsid w:val="00037404"/>
    <w:rsid w:val="0003744D"/>
    <w:rsid w:val="00037641"/>
    <w:rsid w:val="00037997"/>
    <w:rsid w:val="00037A15"/>
    <w:rsid w:val="00037AEB"/>
    <w:rsid w:val="00040085"/>
    <w:rsid w:val="00040303"/>
    <w:rsid w:val="0004034D"/>
    <w:rsid w:val="000407D5"/>
    <w:rsid w:val="00040C08"/>
    <w:rsid w:val="000413C4"/>
    <w:rsid w:val="00041831"/>
    <w:rsid w:val="00041D18"/>
    <w:rsid w:val="0004258A"/>
    <w:rsid w:val="0004288F"/>
    <w:rsid w:val="00042926"/>
    <w:rsid w:val="00043801"/>
    <w:rsid w:val="00043BA4"/>
    <w:rsid w:val="00043CDA"/>
    <w:rsid w:val="00044165"/>
    <w:rsid w:val="0004430A"/>
    <w:rsid w:val="00044627"/>
    <w:rsid w:val="000446E4"/>
    <w:rsid w:val="000448DF"/>
    <w:rsid w:val="00044BCA"/>
    <w:rsid w:val="00044C1B"/>
    <w:rsid w:val="00044F13"/>
    <w:rsid w:val="000457B5"/>
    <w:rsid w:val="00045E54"/>
    <w:rsid w:val="00046120"/>
    <w:rsid w:val="00046B2D"/>
    <w:rsid w:val="00046BDE"/>
    <w:rsid w:val="0004773B"/>
    <w:rsid w:val="0004782C"/>
    <w:rsid w:val="000478E9"/>
    <w:rsid w:val="00050BDB"/>
    <w:rsid w:val="00050CE5"/>
    <w:rsid w:val="0005114B"/>
    <w:rsid w:val="00051573"/>
    <w:rsid w:val="00051EBF"/>
    <w:rsid w:val="00052140"/>
    <w:rsid w:val="0005238F"/>
    <w:rsid w:val="000523F7"/>
    <w:rsid w:val="000526A4"/>
    <w:rsid w:val="0005276B"/>
    <w:rsid w:val="00052A6C"/>
    <w:rsid w:val="000537E2"/>
    <w:rsid w:val="00053DE2"/>
    <w:rsid w:val="00054194"/>
    <w:rsid w:val="00054A32"/>
    <w:rsid w:val="00054D9E"/>
    <w:rsid w:val="00054DE9"/>
    <w:rsid w:val="00054FD6"/>
    <w:rsid w:val="00055787"/>
    <w:rsid w:val="000561C7"/>
    <w:rsid w:val="00056513"/>
    <w:rsid w:val="000568B5"/>
    <w:rsid w:val="00056BAD"/>
    <w:rsid w:val="00056F7A"/>
    <w:rsid w:val="0005739A"/>
    <w:rsid w:val="00057892"/>
    <w:rsid w:val="0005796C"/>
    <w:rsid w:val="00060482"/>
    <w:rsid w:val="000604E7"/>
    <w:rsid w:val="0006063A"/>
    <w:rsid w:val="00060679"/>
    <w:rsid w:val="00060680"/>
    <w:rsid w:val="00060E8F"/>
    <w:rsid w:val="000622E7"/>
    <w:rsid w:val="000629AB"/>
    <w:rsid w:val="00062AB6"/>
    <w:rsid w:val="0006315F"/>
    <w:rsid w:val="000634B6"/>
    <w:rsid w:val="00063EB2"/>
    <w:rsid w:val="000643D9"/>
    <w:rsid w:val="000645AA"/>
    <w:rsid w:val="00064E7C"/>
    <w:rsid w:val="00065824"/>
    <w:rsid w:val="0006589E"/>
    <w:rsid w:val="0006596C"/>
    <w:rsid w:val="00065A51"/>
    <w:rsid w:val="00065AA7"/>
    <w:rsid w:val="00065E95"/>
    <w:rsid w:val="00065F74"/>
    <w:rsid w:val="0006601F"/>
    <w:rsid w:val="00066649"/>
    <w:rsid w:val="00066FEB"/>
    <w:rsid w:val="0006717E"/>
    <w:rsid w:val="0006778C"/>
    <w:rsid w:val="00067B95"/>
    <w:rsid w:val="00070120"/>
    <w:rsid w:val="00070A63"/>
    <w:rsid w:val="00070D5F"/>
    <w:rsid w:val="00070F3E"/>
    <w:rsid w:val="00071152"/>
    <w:rsid w:val="00071858"/>
    <w:rsid w:val="00071F89"/>
    <w:rsid w:val="00072063"/>
    <w:rsid w:val="000723A4"/>
    <w:rsid w:val="00072489"/>
    <w:rsid w:val="000728CF"/>
    <w:rsid w:val="000734F4"/>
    <w:rsid w:val="000735D9"/>
    <w:rsid w:val="00073851"/>
    <w:rsid w:val="00073EFC"/>
    <w:rsid w:val="00074103"/>
    <w:rsid w:val="00074233"/>
    <w:rsid w:val="00074443"/>
    <w:rsid w:val="0007468C"/>
    <w:rsid w:val="0007470C"/>
    <w:rsid w:val="00074BF9"/>
    <w:rsid w:val="00074C6A"/>
    <w:rsid w:val="000754CF"/>
    <w:rsid w:val="00075A92"/>
    <w:rsid w:val="000761DC"/>
    <w:rsid w:val="0007631F"/>
    <w:rsid w:val="00076513"/>
    <w:rsid w:val="00076530"/>
    <w:rsid w:val="00076649"/>
    <w:rsid w:val="000770A2"/>
    <w:rsid w:val="000770D6"/>
    <w:rsid w:val="0007726C"/>
    <w:rsid w:val="000773CF"/>
    <w:rsid w:val="00077704"/>
    <w:rsid w:val="00077F5C"/>
    <w:rsid w:val="00080311"/>
    <w:rsid w:val="00080F1A"/>
    <w:rsid w:val="0008111F"/>
    <w:rsid w:val="00081216"/>
    <w:rsid w:val="00081230"/>
    <w:rsid w:val="0008136D"/>
    <w:rsid w:val="00081417"/>
    <w:rsid w:val="000819DF"/>
    <w:rsid w:val="00081CC8"/>
    <w:rsid w:val="00082B7C"/>
    <w:rsid w:val="00083039"/>
    <w:rsid w:val="000840E2"/>
    <w:rsid w:val="00084CB8"/>
    <w:rsid w:val="00084E72"/>
    <w:rsid w:val="00085149"/>
    <w:rsid w:val="00085179"/>
    <w:rsid w:val="000861D8"/>
    <w:rsid w:val="00086349"/>
    <w:rsid w:val="00087315"/>
    <w:rsid w:val="00087C26"/>
    <w:rsid w:val="00087D55"/>
    <w:rsid w:val="00087E41"/>
    <w:rsid w:val="0009025C"/>
    <w:rsid w:val="00090A60"/>
    <w:rsid w:val="00090AE2"/>
    <w:rsid w:val="00090B70"/>
    <w:rsid w:val="00090CF9"/>
    <w:rsid w:val="000913CA"/>
    <w:rsid w:val="000918E1"/>
    <w:rsid w:val="00091980"/>
    <w:rsid w:val="00091FD4"/>
    <w:rsid w:val="00092194"/>
    <w:rsid w:val="000923E0"/>
    <w:rsid w:val="000924F7"/>
    <w:rsid w:val="00092DF5"/>
    <w:rsid w:val="00093029"/>
    <w:rsid w:val="00093517"/>
    <w:rsid w:val="000937B3"/>
    <w:rsid w:val="00093C1A"/>
    <w:rsid w:val="00093F7F"/>
    <w:rsid w:val="00094F50"/>
    <w:rsid w:val="000952F8"/>
    <w:rsid w:val="000959E8"/>
    <w:rsid w:val="00096816"/>
    <w:rsid w:val="000971B9"/>
    <w:rsid w:val="000975F7"/>
    <w:rsid w:val="00097D37"/>
    <w:rsid w:val="00097DD9"/>
    <w:rsid w:val="000A0129"/>
    <w:rsid w:val="000A0209"/>
    <w:rsid w:val="000A02C6"/>
    <w:rsid w:val="000A02EF"/>
    <w:rsid w:val="000A0CAC"/>
    <w:rsid w:val="000A0EFF"/>
    <w:rsid w:val="000A107E"/>
    <w:rsid w:val="000A1234"/>
    <w:rsid w:val="000A14C5"/>
    <w:rsid w:val="000A17AE"/>
    <w:rsid w:val="000A23C5"/>
    <w:rsid w:val="000A25C5"/>
    <w:rsid w:val="000A2C95"/>
    <w:rsid w:val="000A2E03"/>
    <w:rsid w:val="000A2E55"/>
    <w:rsid w:val="000A3006"/>
    <w:rsid w:val="000A3330"/>
    <w:rsid w:val="000A35D3"/>
    <w:rsid w:val="000A37A0"/>
    <w:rsid w:val="000A3A1C"/>
    <w:rsid w:val="000A3AC5"/>
    <w:rsid w:val="000A4351"/>
    <w:rsid w:val="000A45C8"/>
    <w:rsid w:val="000A4B7D"/>
    <w:rsid w:val="000A4D5A"/>
    <w:rsid w:val="000A51C2"/>
    <w:rsid w:val="000A60E5"/>
    <w:rsid w:val="000A6215"/>
    <w:rsid w:val="000A66C7"/>
    <w:rsid w:val="000A761B"/>
    <w:rsid w:val="000A7C3E"/>
    <w:rsid w:val="000B0535"/>
    <w:rsid w:val="000B09FC"/>
    <w:rsid w:val="000B0B47"/>
    <w:rsid w:val="000B0CB0"/>
    <w:rsid w:val="000B0F79"/>
    <w:rsid w:val="000B1C32"/>
    <w:rsid w:val="000B25D8"/>
    <w:rsid w:val="000B2C8D"/>
    <w:rsid w:val="000B32F7"/>
    <w:rsid w:val="000B3DB1"/>
    <w:rsid w:val="000B3FD3"/>
    <w:rsid w:val="000B430F"/>
    <w:rsid w:val="000B4470"/>
    <w:rsid w:val="000B4EFA"/>
    <w:rsid w:val="000B53D0"/>
    <w:rsid w:val="000B5C0B"/>
    <w:rsid w:val="000B61C5"/>
    <w:rsid w:val="000B641C"/>
    <w:rsid w:val="000B67C0"/>
    <w:rsid w:val="000B6AD0"/>
    <w:rsid w:val="000B71EB"/>
    <w:rsid w:val="000B76FF"/>
    <w:rsid w:val="000B7CF2"/>
    <w:rsid w:val="000C0248"/>
    <w:rsid w:val="000C05C9"/>
    <w:rsid w:val="000C0AFD"/>
    <w:rsid w:val="000C10EC"/>
    <w:rsid w:val="000C1266"/>
    <w:rsid w:val="000C1FD6"/>
    <w:rsid w:val="000C30BC"/>
    <w:rsid w:val="000C347E"/>
    <w:rsid w:val="000C382A"/>
    <w:rsid w:val="000C3C41"/>
    <w:rsid w:val="000C3DF2"/>
    <w:rsid w:val="000C47B3"/>
    <w:rsid w:val="000C4AAD"/>
    <w:rsid w:val="000C4C21"/>
    <w:rsid w:val="000C574B"/>
    <w:rsid w:val="000C57DF"/>
    <w:rsid w:val="000C59E4"/>
    <w:rsid w:val="000C5B09"/>
    <w:rsid w:val="000C5B45"/>
    <w:rsid w:val="000C5C21"/>
    <w:rsid w:val="000C5D0A"/>
    <w:rsid w:val="000C5D1B"/>
    <w:rsid w:val="000C5F79"/>
    <w:rsid w:val="000C67CC"/>
    <w:rsid w:val="000C69C8"/>
    <w:rsid w:val="000C6C27"/>
    <w:rsid w:val="000C7415"/>
    <w:rsid w:val="000C7426"/>
    <w:rsid w:val="000C7A93"/>
    <w:rsid w:val="000D0336"/>
    <w:rsid w:val="000D07E5"/>
    <w:rsid w:val="000D0A03"/>
    <w:rsid w:val="000D0DCD"/>
    <w:rsid w:val="000D16B8"/>
    <w:rsid w:val="000D21AF"/>
    <w:rsid w:val="000D2867"/>
    <w:rsid w:val="000D2B97"/>
    <w:rsid w:val="000D2F02"/>
    <w:rsid w:val="000D30A7"/>
    <w:rsid w:val="000D381E"/>
    <w:rsid w:val="000D3AE7"/>
    <w:rsid w:val="000D432E"/>
    <w:rsid w:val="000D49CD"/>
    <w:rsid w:val="000D4BE1"/>
    <w:rsid w:val="000D4DD5"/>
    <w:rsid w:val="000D569F"/>
    <w:rsid w:val="000D5F1B"/>
    <w:rsid w:val="000D645B"/>
    <w:rsid w:val="000D67DC"/>
    <w:rsid w:val="000D7D54"/>
    <w:rsid w:val="000E0314"/>
    <w:rsid w:val="000E0BFB"/>
    <w:rsid w:val="000E0D80"/>
    <w:rsid w:val="000E0EB7"/>
    <w:rsid w:val="000E1109"/>
    <w:rsid w:val="000E155B"/>
    <w:rsid w:val="000E1C7B"/>
    <w:rsid w:val="000E1D6E"/>
    <w:rsid w:val="000E1F6A"/>
    <w:rsid w:val="000E2220"/>
    <w:rsid w:val="000E22DF"/>
    <w:rsid w:val="000E2675"/>
    <w:rsid w:val="000E3241"/>
    <w:rsid w:val="000E329D"/>
    <w:rsid w:val="000E330A"/>
    <w:rsid w:val="000E3683"/>
    <w:rsid w:val="000E37CA"/>
    <w:rsid w:val="000E3AA8"/>
    <w:rsid w:val="000E3BC6"/>
    <w:rsid w:val="000E43AB"/>
    <w:rsid w:val="000E4433"/>
    <w:rsid w:val="000E4D33"/>
    <w:rsid w:val="000E4D3A"/>
    <w:rsid w:val="000E4ED4"/>
    <w:rsid w:val="000E50AD"/>
    <w:rsid w:val="000E5636"/>
    <w:rsid w:val="000E566A"/>
    <w:rsid w:val="000E5899"/>
    <w:rsid w:val="000E66AC"/>
    <w:rsid w:val="000E6720"/>
    <w:rsid w:val="000E693E"/>
    <w:rsid w:val="000E695E"/>
    <w:rsid w:val="000E6AA6"/>
    <w:rsid w:val="000E6BB6"/>
    <w:rsid w:val="000E6C79"/>
    <w:rsid w:val="000E6DE6"/>
    <w:rsid w:val="000E7097"/>
    <w:rsid w:val="000E74CA"/>
    <w:rsid w:val="000E792C"/>
    <w:rsid w:val="000E7C80"/>
    <w:rsid w:val="000E7CBF"/>
    <w:rsid w:val="000E7DA1"/>
    <w:rsid w:val="000E7DD2"/>
    <w:rsid w:val="000F00F9"/>
    <w:rsid w:val="000F03E3"/>
    <w:rsid w:val="000F06B1"/>
    <w:rsid w:val="000F105E"/>
    <w:rsid w:val="000F10A7"/>
    <w:rsid w:val="000F1261"/>
    <w:rsid w:val="000F14C3"/>
    <w:rsid w:val="000F14C6"/>
    <w:rsid w:val="000F14D4"/>
    <w:rsid w:val="000F1B86"/>
    <w:rsid w:val="000F2115"/>
    <w:rsid w:val="000F2179"/>
    <w:rsid w:val="000F2813"/>
    <w:rsid w:val="000F3278"/>
    <w:rsid w:val="000F36CC"/>
    <w:rsid w:val="000F3B5F"/>
    <w:rsid w:val="000F3BA5"/>
    <w:rsid w:val="000F3BA7"/>
    <w:rsid w:val="000F4496"/>
    <w:rsid w:val="000F45CE"/>
    <w:rsid w:val="000F480A"/>
    <w:rsid w:val="000F4BB3"/>
    <w:rsid w:val="000F4C2D"/>
    <w:rsid w:val="000F4E80"/>
    <w:rsid w:val="000F5397"/>
    <w:rsid w:val="000F547C"/>
    <w:rsid w:val="000F593D"/>
    <w:rsid w:val="000F5D2A"/>
    <w:rsid w:val="000F6A44"/>
    <w:rsid w:val="000F6F92"/>
    <w:rsid w:val="000F7781"/>
    <w:rsid w:val="000F7E4C"/>
    <w:rsid w:val="000F7FC4"/>
    <w:rsid w:val="0010042D"/>
    <w:rsid w:val="0010057A"/>
    <w:rsid w:val="0010133E"/>
    <w:rsid w:val="00101D68"/>
    <w:rsid w:val="0010261D"/>
    <w:rsid w:val="00102A51"/>
    <w:rsid w:val="00102D39"/>
    <w:rsid w:val="0010341A"/>
    <w:rsid w:val="00103485"/>
    <w:rsid w:val="00103C76"/>
    <w:rsid w:val="00103E5A"/>
    <w:rsid w:val="00103FAD"/>
    <w:rsid w:val="00103FCE"/>
    <w:rsid w:val="00104057"/>
    <w:rsid w:val="00104159"/>
    <w:rsid w:val="00104D21"/>
    <w:rsid w:val="00104E76"/>
    <w:rsid w:val="001052D4"/>
    <w:rsid w:val="0010539C"/>
    <w:rsid w:val="00105632"/>
    <w:rsid w:val="00105890"/>
    <w:rsid w:val="00105A25"/>
    <w:rsid w:val="00105DCF"/>
    <w:rsid w:val="00105DD3"/>
    <w:rsid w:val="00106539"/>
    <w:rsid w:val="00106815"/>
    <w:rsid w:val="00106E6B"/>
    <w:rsid w:val="001075FB"/>
    <w:rsid w:val="00107924"/>
    <w:rsid w:val="00107DC8"/>
    <w:rsid w:val="00110FD8"/>
    <w:rsid w:val="00112117"/>
    <w:rsid w:val="0011220C"/>
    <w:rsid w:val="001123D6"/>
    <w:rsid w:val="0011248C"/>
    <w:rsid w:val="001125A1"/>
    <w:rsid w:val="00112D48"/>
    <w:rsid w:val="001132B5"/>
    <w:rsid w:val="00113FDA"/>
    <w:rsid w:val="00114781"/>
    <w:rsid w:val="00114869"/>
    <w:rsid w:val="0011509F"/>
    <w:rsid w:val="00115135"/>
    <w:rsid w:val="00115399"/>
    <w:rsid w:val="001156D0"/>
    <w:rsid w:val="00115731"/>
    <w:rsid w:val="0011658F"/>
    <w:rsid w:val="00116CA5"/>
    <w:rsid w:val="001172A6"/>
    <w:rsid w:val="001174B7"/>
    <w:rsid w:val="001176F2"/>
    <w:rsid w:val="001177E6"/>
    <w:rsid w:val="001179F4"/>
    <w:rsid w:val="00117BBF"/>
    <w:rsid w:val="0012027D"/>
    <w:rsid w:val="00120567"/>
    <w:rsid w:val="00121339"/>
    <w:rsid w:val="001214EC"/>
    <w:rsid w:val="00121D1E"/>
    <w:rsid w:val="00121D2D"/>
    <w:rsid w:val="00121EB0"/>
    <w:rsid w:val="00122311"/>
    <w:rsid w:val="00122998"/>
    <w:rsid w:val="0012310C"/>
    <w:rsid w:val="001238A3"/>
    <w:rsid w:val="00123FB3"/>
    <w:rsid w:val="001241B9"/>
    <w:rsid w:val="0012450C"/>
    <w:rsid w:val="001248E5"/>
    <w:rsid w:val="00124A9D"/>
    <w:rsid w:val="00125011"/>
    <w:rsid w:val="00125156"/>
    <w:rsid w:val="001254D4"/>
    <w:rsid w:val="001255A5"/>
    <w:rsid w:val="00125606"/>
    <w:rsid w:val="00125621"/>
    <w:rsid w:val="001258AE"/>
    <w:rsid w:val="00125FF5"/>
    <w:rsid w:val="00126394"/>
    <w:rsid w:val="0012667F"/>
    <w:rsid w:val="001267F5"/>
    <w:rsid w:val="00126A7C"/>
    <w:rsid w:val="00126C3C"/>
    <w:rsid w:val="00126DDD"/>
    <w:rsid w:val="0012761F"/>
    <w:rsid w:val="00127849"/>
    <w:rsid w:val="00127950"/>
    <w:rsid w:val="001279C4"/>
    <w:rsid w:val="00127D81"/>
    <w:rsid w:val="001306D8"/>
    <w:rsid w:val="00130825"/>
    <w:rsid w:val="0013193D"/>
    <w:rsid w:val="00132109"/>
    <w:rsid w:val="001323D4"/>
    <w:rsid w:val="00132841"/>
    <w:rsid w:val="00132C25"/>
    <w:rsid w:val="00132DA1"/>
    <w:rsid w:val="00132E7F"/>
    <w:rsid w:val="0013374D"/>
    <w:rsid w:val="00133ED6"/>
    <w:rsid w:val="00134488"/>
    <w:rsid w:val="001346F4"/>
    <w:rsid w:val="00134C67"/>
    <w:rsid w:val="00135512"/>
    <w:rsid w:val="001367DD"/>
    <w:rsid w:val="00136898"/>
    <w:rsid w:val="001368E3"/>
    <w:rsid w:val="00136BEE"/>
    <w:rsid w:val="00136C20"/>
    <w:rsid w:val="00137504"/>
    <w:rsid w:val="00137696"/>
    <w:rsid w:val="00137A9B"/>
    <w:rsid w:val="00137D76"/>
    <w:rsid w:val="00137F69"/>
    <w:rsid w:val="001406FE"/>
    <w:rsid w:val="00140960"/>
    <w:rsid w:val="001409EC"/>
    <w:rsid w:val="00140B2F"/>
    <w:rsid w:val="00140DDA"/>
    <w:rsid w:val="001414FB"/>
    <w:rsid w:val="00141725"/>
    <w:rsid w:val="001419E6"/>
    <w:rsid w:val="00141F58"/>
    <w:rsid w:val="00142342"/>
    <w:rsid w:val="00142A02"/>
    <w:rsid w:val="00143087"/>
    <w:rsid w:val="001430D1"/>
    <w:rsid w:val="00143169"/>
    <w:rsid w:val="00143242"/>
    <w:rsid w:val="00143717"/>
    <w:rsid w:val="001437C2"/>
    <w:rsid w:val="001440B0"/>
    <w:rsid w:val="00144266"/>
    <w:rsid w:val="00144881"/>
    <w:rsid w:val="00144892"/>
    <w:rsid w:val="00144DF2"/>
    <w:rsid w:val="00145253"/>
    <w:rsid w:val="001459A8"/>
    <w:rsid w:val="00145B45"/>
    <w:rsid w:val="001463FD"/>
    <w:rsid w:val="00146976"/>
    <w:rsid w:val="00147033"/>
    <w:rsid w:val="00147242"/>
    <w:rsid w:val="00147529"/>
    <w:rsid w:val="00147B4B"/>
    <w:rsid w:val="00147D09"/>
    <w:rsid w:val="00147E0E"/>
    <w:rsid w:val="001500FF"/>
    <w:rsid w:val="00151602"/>
    <w:rsid w:val="00151CB3"/>
    <w:rsid w:val="00151DE3"/>
    <w:rsid w:val="00151E36"/>
    <w:rsid w:val="001521BF"/>
    <w:rsid w:val="00152970"/>
    <w:rsid w:val="001530C9"/>
    <w:rsid w:val="001530E5"/>
    <w:rsid w:val="00153546"/>
    <w:rsid w:val="00154498"/>
    <w:rsid w:val="00154569"/>
    <w:rsid w:val="001545E7"/>
    <w:rsid w:val="00154BD5"/>
    <w:rsid w:val="00154E06"/>
    <w:rsid w:val="00155091"/>
    <w:rsid w:val="001550F0"/>
    <w:rsid w:val="0015554A"/>
    <w:rsid w:val="00155560"/>
    <w:rsid w:val="001559A1"/>
    <w:rsid w:val="00155BA5"/>
    <w:rsid w:val="00155BF2"/>
    <w:rsid w:val="00155E46"/>
    <w:rsid w:val="001561D8"/>
    <w:rsid w:val="0015666B"/>
    <w:rsid w:val="00156680"/>
    <w:rsid w:val="00156BCF"/>
    <w:rsid w:val="00157321"/>
    <w:rsid w:val="0015740A"/>
    <w:rsid w:val="00157AF0"/>
    <w:rsid w:val="00157D7C"/>
    <w:rsid w:val="00160179"/>
    <w:rsid w:val="00160253"/>
    <w:rsid w:val="001603A4"/>
    <w:rsid w:val="001618DA"/>
    <w:rsid w:val="00161BD1"/>
    <w:rsid w:val="00161FB0"/>
    <w:rsid w:val="00162253"/>
    <w:rsid w:val="00162348"/>
    <w:rsid w:val="0016260A"/>
    <w:rsid w:val="0016285F"/>
    <w:rsid w:val="00162CED"/>
    <w:rsid w:val="00162ED2"/>
    <w:rsid w:val="00162F7E"/>
    <w:rsid w:val="00163576"/>
    <w:rsid w:val="00163CD6"/>
    <w:rsid w:val="00163F65"/>
    <w:rsid w:val="001642CA"/>
    <w:rsid w:val="001645BA"/>
    <w:rsid w:val="00164E76"/>
    <w:rsid w:val="001657B6"/>
    <w:rsid w:val="00165942"/>
    <w:rsid w:val="00165F09"/>
    <w:rsid w:val="001663A2"/>
    <w:rsid w:val="00166698"/>
    <w:rsid w:val="001668C9"/>
    <w:rsid w:val="00166D70"/>
    <w:rsid w:val="00167400"/>
    <w:rsid w:val="00167502"/>
    <w:rsid w:val="00167897"/>
    <w:rsid w:val="00167E65"/>
    <w:rsid w:val="001702A2"/>
    <w:rsid w:val="00170B1B"/>
    <w:rsid w:val="00170F08"/>
    <w:rsid w:val="0017169D"/>
    <w:rsid w:val="001717DD"/>
    <w:rsid w:val="00171828"/>
    <w:rsid w:val="0017212B"/>
    <w:rsid w:val="001728D4"/>
    <w:rsid w:val="00172D06"/>
    <w:rsid w:val="00172F2D"/>
    <w:rsid w:val="00173093"/>
    <w:rsid w:val="00173180"/>
    <w:rsid w:val="0017367D"/>
    <w:rsid w:val="0017384D"/>
    <w:rsid w:val="001740EC"/>
    <w:rsid w:val="001744CB"/>
    <w:rsid w:val="00174B61"/>
    <w:rsid w:val="00174C13"/>
    <w:rsid w:val="00175763"/>
    <w:rsid w:val="001759EF"/>
    <w:rsid w:val="001760E8"/>
    <w:rsid w:val="00176254"/>
    <w:rsid w:val="00177B0B"/>
    <w:rsid w:val="00180355"/>
    <w:rsid w:val="001804FE"/>
    <w:rsid w:val="00180574"/>
    <w:rsid w:val="00180729"/>
    <w:rsid w:val="00180AAA"/>
    <w:rsid w:val="0018100A"/>
    <w:rsid w:val="001817D5"/>
    <w:rsid w:val="001819B5"/>
    <w:rsid w:val="00181D50"/>
    <w:rsid w:val="00181D91"/>
    <w:rsid w:val="00181E03"/>
    <w:rsid w:val="00182416"/>
    <w:rsid w:val="00182848"/>
    <w:rsid w:val="0018289C"/>
    <w:rsid w:val="00182A58"/>
    <w:rsid w:val="00182DC2"/>
    <w:rsid w:val="001832FA"/>
    <w:rsid w:val="001833EF"/>
    <w:rsid w:val="001834B9"/>
    <w:rsid w:val="0018372E"/>
    <w:rsid w:val="0018398E"/>
    <w:rsid w:val="001844E0"/>
    <w:rsid w:val="001847F0"/>
    <w:rsid w:val="001848CB"/>
    <w:rsid w:val="00184DF4"/>
    <w:rsid w:val="001851E5"/>
    <w:rsid w:val="00185741"/>
    <w:rsid w:val="00185D09"/>
    <w:rsid w:val="00185D0E"/>
    <w:rsid w:val="00185E72"/>
    <w:rsid w:val="001863A8"/>
    <w:rsid w:val="0018667C"/>
    <w:rsid w:val="00186CF0"/>
    <w:rsid w:val="001903E1"/>
    <w:rsid w:val="00190730"/>
    <w:rsid w:val="001907D6"/>
    <w:rsid w:val="00190E69"/>
    <w:rsid w:val="00191239"/>
    <w:rsid w:val="001920B5"/>
    <w:rsid w:val="0019224E"/>
    <w:rsid w:val="00192DE9"/>
    <w:rsid w:val="00193BD3"/>
    <w:rsid w:val="00193ED2"/>
    <w:rsid w:val="00193EF4"/>
    <w:rsid w:val="0019409B"/>
    <w:rsid w:val="001941E7"/>
    <w:rsid w:val="001949E2"/>
    <w:rsid w:val="00195B4C"/>
    <w:rsid w:val="00195C53"/>
    <w:rsid w:val="00196317"/>
    <w:rsid w:val="001963AA"/>
    <w:rsid w:val="00196439"/>
    <w:rsid w:val="0019717A"/>
    <w:rsid w:val="00197495"/>
    <w:rsid w:val="00197597"/>
    <w:rsid w:val="00197611"/>
    <w:rsid w:val="00197636"/>
    <w:rsid w:val="001A00C5"/>
    <w:rsid w:val="001A096E"/>
    <w:rsid w:val="001A0C15"/>
    <w:rsid w:val="001A1C02"/>
    <w:rsid w:val="001A208F"/>
    <w:rsid w:val="001A210E"/>
    <w:rsid w:val="001A24CD"/>
    <w:rsid w:val="001A262A"/>
    <w:rsid w:val="001A2641"/>
    <w:rsid w:val="001A2711"/>
    <w:rsid w:val="001A2812"/>
    <w:rsid w:val="001A2A64"/>
    <w:rsid w:val="001A2AE7"/>
    <w:rsid w:val="001A2CFD"/>
    <w:rsid w:val="001A2E65"/>
    <w:rsid w:val="001A31DE"/>
    <w:rsid w:val="001A32E2"/>
    <w:rsid w:val="001A3654"/>
    <w:rsid w:val="001A3734"/>
    <w:rsid w:val="001A38A9"/>
    <w:rsid w:val="001A3D04"/>
    <w:rsid w:val="001A46A3"/>
    <w:rsid w:val="001A4EB0"/>
    <w:rsid w:val="001A5124"/>
    <w:rsid w:val="001A5347"/>
    <w:rsid w:val="001A5A94"/>
    <w:rsid w:val="001A5DAF"/>
    <w:rsid w:val="001A6658"/>
    <w:rsid w:val="001A666F"/>
    <w:rsid w:val="001A6B97"/>
    <w:rsid w:val="001A7079"/>
    <w:rsid w:val="001A7725"/>
    <w:rsid w:val="001A786D"/>
    <w:rsid w:val="001A7C96"/>
    <w:rsid w:val="001B0660"/>
    <w:rsid w:val="001B09B8"/>
    <w:rsid w:val="001B0BE4"/>
    <w:rsid w:val="001B0DE1"/>
    <w:rsid w:val="001B10B5"/>
    <w:rsid w:val="001B157F"/>
    <w:rsid w:val="001B1D8A"/>
    <w:rsid w:val="001B22FA"/>
    <w:rsid w:val="001B2A81"/>
    <w:rsid w:val="001B2D85"/>
    <w:rsid w:val="001B30B2"/>
    <w:rsid w:val="001B32DB"/>
    <w:rsid w:val="001B36A0"/>
    <w:rsid w:val="001B38B3"/>
    <w:rsid w:val="001B3B55"/>
    <w:rsid w:val="001B3CC2"/>
    <w:rsid w:val="001B40F9"/>
    <w:rsid w:val="001B4454"/>
    <w:rsid w:val="001B4529"/>
    <w:rsid w:val="001B4B71"/>
    <w:rsid w:val="001B4B8A"/>
    <w:rsid w:val="001B5062"/>
    <w:rsid w:val="001B551E"/>
    <w:rsid w:val="001B5D4F"/>
    <w:rsid w:val="001B616C"/>
    <w:rsid w:val="001B61AE"/>
    <w:rsid w:val="001B63A5"/>
    <w:rsid w:val="001C0410"/>
    <w:rsid w:val="001C05A0"/>
    <w:rsid w:val="001C0A2B"/>
    <w:rsid w:val="001C0C20"/>
    <w:rsid w:val="001C1AD9"/>
    <w:rsid w:val="001C1B4B"/>
    <w:rsid w:val="001C1FD6"/>
    <w:rsid w:val="001C236D"/>
    <w:rsid w:val="001C3A3B"/>
    <w:rsid w:val="001C3FF6"/>
    <w:rsid w:val="001C41B3"/>
    <w:rsid w:val="001C43C3"/>
    <w:rsid w:val="001C576D"/>
    <w:rsid w:val="001C5B77"/>
    <w:rsid w:val="001C61AF"/>
    <w:rsid w:val="001C6248"/>
    <w:rsid w:val="001C644B"/>
    <w:rsid w:val="001C68F7"/>
    <w:rsid w:val="001C6B19"/>
    <w:rsid w:val="001C74EC"/>
    <w:rsid w:val="001C7824"/>
    <w:rsid w:val="001C7B9C"/>
    <w:rsid w:val="001D0858"/>
    <w:rsid w:val="001D0C2E"/>
    <w:rsid w:val="001D0F76"/>
    <w:rsid w:val="001D10B9"/>
    <w:rsid w:val="001D19CC"/>
    <w:rsid w:val="001D209D"/>
    <w:rsid w:val="001D2341"/>
    <w:rsid w:val="001D3670"/>
    <w:rsid w:val="001D3D6A"/>
    <w:rsid w:val="001D3FF2"/>
    <w:rsid w:val="001D40C4"/>
    <w:rsid w:val="001D4CA3"/>
    <w:rsid w:val="001D4F4F"/>
    <w:rsid w:val="001D6E75"/>
    <w:rsid w:val="001D750C"/>
    <w:rsid w:val="001D7D5D"/>
    <w:rsid w:val="001D7DCF"/>
    <w:rsid w:val="001D7F11"/>
    <w:rsid w:val="001E032B"/>
    <w:rsid w:val="001E0B77"/>
    <w:rsid w:val="001E0CF3"/>
    <w:rsid w:val="001E0F90"/>
    <w:rsid w:val="001E0FB3"/>
    <w:rsid w:val="001E167F"/>
    <w:rsid w:val="001E1B55"/>
    <w:rsid w:val="001E22FD"/>
    <w:rsid w:val="001E23D7"/>
    <w:rsid w:val="001E25DC"/>
    <w:rsid w:val="001E26A5"/>
    <w:rsid w:val="001E3374"/>
    <w:rsid w:val="001E35B4"/>
    <w:rsid w:val="001E3970"/>
    <w:rsid w:val="001E3E62"/>
    <w:rsid w:val="001E49DC"/>
    <w:rsid w:val="001E4AA8"/>
    <w:rsid w:val="001E4B6A"/>
    <w:rsid w:val="001E4B8F"/>
    <w:rsid w:val="001E4FF1"/>
    <w:rsid w:val="001E51D1"/>
    <w:rsid w:val="001E5224"/>
    <w:rsid w:val="001E5448"/>
    <w:rsid w:val="001E549F"/>
    <w:rsid w:val="001E5FE6"/>
    <w:rsid w:val="001E612D"/>
    <w:rsid w:val="001E69BA"/>
    <w:rsid w:val="001E6AFC"/>
    <w:rsid w:val="001E7DAF"/>
    <w:rsid w:val="001E7E51"/>
    <w:rsid w:val="001F02E4"/>
    <w:rsid w:val="001F052B"/>
    <w:rsid w:val="001F058F"/>
    <w:rsid w:val="001F0815"/>
    <w:rsid w:val="001F0AC0"/>
    <w:rsid w:val="001F141B"/>
    <w:rsid w:val="001F151F"/>
    <w:rsid w:val="001F155F"/>
    <w:rsid w:val="001F197F"/>
    <w:rsid w:val="001F1F9A"/>
    <w:rsid w:val="001F240F"/>
    <w:rsid w:val="001F25DD"/>
    <w:rsid w:val="001F2637"/>
    <w:rsid w:val="001F3047"/>
    <w:rsid w:val="001F31B0"/>
    <w:rsid w:val="001F33BF"/>
    <w:rsid w:val="001F344B"/>
    <w:rsid w:val="001F3480"/>
    <w:rsid w:val="001F4090"/>
    <w:rsid w:val="001F449D"/>
    <w:rsid w:val="001F46A7"/>
    <w:rsid w:val="001F4B82"/>
    <w:rsid w:val="001F4FD9"/>
    <w:rsid w:val="001F5390"/>
    <w:rsid w:val="001F62BE"/>
    <w:rsid w:val="001F6476"/>
    <w:rsid w:val="001F64C9"/>
    <w:rsid w:val="001F678F"/>
    <w:rsid w:val="001F68BC"/>
    <w:rsid w:val="001F6CD3"/>
    <w:rsid w:val="001F717E"/>
    <w:rsid w:val="001F73BC"/>
    <w:rsid w:val="001F73F4"/>
    <w:rsid w:val="001F74E8"/>
    <w:rsid w:val="001F7F62"/>
    <w:rsid w:val="002000C7"/>
    <w:rsid w:val="002004B5"/>
    <w:rsid w:val="00200789"/>
    <w:rsid w:val="00200984"/>
    <w:rsid w:val="002009E5"/>
    <w:rsid w:val="00201642"/>
    <w:rsid w:val="00201908"/>
    <w:rsid w:val="00201A93"/>
    <w:rsid w:val="00202469"/>
    <w:rsid w:val="00202558"/>
    <w:rsid w:val="002025ED"/>
    <w:rsid w:val="00202B2B"/>
    <w:rsid w:val="00203083"/>
    <w:rsid w:val="00204CC6"/>
    <w:rsid w:val="002053C1"/>
    <w:rsid w:val="00205885"/>
    <w:rsid w:val="00205974"/>
    <w:rsid w:val="00205DE3"/>
    <w:rsid w:val="0020685A"/>
    <w:rsid w:val="00206EA1"/>
    <w:rsid w:val="0020716C"/>
    <w:rsid w:val="0020782F"/>
    <w:rsid w:val="0020786D"/>
    <w:rsid w:val="00207A9C"/>
    <w:rsid w:val="00210466"/>
    <w:rsid w:val="00210A4F"/>
    <w:rsid w:val="00210C30"/>
    <w:rsid w:val="00210C5B"/>
    <w:rsid w:val="00211A24"/>
    <w:rsid w:val="00211C22"/>
    <w:rsid w:val="002120B5"/>
    <w:rsid w:val="002125F7"/>
    <w:rsid w:val="00212750"/>
    <w:rsid w:val="00212BEF"/>
    <w:rsid w:val="00212CEB"/>
    <w:rsid w:val="00212E20"/>
    <w:rsid w:val="00213517"/>
    <w:rsid w:val="0021353B"/>
    <w:rsid w:val="00213633"/>
    <w:rsid w:val="0021373C"/>
    <w:rsid w:val="0021398F"/>
    <w:rsid w:val="002139FD"/>
    <w:rsid w:val="00213A90"/>
    <w:rsid w:val="00213B91"/>
    <w:rsid w:val="002143ED"/>
    <w:rsid w:val="00215200"/>
    <w:rsid w:val="00216069"/>
    <w:rsid w:val="00216651"/>
    <w:rsid w:val="0021682C"/>
    <w:rsid w:val="00216902"/>
    <w:rsid w:val="00216B3D"/>
    <w:rsid w:val="002174C6"/>
    <w:rsid w:val="00217643"/>
    <w:rsid w:val="0021781B"/>
    <w:rsid w:val="00217AE1"/>
    <w:rsid w:val="00217BA0"/>
    <w:rsid w:val="00217BC0"/>
    <w:rsid w:val="00217F26"/>
    <w:rsid w:val="00220117"/>
    <w:rsid w:val="00220559"/>
    <w:rsid w:val="00220E0D"/>
    <w:rsid w:val="00220F00"/>
    <w:rsid w:val="002214BA"/>
    <w:rsid w:val="0022150B"/>
    <w:rsid w:val="00221D83"/>
    <w:rsid w:val="00221DAD"/>
    <w:rsid w:val="00221F1D"/>
    <w:rsid w:val="002224B8"/>
    <w:rsid w:val="00222677"/>
    <w:rsid w:val="002236FA"/>
    <w:rsid w:val="00223701"/>
    <w:rsid w:val="00223745"/>
    <w:rsid w:val="00224235"/>
    <w:rsid w:val="0022459D"/>
    <w:rsid w:val="00224FE9"/>
    <w:rsid w:val="00225554"/>
    <w:rsid w:val="00225A73"/>
    <w:rsid w:val="00225C77"/>
    <w:rsid w:val="00226281"/>
    <w:rsid w:val="002268B8"/>
    <w:rsid w:val="00226B44"/>
    <w:rsid w:val="0022714E"/>
    <w:rsid w:val="0022756D"/>
    <w:rsid w:val="00227A42"/>
    <w:rsid w:val="002305B6"/>
    <w:rsid w:val="00230F47"/>
    <w:rsid w:val="00230F98"/>
    <w:rsid w:val="002316B2"/>
    <w:rsid w:val="00231DE7"/>
    <w:rsid w:val="0023201E"/>
    <w:rsid w:val="00232125"/>
    <w:rsid w:val="00232433"/>
    <w:rsid w:val="00232566"/>
    <w:rsid w:val="00232DF6"/>
    <w:rsid w:val="00233E21"/>
    <w:rsid w:val="00234ACC"/>
    <w:rsid w:val="00234B68"/>
    <w:rsid w:val="00234FFB"/>
    <w:rsid w:val="00235259"/>
    <w:rsid w:val="00235459"/>
    <w:rsid w:val="002356B1"/>
    <w:rsid w:val="00236551"/>
    <w:rsid w:val="00236BC0"/>
    <w:rsid w:val="00236C76"/>
    <w:rsid w:val="002372D8"/>
    <w:rsid w:val="002374FC"/>
    <w:rsid w:val="0023760C"/>
    <w:rsid w:val="00237B8A"/>
    <w:rsid w:val="00240184"/>
    <w:rsid w:val="002408D1"/>
    <w:rsid w:val="00240A37"/>
    <w:rsid w:val="00240E0C"/>
    <w:rsid w:val="002410F3"/>
    <w:rsid w:val="0024124E"/>
    <w:rsid w:val="00241592"/>
    <w:rsid w:val="00241F07"/>
    <w:rsid w:val="002426BF"/>
    <w:rsid w:val="002427BB"/>
    <w:rsid w:val="00242856"/>
    <w:rsid w:val="002428ED"/>
    <w:rsid w:val="00242EEA"/>
    <w:rsid w:val="00243A8E"/>
    <w:rsid w:val="00244016"/>
    <w:rsid w:val="00244E28"/>
    <w:rsid w:val="00244F3A"/>
    <w:rsid w:val="00244FA0"/>
    <w:rsid w:val="002461B0"/>
    <w:rsid w:val="002462B5"/>
    <w:rsid w:val="002468B9"/>
    <w:rsid w:val="00246F58"/>
    <w:rsid w:val="00247602"/>
    <w:rsid w:val="00247C2C"/>
    <w:rsid w:val="00247DF8"/>
    <w:rsid w:val="00250000"/>
    <w:rsid w:val="00250A7A"/>
    <w:rsid w:val="00250AB1"/>
    <w:rsid w:val="00250E3C"/>
    <w:rsid w:val="00251194"/>
    <w:rsid w:val="00251EB0"/>
    <w:rsid w:val="00252063"/>
    <w:rsid w:val="002520A3"/>
    <w:rsid w:val="00252245"/>
    <w:rsid w:val="0025268D"/>
    <w:rsid w:val="00252BA1"/>
    <w:rsid w:val="002530C8"/>
    <w:rsid w:val="00253618"/>
    <w:rsid w:val="00253707"/>
    <w:rsid w:val="0025382B"/>
    <w:rsid w:val="00253898"/>
    <w:rsid w:val="0025390B"/>
    <w:rsid w:val="00253A2D"/>
    <w:rsid w:val="0025400C"/>
    <w:rsid w:val="0025420C"/>
    <w:rsid w:val="002545D0"/>
    <w:rsid w:val="002547A7"/>
    <w:rsid w:val="002552C7"/>
    <w:rsid w:val="002559A5"/>
    <w:rsid w:val="002559B4"/>
    <w:rsid w:val="0025641A"/>
    <w:rsid w:val="00256589"/>
    <w:rsid w:val="0025676F"/>
    <w:rsid w:val="00256A04"/>
    <w:rsid w:val="00257085"/>
    <w:rsid w:val="00257167"/>
    <w:rsid w:val="00257330"/>
    <w:rsid w:val="00257ABF"/>
    <w:rsid w:val="00257BE5"/>
    <w:rsid w:val="002600D2"/>
    <w:rsid w:val="0026099B"/>
    <w:rsid w:val="00260A45"/>
    <w:rsid w:val="00260B50"/>
    <w:rsid w:val="00260E7F"/>
    <w:rsid w:val="0026182A"/>
    <w:rsid w:val="00261C09"/>
    <w:rsid w:val="002620BE"/>
    <w:rsid w:val="0026281D"/>
    <w:rsid w:val="00262B01"/>
    <w:rsid w:val="00262E5E"/>
    <w:rsid w:val="0026331C"/>
    <w:rsid w:val="00263422"/>
    <w:rsid w:val="00263A9D"/>
    <w:rsid w:val="00263B3A"/>
    <w:rsid w:val="00264215"/>
    <w:rsid w:val="00264277"/>
    <w:rsid w:val="0026532B"/>
    <w:rsid w:val="0026543C"/>
    <w:rsid w:val="00265513"/>
    <w:rsid w:val="0026599C"/>
    <w:rsid w:val="002662A2"/>
    <w:rsid w:val="0026633C"/>
    <w:rsid w:val="0026648B"/>
    <w:rsid w:val="00266730"/>
    <w:rsid w:val="00267128"/>
    <w:rsid w:val="00267361"/>
    <w:rsid w:val="002678E4"/>
    <w:rsid w:val="00267DE7"/>
    <w:rsid w:val="00267F41"/>
    <w:rsid w:val="00270132"/>
    <w:rsid w:val="00270D26"/>
    <w:rsid w:val="00270DC3"/>
    <w:rsid w:val="00270F04"/>
    <w:rsid w:val="002712F3"/>
    <w:rsid w:val="00271502"/>
    <w:rsid w:val="002715F0"/>
    <w:rsid w:val="00271C02"/>
    <w:rsid w:val="00271CF2"/>
    <w:rsid w:val="00271DBF"/>
    <w:rsid w:val="00272183"/>
    <w:rsid w:val="0027277E"/>
    <w:rsid w:val="00272937"/>
    <w:rsid w:val="00272A5E"/>
    <w:rsid w:val="00272C73"/>
    <w:rsid w:val="00273005"/>
    <w:rsid w:val="0027300D"/>
    <w:rsid w:val="00273314"/>
    <w:rsid w:val="00273430"/>
    <w:rsid w:val="00274209"/>
    <w:rsid w:val="002742F1"/>
    <w:rsid w:val="00274313"/>
    <w:rsid w:val="002749FB"/>
    <w:rsid w:val="00274E3C"/>
    <w:rsid w:val="00274F2B"/>
    <w:rsid w:val="00275065"/>
    <w:rsid w:val="002750F2"/>
    <w:rsid w:val="00275B89"/>
    <w:rsid w:val="00276B89"/>
    <w:rsid w:val="00276D77"/>
    <w:rsid w:val="0027721D"/>
    <w:rsid w:val="00277DC8"/>
    <w:rsid w:val="00277ECC"/>
    <w:rsid w:val="00280042"/>
    <w:rsid w:val="00280659"/>
    <w:rsid w:val="0028139B"/>
    <w:rsid w:val="00281C9C"/>
    <w:rsid w:val="00282067"/>
    <w:rsid w:val="00282130"/>
    <w:rsid w:val="00282177"/>
    <w:rsid w:val="002821BE"/>
    <w:rsid w:val="00282800"/>
    <w:rsid w:val="00284592"/>
    <w:rsid w:val="0028461B"/>
    <w:rsid w:val="00284889"/>
    <w:rsid w:val="00284D28"/>
    <w:rsid w:val="0028512B"/>
    <w:rsid w:val="00285D1A"/>
    <w:rsid w:val="00285F60"/>
    <w:rsid w:val="002864DA"/>
    <w:rsid w:val="00286B83"/>
    <w:rsid w:val="00286D70"/>
    <w:rsid w:val="002873DC"/>
    <w:rsid w:val="00287449"/>
    <w:rsid w:val="00287573"/>
    <w:rsid w:val="00287B80"/>
    <w:rsid w:val="00287F41"/>
    <w:rsid w:val="00290146"/>
    <w:rsid w:val="00290517"/>
    <w:rsid w:val="002908E9"/>
    <w:rsid w:val="00291095"/>
    <w:rsid w:val="002910BD"/>
    <w:rsid w:val="0029137E"/>
    <w:rsid w:val="002914DE"/>
    <w:rsid w:val="0029193E"/>
    <w:rsid w:val="00291E13"/>
    <w:rsid w:val="0029216A"/>
    <w:rsid w:val="002929E2"/>
    <w:rsid w:val="00292A9C"/>
    <w:rsid w:val="00292FDF"/>
    <w:rsid w:val="002938BD"/>
    <w:rsid w:val="00293C10"/>
    <w:rsid w:val="00294032"/>
    <w:rsid w:val="00294126"/>
    <w:rsid w:val="002945DC"/>
    <w:rsid w:val="00294947"/>
    <w:rsid w:val="00294A44"/>
    <w:rsid w:val="00294A6C"/>
    <w:rsid w:val="00294D87"/>
    <w:rsid w:val="002952BA"/>
    <w:rsid w:val="0029539A"/>
    <w:rsid w:val="002959B8"/>
    <w:rsid w:val="00295D2C"/>
    <w:rsid w:val="00295D85"/>
    <w:rsid w:val="00296819"/>
    <w:rsid w:val="0029725A"/>
    <w:rsid w:val="00297530"/>
    <w:rsid w:val="002978F8"/>
    <w:rsid w:val="00297B4B"/>
    <w:rsid w:val="002A009D"/>
    <w:rsid w:val="002A05B5"/>
    <w:rsid w:val="002A0831"/>
    <w:rsid w:val="002A094A"/>
    <w:rsid w:val="002A0A6C"/>
    <w:rsid w:val="002A2133"/>
    <w:rsid w:val="002A254E"/>
    <w:rsid w:val="002A2BF6"/>
    <w:rsid w:val="002A2FCD"/>
    <w:rsid w:val="002A3337"/>
    <w:rsid w:val="002A414F"/>
    <w:rsid w:val="002A42D4"/>
    <w:rsid w:val="002A431F"/>
    <w:rsid w:val="002A447C"/>
    <w:rsid w:val="002A482E"/>
    <w:rsid w:val="002A4B25"/>
    <w:rsid w:val="002A4C6F"/>
    <w:rsid w:val="002A4D46"/>
    <w:rsid w:val="002A4F73"/>
    <w:rsid w:val="002A4FF0"/>
    <w:rsid w:val="002A5005"/>
    <w:rsid w:val="002A56B9"/>
    <w:rsid w:val="002A58A9"/>
    <w:rsid w:val="002A5DD1"/>
    <w:rsid w:val="002A60B3"/>
    <w:rsid w:val="002A6143"/>
    <w:rsid w:val="002A6209"/>
    <w:rsid w:val="002A67F5"/>
    <w:rsid w:val="002A68AA"/>
    <w:rsid w:val="002A6CB7"/>
    <w:rsid w:val="002A79FF"/>
    <w:rsid w:val="002A7FB8"/>
    <w:rsid w:val="002B0726"/>
    <w:rsid w:val="002B078D"/>
    <w:rsid w:val="002B088B"/>
    <w:rsid w:val="002B08ED"/>
    <w:rsid w:val="002B0937"/>
    <w:rsid w:val="002B1626"/>
    <w:rsid w:val="002B17E5"/>
    <w:rsid w:val="002B18CF"/>
    <w:rsid w:val="002B1A71"/>
    <w:rsid w:val="002B2071"/>
    <w:rsid w:val="002B26AC"/>
    <w:rsid w:val="002B2E9B"/>
    <w:rsid w:val="002B30CD"/>
    <w:rsid w:val="002B310B"/>
    <w:rsid w:val="002B3284"/>
    <w:rsid w:val="002B34E6"/>
    <w:rsid w:val="002B3EBF"/>
    <w:rsid w:val="002B3FF3"/>
    <w:rsid w:val="002B42FC"/>
    <w:rsid w:val="002B46B6"/>
    <w:rsid w:val="002B48A6"/>
    <w:rsid w:val="002B5199"/>
    <w:rsid w:val="002B5358"/>
    <w:rsid w:val="002B5AF4"/>
    <w:rsid w:val="002B5FB2"/>
    <w:rsid w:val="002B6637"/>
    <w:rsid w:val="002B6725"/>
    <w:rsid w:val="002B69AA"/>
    <w:rsid w:val="002B6BB5"/>
    <w:rsid w:val="002B6BD1"/>
    <w:rsid w:val="002B7140"/>
    <w:rsid w:val="002B72A6"/>
    <w:rsid w:val="002B7495"/>
    <w:rsid w:val="002B7600"/>
    <w:rsid w:val="002B7721"/>
    <w:rsid w:val="002B78B6"/>
    <w:rsid w:val="002B7A7E"/>
    <w:rsid w:val="002B7D6B"/>
    <w:rsid w:val="002B7DBE"/>
    <w:rsid w:val="002C0288"/>
    <w:rsid w:val="002C0ADD"/>
    <w:rsid w:val="002C1177"/>
    <w:rsid w:val="002C1526"/>
    <w:rsid w:val="002C1697"/>
    <w:rsid w:val="002C1874"/>
    <w:rsid w:val="002C18B3"/>
    <w:rsid w:val="002C18DA"/>
    <w:rsid w:val="002C26CF"/>
    <w:rsid w:val="002C2876"/>
    <w:rsid w:val="002C36EF"/>
    <w:rsid w:val="002C3A51"/>
    <w:rsid w:val="002C408D"/>
    <w:rsid w:val="002C4729"/>
    <w:rsid w:val="002C4A8A"/>
    <w:rsid w:val="002C4B2A"/>
    <w:rsid w:val="002C5038"/>
    <w:rsid w:val="002C5CD5"/>
    <w:rsid w:val="002C5E09"/>
    <w:rsid w:val="002C5F40"/>
    <w:rsid w:val="002C6749"/>
    <w:rsid w:val="002C7040"/>
    <w:rsid w:val="002C7078"/>
    <w:rsid w:val="002C721A"/>
    <w:rsid w:val="002C75DE"/>
    <w:rsid w:val="002C7AC8"/>
    <w:rsid w:val="002C7C60"/>
    <w:rsid w:val="002D01E7"/>
    <w:rsid w:val="002D0337"/>
    <w:rsid w:val="002D0B4C"/>
    <w:rsid w:val="002D0C07"/>
    <w:rsid w:val="002D1012"/>
    <w:rsid w:val="002D1185"/>
    <w:rsid w:val="002D1709"/>
    <w:rsid w:val="002D180D"/>
    <w:rsid w:val="002D18EA"/>
    <w:rsid w:val="002D2375"/>
    <w:rsid w:val="002D24D5"/>
    <w:rsid w:val="002D2823"/>
    <w:rsid w:val="002D2CC0"/>
    <w:rsid w:val="002D4402"/>
    <w:rsid w:val="002D4A60"/>
    <w:rsid w:val="002D4E61"/>
    <w:rsid w:val="002D5207"/>
    <w:rsid w:val="002D531F"/>
    <w:rsid w:val="002D541F"/>
    <w:rsid w:val="002D6187"/>
    <w:rsid w:val="002D7583"/>
    <w:rsid w:val="002D7796"/>
    <w:rsid w:val="002D7815"/>
    <w:rsid w:val="002D7BCB"/>
    <w:rsid w:val="002E0088"/>
    <w:rsid w:val="002E03CF"/>
    <w:rsid w:val="002E04A3"/>
    <w:rsid w:val="002E05B3"/>
    <w:rsid w:val="002E12A5"/>
    <w:rsid w:val="002E159F"/>
    <w:rsid w:val="002E1699"/>
    <w:rsid w:val="002E1BA5"/>
    <w:rsid w:val="002E1C49"/>
    <w:rsid w:val="002E24BE"/>
    <w:rsid w:val="002E261F"/>
    <w:rsid w:val="002E32B2"/>
    <w:rsid w:val="002E35F8"/>
    <w:rsid w:val="002E4648"/>
    <w:rsid w:val="002E46EB"/>
    <w:rsid w:val="002E4AA6"/>
    <w:rsid w:val="002E5203"/>
    <w:rsid w:val="002E554A"/>
    <w:rsid w:val="002E55DD"/>
    <w:rsid w:val="002E560A"/>
    <w:rsid w:val="002E62C3"/>
    <w:rsid w:val="002E669A"/>
    <w:rsid w:val="002E7046"/>
    <w:rsid w:val="002E707A"/>
    <w:rsid w:val="002F01C0"/>
    <w:rsid w:val="002F1560"/>
    <w:rsid w:val="002F16C7"/>
    <w:rsid w:val="002F1ABE"/>
    <w:rsid w:val="002F1F0F"/>
    <w:rsid w:val="002F2502"/>
    <w:rsid w:val="002F2556"/>
    <w:rsid w:val="002F2F2E"/>
    <w:rsid w:val="002F2FAB"/>
    <w:rsid w:val="002F3169"/>
    <w:rsid w:val="002F321F"/>
    <w:rsid w:val="002F3483"/>
    <w:rsid w:val="002F34AA"/>
    <w:rsid w:val="002F3897"/>
    <w:rsid w:val="002F3946"/>
    <w:rsid w:val="002F4045"/>
    <w:rsid w:val="002F421C"/>
    <w:rsid w:val="002F4384"/>
    <w:rsid w:val="002F4662"/>
    <w:rsid w:val="002F532B"/>
    <w:rsid w:val="002F5C9B"/>
    <w:rsid w:val="002F5D64"/>
    <w:rsid w:val="002F65D9"/>
    <w:rsid w:val="002F6E24"/>
    <w:rsid w:val="002F73FE"/>
    <w:rsid w:val="002F75B6"/>
    <w:rsid w:val="002F7839"/>
    <w:rsid w:val="002F7C45"/>
    <w:rsid w:val="0030015E"/>
    <w:rsid w:val="003004E6"/>
    <w:rsid w:val="00300D1C"/>
    <w:rsid w:val="00301624"/>
    <w:rsid w:val="0030180A"/>
    <w:rsid w:val="00301851"/>
    <w:rsid w:val="0030198A"/>
    <w:rsid w:val="003022D1"/>
    <w:rsid w:val="00302318"/>
    <w:rsid w:val="003024F1"/>
    <w:rsid w:val="00302ADC"/>
    <w:rsid w:val="00303155"/>
    <w:rsid w:val="00303364"/>
    <w:rsid w:val="0030381D"/>
    <w:rsid w:val="00303BD0"/>
    <w:rsid w:val="00303C17"/>
    <w:rsid w:val="0030452F"/>
    <w:rsid w:val="003049FA"/>
    <w:rsid w:val="00304A8F"/>
    <w:rsid w:val="00304ADD"/>
    <w:rsid w:val="00304B68"/>
    <w:rsid w:val="00304C3E"/>
    <w:rsid w:val="00304EF1"/>
    <w:rsid w:val="003055DB"/>
    <w:rsid w:val="003056F3"/>
    <w:rsid w:val="0030578B"/>
    <w:rsid w:val="003072F6"/>
    <w:rsid w:val="00307402"/>
    <w:rsid w:val="00307E4B"/>
    <w:rsid w:val="0031026D"/>
    <w:rsid w:val="0031044C"/>
    <w:rsid w:val="00310C83"/>
    <w:rsid w:val="00310DFA"/>
    <w:rsid w:val="003111A9"/>
    <w:rsid w:val="00311566"/>
    <w:rsid w:val="00311A91"/>
    <w:rsid w:val="00311D38"/>
    <w:rsid w:val="00312A17"/>
    <w:rsid w:val="00312A5D"/>
    <w:rsid w:val="00312DC6"/>
    <w:rsid w:val="003130EE"/>
    <w:rsid w:val="00313306"/>
    <w:rsid w:val="00313324"/>
    <w:rsid w:val="003146E2"/>
    <w:rsid w:val="00315200"/>
    <w:rsid w:val="003152E6"/>
    <w:rsid w:val="00315B25"/>
    <w:rsid w:val="003160EE"/>
    <w:rsid w:val="0031622A"/>
    <w:rsid w:val="003163E5"/>
    <w:rsid w:val="0031695E"/>
    <w:rsid w:val="003169D4"/>
    <w:rsid w:val="00317387"/>
    <w:rsid w:val="0031747B"/>
    <w:rsid w:val="00317708"/>
    <w:rsid w:val="00317918"/>
    <w:rsid w:val="00317C77"/>
    <w:rsid w:val="00317EDE"/>
    <w:rsid w:val="003204FB"/>
    <w:rsid w:val="0032067A"/>
    <w:rsid w:val="00320771"/>
    <w:rsid w:val="00320B71"/>
    <w:rsid w:val="00321260"/>
    <w:rsid w:val="00321A64"/>
    <w:rsid w:val="00321E6E"/>
    <w:rsid w:val="0032210D"/>
    <w:rsid w:val="00322163"/>
    <w:rsid w:val="00322474"/>
    <w:rsid w:val="0032264B"/>
    <w:rsid w:val="00322B58"/>
    <w:rsid w:val="00323224"/>
    <w:rsid w:val="0032411D"/>
    <w:rsid w:val="003248EF"/>
    <w:rsid w:val="00324C0C"/>
    <w:rsid w:val="003254BC"/>
    <w:rsid w:val="003255F5"/>
    <w:rsid w:val="00325BF5"/>
    <w:rsid w:val="00325F22"/>
    <w:rsid w:val="003261A1"/>
    <w:rsid w:val="00326CDE"/>
    <w:rsid w:val="00326DF5"/>
    <w:rsid w:val="00327804"/>
    <w:rsid w:val="00327C39"/>
    <w:rsid w:val="0033015D"/>
    <w:rsid w:val="003303A6"/>
    <w:rsid w:val="003305F3"/>
    <w:rsid w:val="003307BC"/>
    <w:rsid w:val="003307C5"/>
    <w:rsid w:val="0033091A"/>
    <w:rsid w:val="00330AA1"/>
    <w:rsid w:val="00330D2D"/>
    <w:rsid w:val="00331159"/>
    <w:rsid w:val="00331D37"/>
    <w:rsid w:val="00331E8F"/>
    <w:rsid w:val="00332AA3"/>
    <w:rsid w:val="00332C39"/>
    <w:rsid w:val="00332F21"/>
    <w:rsid w:val="00332FD3"/>
    <w:rsid w:val="00333F06"/>
    <w:rsid w:val="003344AC"/>
    <w:rsid w:val="00334E78"/>
    <w:rsid w:val="00335128"/>
    <w:rsid w:val="00335273"/>
    <w:rsid w:val="00335566"/>
    <w:rsid w:val="00335B8C"/>
    <w:rsid w:val="00335E11"/>
    <w:rsid w:val="003363CA"/>
    <w:rsid w:val="00336822"/>
    <w:rsid w:val="00336E31"/>
    <w:rsid w:val="003375B0"/>
    <w:rsid w:val="003375B9"/>
    <w:rsid w:val="003379E0"/>
    <w:rsid w:val="00337F91"/>
    <w:rsid w:val="00337FBB"/>
    <w:rsid w:val="00340291"/>
    <w:rsid w:val="00340B57"/>
    <w:rsid w:val="00340F94"/>
    <w:rsid w:val="003410A8"/>
    <w:rsid w:val="0034180B"/>
    <w:rsid w:val="00341E1C"/>
    <w:rsid w:val="00342F25"/>
    <w:rsid w:val="00343147"/>
    <w:rsid w:val="003431EE"/>
    <w:rsid w:val="003437E5"/>
    <w:rsid w:val="003438D6"/>
    <w:rsid w:val="0034489E"/>
    <w:rsid w:val="003448A0"/>
    <w:rsid w:val="0034492B"/>
    <w:rsid w:val="00344CBB"/>
    <w:rsid w:val="00345676"/>
    <w:rsid w:val="00345954"/>
    <w:rsid w:val="00345C19"/>
    <w:rsid w:val="00345CAF"/>
    <w:rsid w:val="00345CB5"/>
    <w:rsid w:val="00345DD4"/>
    <w:rsid w:val="003464B5"/>
    <w:rsid w:val="003465BA"/>
    <w:rsid w:val="00346779"/>
    <w:rsid w:val="00346CD5"/>
    <w:rsid w:val="00346DB7"/>
    <w:rsid w:val="00346F79"/>
    <w:rsid w:val="00346F7D"/>
    <w:rsid w:val="00347018"/>
    <w:rsid w:val="00347DB1"/>
    <w:rsid w:val="0035035B"/>
    <w:rsid w:val="003509E5"/>
    <w:rsid w:val="003516AA"/>
    <w:rsid w:val="0035187F"/>
    <w:rsid w:val="00351935"/>
    <w:rsid w:val="00351970"/>
    <w:rsid w:val="00351BD6"/>
    <w:rsid w:val="003520CA"/>
    <w:rsid w:val="0035230C"/>
    <w:rsid w:val="003525D9"/>
    <w:rsid w:val="00352BDA"/>
    <w:rsid w:val="003531AA"/>
    <w:rsid w:val="00353542"/>
    <w:rsid w:val="003536BB"/>
    <w:rsid w:val="003536D4"/>
    <w:rsid w:val="003537BD"/>
    <w:rsid w:val="003539C5"/>
    <w:rsid w:val="00353AC0"/>
    <w:rsid w:val="00354CD5"/>
    <w:rsid w:val="003550B1"/>
    <w:rsid w:val="00355753"/>
    <w:rsid w:val="00355C45"/>
    <w:rsid w:val="00356010"/>
    <w:rsid w:val="003562A6"/>
    <w:rsid w:val="003570FA"/>
    <w:rsid w:val="003572CA"/>
    <w:rsid w:val="003577E0"/>
    <w:rsid w:val="00357915"/>
    <w:rsid w:val="0036007D"/>
    <w:rsid w:val="00360995"/>
    <w:rsid w:val="00361345"/>
    <w:rsid w:val="00361718"/>
    <w:rsid w:val="003622F2"/>
    <w:rsid w:val="003632E0"/>
    <w:rsid w:val="003639D6"/>
    <w:rsid w:val="003639F0"/>
    <w:rsid w:val="00364734"/>
    <w:rsid w:val="00364D8E"/>
    <w:rsid w:val="00364E33"/>
    <w:rsid w:val="0036518A"/>
    <w:rsid w:val="0036570B"/>
    <w:rsid w:val="00365752"/>
    <w:rsid w:val="0036583C"/>
    <w:rsid w:val="00365E32"/>
    <w:rsid w:val="00365F16"/>
    <w:rsid w:val="003664BB"/>
    <w:rsid w:val="003665CB"/>
    <w:rsid w:val="003666D3"/>
    <w:rsid w:val="00366833"/>
    <w:rsid w:val="00367006"/>
    <w:rsid w:val="0036719C"/>
    <w:rsid w:val="0036777F"/>
    <w:rsid w:val="003677DE"/>
    <w:rsid w:val="0036794A"/>
    <w:rsid w:val="003702A2"/>
    <w:rsid w:val="00370C48"/>
    <w:rsid w:val="00371E6A"/>
    <w:rsid w:val="00372217"/>
    <w:rsid w:val="00372302"/>
    <w:rsid w:val="00372886"/>
    <w:rsid w:val="00372FA8"/>
    <w:rsid w:val="00372FF1"/>
    <w:rsid w:val="003739DE"/>
    <w:rsid w:val="00373C86"/>
    <w:rsid w:val="00373E56"/>
    <w:rsid w:val="00374041"/>
    <w:rsid w:val="00375646"/>
    <w:rsid w:val="003757EC"/>
    <w:rsid w:val="00375A4F"/>
    <w:rsid w:val="00375E3F"/>
    <w:rsid w:val="00376203"/>
    <w:rsid w:val="00376255"/>
    <w:rsid w:val="00376788"/>
    <w:rsid w:val="00376A7D"/>
    <w:rsid w:val="00376C53"/>
    <w:rsid w:val="00376E50"/>
    <w:rsid w:val="00377045"/>
    <w:rsid w:val="003773F9"/>
    <w:rsid w:val="00377708"/>
    <w:rsid w:val="00377934"/>
    <w:rsid w:val="00377B17"/>
    <w:rsid w:val="00377CEE"/>
    <w:rsid w:val="00377F1B"/>
    <w:rsid w:val="003801C7"/>
    <w:rsid w:val="003803A5"/>
    <w:rsid w:val="0038053F"/>
    <w:rsid w:val="0038068E"/>
    <w:rsid w:val="0038093C"/>
    <w:rsid w:val="003814F5"/>
    <w:rsid w:val="00381719"/>
    <w:rsid w:val="00381760"/>
    <w:rsid w:val="0038176E"/>
    <w:rsid w:val="003817A7"/>
    <w:rsid w:val="00381C1A"/>
    <w:rsid w:val="00381F34"/>
    <w:rsid w:val="00382193"/>
    <w:rsid w:val="00382355"/>
    <w:rsid w:val="00382473"/>
    <w:rsid w:val="0038260D"/>
    <w:rsid w:val="003828F1"/>
    <w:rsid w:val="00382F1B"/>
    <w:rsid w:val="00383F78"/>
    <w:rsid w:val="00384060"/>
    <w:rsid w:val="003840E9"/>
    <w:rsid w:val="00384C21"/>
    <w:rsid w:val="00384DD9"/>
    <w:rsid w:val="00384FC0"/>
    <w:rsid w:val="0038502C"/>
    <w:rsid w:val="003850DC"/>
    <w:rsid w:val="00386651"/>
    <w:rsid w:val="00386E10"/>
    <w:rsid w:val="003871E2"/>
    <w:rsid w:val="00387496"/>
    <w:rsid w:val="00387E98"/>
    <w:rsid w:val="003907B0"/>
    <w:rsid w:val="00390866"/>
    <w:rsid w:val="00390E01"/>
    <w:rsid w:val="00390F42"/>
    <w:rsid w:val="00391C05"/>
    <w:rsid w:val="00391F32"/>
    <w:rsid w:val="00392367"/>
    <w:rsid w:val="00392595"/>
    <w:rsid w:val="00392C3A"/>
    <w:rsid w:val="00392F37"/>
    <w:rsid w:val="00393E7C"/>
    <w:rsid w:val="00393FBA"/>
    <w:rsid w:val="00394079"/>
    <w:rsid w:val="003943C8"/>
    <w:rsid w:val="003943FD"/>
    <w:rsid w:val="00394A23"/>
    <w:rsid w:val="00394D4C"/>
    <w:rsid w:val="00394EE4"/>
    <w:rsid w:val="003954A4"/>
    <w:rsid w:val="003954FA"/>
    <w:rsid w:val="003956CC"/>
    <w:rsid w:val="00396099"/>
    <w:rsid w:val="003960EA"/>
    <w:rsid w:val="0039678E"/>
    <w:rsid w:val="003A0D23"/>
    <w:rsid w:val="003A137B"/>
    <w:rsid w:val="003A179E"/>
    <w:rsid w:val="003A1DC8"/>
    <w:rsid w:val="003A23E0"/>
    <w:rsid w:val="003A24DF"/>
    <w:rsid w:val="003A298D"/>
    <w:rsid w:val="003A32C1"/>
    <w:rsid w:val="003A34BD"/>
    <w:rsid w:val="003A35D2"/>
    <w:rsid w:val="003A43B1"/>
    <w:rsid w:val="003A4588"/>
    <w:rsid w:val="003A4D48"/>
    <w:rsid w:val="003A4E1C"/>
    <w:rsid w:val="003A5261"/>
    <w:rsid w:val="003A588B"/>
    <w:rsid w:val="003A5D6A"/>
    <w:rsid w:val="003A5EC5"/>
    <w:rsid w:val="003A6656"/>
    <w:rsid w:val="003A6689"/>
    <w:rsid w:val="003A6965"/>
    <w:rsid w:val="003A6C6A"/>
    <w:rsid w:val="003A748E"/>
    <w:rsid w:val="003A7885"/>
    <w:rsid w:val="003A7B31"/>
    <w:rsid w:val="003A7CEC"/>
    <w:rsid w:val="003A7D7C"/>
    <w:rsid w:val="003B04B8"/>
    <w:rsid w:val="003B0512"/>
    <w:rsid w:val="003B0ADC"/>
    <w:rsid w:val="003B0C14"/>
    <w:rsid w:val="003B0D78"/>
    <w:rsid w:val="003B1F01"/>
    <w:rsid w:val="003B2552"/>
    <w:rsid w:val="003B2736"/>
    <w:rsid w:val="003B2E71"/>
    <w:rsid w:val="003B3335"/>
    <w:rsid w:val="003B41A5"/>
    <w:rsid w:val="003B456F"/>
    <w:rsid w:val="003B4647"/>
    <w:rsid w:val="003B570F"/>
    <w:rsid w:val="003B5713"/>
    <w:rsid w:val="003B5A2D"/>
    <w:rsid w:val="003B5CDA"/>
    <w:rsid w:val="003B6486"/>
    <w:rsid w:val="003B64D6"/>
    <w:rsid w:val="003B65DD"/>
    <w:rsid w:val="003B6F0E"/>
    <w:rsid w:val="003B72BB"/>
    <w:rsid w:val="003B736B"/>
    <w:rsid w:val="003B7467"/>
    <w:rsid w:val="003B7625"/>
    <w:rsid w:val="003C0742"/>
    <w:rsid w:val="003C0B1C"/>
    <w:rsid w:val="003C0F37"/>
    <w:rsid w:val="003C1551"/>
    <w:rsid w:val="003C15B9"/>
    <w:rsid w:val="003C1CE9"/>
    <w:rsid w:val="003C1F8C"/>
    <w:rsid w:val="003C278C"/>
    <w:rsid w:val="003C3085"/>
    <w:rsid w:val="003C3E6A"/>
    <w:rsid w:val="003C3EAC"/>
    <w:rsid w:val="003C41D6"/>
    <w:rsid w:val="003C424F"/>
    <w:rsid w:val="003C4657"/>
    <w:rsid w:val="003C4989"/>
    <w:rsid w:val="003C4FFB"/>
    <w:rsid w:val="003C6173"/>
    <w:rsid w:val="003C6D67"/>
    <w:rsid w:val="003C6DEA"/>
    <w:rsid w:val="003C7210"/>
    <w:rsid w:val="003C759A"/>
    <w:rsid w:val="003C75BF"/>
    <w:rsid w:val="003C7887"/>
    <w:rsid w:val="003D04F6"/>
    <w:rsid w:val="003D095E"/>
    <w:rsid w:val="003D0DF2"/>
    <w:rsid w:val="003D132C"/>
    <w:rsid w:val="003D1572"/>
    <w:rsid w:val="003D16A4"/>
    <w:rsid w:val="003D1DC2"/>
    <w:rsid w:val="003D21AF"/>
    <w:rsid w:val="003D235F"/>
    <w:rsid w:val="003D37B0"/>
    <w:rsid w:val="003D3821"/>
    <w:rsid w:val="003D39B7"/>
    <w:rsid w:val="003D3A55"/>
    <w:rsid w:val="003D4EB0"/>
    <w:rsid w:val="003D5005"/>
    <w:rsid w:val="003D560B"/>
    <w:rsid w:val="003D5AB1"/>
    <w:rsid w:val="003D5D63"/>
    <w:rsid w:val="003D642E"/>
    <w:rsid w:val="003D644B"/>
    <w:rsid w:val="003D6732"/>
    <w:rsid w:val="003D79DC"/>
    <w:rsid w:val="003D7E43"/>
    <w:rsid w:val="003D7EA8"/>
    <w:rsid w:val="003D7F0E"/>
    <w:rsid w:val="003D7F3E"/>
    <w:rsid w:val="003D7FFA"/>
    <w:rsid w:val="003E05CB"/>
    <w:rsid w:val="003E0858"/>
    <w:rsid w:val="003E0F26"/>
    <w:rsid w:val="003E148F"/>
    <w:rsid w:val="003E1A6B"/>
    <w:rsid w:val="003E26CF"/>
    <w:rsid w:val="003E26ED"/>
    <w:rsid w:val="003E2B26"/>
    <w:rsid w:val="003E2E6B"/>
    <w:rsid w:val="003E30AD"/>
    <w:rsid w:val="003E3617"/>
    <w:rsid w:val="003E37B2"/>
    <w:rsid w:val="003E3841"/>
    <w:rsid w:val="003E39DE"/>
    <w:rsid w:val="003E3C5C"/>
    <w:rsid w:val="003E3FEF"/>
    <w:rsid w:val="003E41A4"/>
    <w:rsid w:val="003E47D2"/>
    <w:rsid w:val="003E4860"/>
    <w:rsid w:val="003E4933"/>
    <w:rsid w:val="003E4A7C"/>
    <w:rsid w:val="003E4D08"/>
    <w:rsid w:val="003E4D57"/>
    <w:rsid w:val="003E568A"/>
    <w:rsid w:val="003E60BC"/>
    <w:rsid w:val="003E6298"/>
    <w:rsid w:val="003E6906"/>
    <w:rsid w:val="003E6D82"/>
    <w:rsid w:val="003F08D3"/>
    <w:rsid w:val="003F08E8"/>
    <w:rsid w:val="003F09F3"/>
    <w:rsid w:val="003F0AF7"/>
    <w:rsid w:val="003F0C90"/>
    <w:rsid w:val="003F1B69"/>
    <w:rsid w:val="003F20FA"/>
    <w:rsid w:val="003F22D7"/>
    <w:rsid w:val="003F2725"/>
    <w:rsid w:val="003F2937"/>
    <w:rsid w:val="003F2D13"/>
    <w:rsid w:val="003F359B"/>
    <w:rsid w:val="003F4319"/>
    <w:rsid w:val="003F45F2"/>
    <w:rsid w:val="003F4664"/>
    <w:rsid w:val="003F5673"/>
    <w:rsid w:val="003F6658"/>
    <w:rsid w:val="003F6B1B"/>
    <w:rsid w:val="003F6DDB"/>
    <w:rsid w:val="003F78C3"/>
    <w:rsid w:val="003F7B37"/>
    <w:rsid w:val="003F7CFC"/>
    <w:rsid w:val="004002B1"/>
    <w:rsid w:val="00400731"/>
    <w:rsid w:val="00400799"/>
    <w:rsid w:val="00401614"/>
    <w:rsid w:val="00401BE3"/>
    <w:rsid w:val="00401C3D"/>
    <w:rsid w:val="00401CD8"/>
    <w:rsid w:val="00401D29"/>
    <w:rsid w:val="00401D56"/>
    <w:rsid w:val="00401E3B"/>
    <w:rsid w:val="00401EEE"/>
    <w:rsid w:val="00401FAB"/>
    <w:rsid w:val="004029C5"/>
    <w:rsid w:val="0040320E"/>
    <w:rsid w:val="004035AE"/>
    <w:rsid w:val="00403B9A"/>
    <w:rsid w:val="00403C33"/>
    <w:rsid w:val="00403DE1"/>
    <w:rsid w:val="004048A7"/>
    <w:rsid w:val="00404927"/>
    <w:rsid w:val="0040525C"/>
    <w:rsid w:val="00405270"/>
    <w:rsid w:val="0040576B"/>
    <w:rsid w:val="00405C0A"/>
    <w:rsid w:val="00405E64"/>
    <w:rsid w:val="004061F9"/>
    <w:rsid w:val="004066FC"/>
    <w:rsid w:val="0040679D"/>
    <w:rsid w:val="00406B79"/>
    <w:rsid w:val="00407079"/>
    <w:rsid w:val="004071D7"/>
    <w:rsid w:val="00407204"/>
    <w:rsid w:val="004072E4"/>
    <w:rsid w:val="00407551"/>
    <w:rsid w:val="0040768B"/>
    <w:rsid w:val="00407B0F"/>
    <w:rsid w:val="00407B52"/>
    <w:rsid w:val="00407BDF"/>
    <w:rsid w:val="0041028C"/>
    <w:rsid w:val="00410307"/>
    <w:rsid w:val="0041163C"/>
    <w:rsid w:val="004117C3"/>
    <w:rsid w:val="004119B4"/>
    <w:rsid w:val="004123DC"/>
    <w:rsid w:val="00412AF0"/>
    <w:rsid w:val="0041325F"/>
    <w:rsid w:val="00413495"/>
    <w:rsid w:val="00413B28"/>
    <w:rsid w:val="00413BE0"/>
    <w:rsid w:val="0041417B"/>
    <w:rsid w:val="00414645"/>
    <w:rsid w:val="004149E7"/>
    <w:rsid w:val="00414C67"/>
    <w:rsid w:val="00414E7A"/>
    <w:rsid w:val="00415174"/>
    <w:rsid w:val="004153FD"/>
    <w:rsid w:val="00415458"/>
    <w:rsid w:val="00415889"/>
    <w:rsid w:val="00415A1C"/>
    <w:rsid w:val="00415C38"/>
    <w:rsid w:val="004164DD"/>
    <w:rsid w:val="0041657F"/>
    <w:rsid w:val="00416AE8"/>
    <w:rsid w:val="00417245"/>
    <w:rsid w:val="00417A9B"/>
    <w:rsid w:val="00420465"/>
    <w:rsid w:val="004204D7"/>
    <w:rsid w:val="00420754"/>
    <w:rsid w:val="004208A3"/>
    <w:rsid w:val="00420946"/>
    <w:rsid w:val="00420F18"/>
    <w:rsid w:val="0042140A"/>
    <w:rsid w:val="004215E6"/>
    <w:rsid w:val="00421716"/>
    <w:rsid w:val="0042190E"/>
    <w:rsid w:val="00421C36"/>
    <w:rsid w:val="00421D36"/>
    <w:rsid w:val="00421ED6"/>
    <w:rsid w:val="00421FDF"/>
    <w:rsid w:val="00422269"/>
    <w:rsid w:val="004229D5"/>
    <w:rsid w:val="00422A38"/>
    <w:rsid w:val="00422B92"/>
    <w:rsid w:val="00422CE2"/>
    <w:rsid w:val="00423669"/>
    <w:rsid w:val="00423701"/>
    <w:rsid w:val="0042371C"/>
    <w:rsid w:val="00423B1E"/>
    <w:rsid w:val="0042420D"/>
    <w:rsid w:val="004247D7"/>
    <w:rsid w:val="00424FC2"/>
    <w:rsid w:val="00425705"/>
    <w:rsid w:val="004257B4"/>
    <w:rsid w:val="00426054"/>
    <w:rsid w:val="004271AE"/>
    <w:rsid w:val="00427370"/>
    <w:rsid w:val="00427A74"/>
    <w:rsid w:val="00427EF3"/>
    <w:rsid w:val="00427F95"/>
    <w:rsid w:val="00430224"/>
    <w:rsid w:val="004302BC"/>
    <w:rsid w:val="0043060F"/>
    <w:rsid w:val="00430AB7"/>
    <w:rsid w:val="004310C2"/>
    <w:rsid w:val="00432463"/>
    <w:rsid w:val="00432A3A"/>
    <w:rsid w:val="00432AFC"/>
    <w:rsid w:val="00432B79"/>
    <w:rsid w:val="004335BA"/>
    <w:rsid w:val="00435274"/>
    <w:rsid w:val="00435570"/>
    <w:rsid w:val="004359B3"/>
    <w:rsid w:val="00435D19"/>
    <w:rsid w:val="00435EB5"/>
    <w:rsid w:val="00435F18"/>
    <w:rsid w:val="004361C7"/>
    <w:rsid w:val="0043628C"/>
    <w:rsid w:val="00436BB2"/>
    <w:rsid w:val="00436D37"/>
    <w:rsid w:val="00436EB4"/>
    <w:rsid w:val="00437070"/>
    <w:rsid w:val="0043744F"/>
    <w:rsid w:val="004374E8"/>
    <w:rsid w:val="0043753C"/>
    <w:rsid w:val="00437A6E"/>
    <w:rsid w:val="00437C7D"/>
    <w:rsid w:val="00437CE5"/>
    <w:rsid w:val="00437EED"/>
    <w:rsid w:val="0044060E"/>
    <w:rsid w:val="00440A54"/>
    <w:rsid w:val="00440EA5"/>
    <w:rsid w:val="0044113D"/>
    <w:rsid w:val="00441B42"/>
    <w:rsid w:val="00441E17"/>
    <w:rsid w:val="00442956"/>
    <w:rsid w:val="00442D67"/>
    <w:rsid w:val="00442ED1"/>
    <w:rsid w:val="00442EDC"/>
    <w:rsid w:val="00442F0E"/>
    <w:rsid w:val="004430B4"/>
    <w:rsid w:val="00443A2D"/>
    <w:rsid w:val="00443D9D"/>
    <w:rsid w:val="00443F45"/>
    <w:rsid w:val="0044410A"/>
    <w:rsid w:val="00444919"/>
    <w:rsid w:val="00444ADE"/>
    <w:rsid w:val="00444C30"/>
    <w:rsid w:val="00444EF4"/>
    <w:rsid w:val="0044545A"/>
    <w:rsid w:val="00445793"/>
    <w:rsid w:val="00445875"/>
    <w:rsid w:val="00446BC6"/>
    <w:rsid w:val="00446CB8"/>
    <w:rsid w:val="004474B4"/>
    <w:rsid w:val="004504A1"/>
    <w:rsid w:val="00450624"/>
    <w:rsid w:val="004506E7"/>
    <w:rsid w:val="004509FF"/>
    <w:rsid w:val="00450BDF"/>
    <w:rsid w:val="0045126A"/>
    <w:rsid w:val="00451994"/>
    <w:rsid w:val="00451C40"/>
    <w:rsid w:val="0045216E"/>
    <w:rsid w:val="0045217B"/>
    <w:rsid w:val="004521D1"/>
    <w:rsid w:val="004530A8"/>
    <w:rsid w:val="00453172"/>
    <w:rsid w:val="004533CA"/>
    <w:rsid w:val="00453AB5"/>
    <w:rsid w:val="00453F2E"/>
    <w:rsid w:val="00454158"/>
    <w:rsid w:val="00454FEB"/>
    <w:rsid w:val="004554DD"/>
    <w:rsid w:val="00455ACD"/>
    <w:rsid w:val="00455C11"/>
    <w:rsid w:val="00455F1A"/>
    <w:rsid w:val="004565CF"/>
    <w:rsid w:val="004567F1"/>
    <w:rsid w:val="0045691F"/>
    <w:rsid w:val="00456A0C"/>
    <w:rsid w:val="00456E39"/>
    <w:rsid w:val="004576DA"/>
    <w:rsid w:val="004576F5"/>
    <w:rsid w:val="00457EA9"/>
    <w:rsid w:val="00457FC2"/>
    <w:rsid w:val="00460AE5"/>
    <w:rsid w:val="004617ED"/>
    <w:rsid w:val="00461AEC"/>
    <w:rsid w:val="00461BB5"/>
    <w:rsid w:val="0046215A"/>
    <w:rsid w:val="0046218A"/>
    <w:rsid w:val="0046251F"/>
    <w:rsid w:val="00462793"/>
    <w:rsid w:val="004629C2"/>
    <w:rsid w:val="004629FB"/>
    <w:rsid w:val="00462CCF"/>
    <w:rsid w:val="00462D69"/>
    <w:rsid w:val="00462F04"/>
    <w:rsid w:val="004634EA"/>
    <w:rsid w:val="0046357C"/>
    <w:rsid w:val="00463B6E"/>
    <w:rsid w:val="00463E25"/>
    <w:rsid w:val="0046477E"/>
    <w:rsid w:val="00464AC3"/>
    <w:rsid w:val="00465174"/>
    <w:rsid w:val="0046573D"/>
    <w:rsid w:val="00465E70"/>
    <w:rsid w:val="00465E88"/>
    <w:rsid w:val="00466B4B"/>
    <w:rsid w:val="00466F1B"/>
    <w:rsid w:val="00467059"/>
    <w:rsid w:val="0046712E"/>
    <w:rsid w:val="00467201"/>
    <w:rsid w:val="00467621"/>
    <w:rsid w:val="00467AE8"/>
    <w:rsid w:val="00467C4F"/>
    <w:rsid w:val="00467E08"/>
    <w:rsid w:val="00467F21"/>
    <w:rsid w:val="00470066"/>
    <w:rsid w:val="0047012D"/>
    <w:rsid w:val="0047032F"/>
    <w:rsid w:val="004708C3"/>
    <w:rsid w:val="00471146"/>
    <w:rsid w:val="0047127B"/>
    <w:rsid w:val="004715F6"/>
    <w:rsid w:val="00471603"/>
    <w:rsid w:val="004718E8"/>
    <w:rsid w:val="0047191C"/>
    <w:rsid w:val="00471F27"/>
    <w:rsid w:val="00472543"/>
    <w:rsid w:val="00472783"/>
    <w:rsid w:val="00472924"/>
    <w:rsid w:val="00472BA8"/>
    <w:rsid w:val="00473B7E"/>
    <w:rsid w:val="00473E1F"/>
    <w:rsid w:val="004741A0"/>
    <w:rsid w:val="00474B48"/>
    <w:rsid w:val="0047568E"/>
    <w:rsid w:val="00475E3C"/>
    <w:rsid w:val="004763E6"/>
    <w:rsid w:val="00476680"/>
    <w:rsid w:val="00476AC0"/>
    <w:rsid w:val="00476D0D"/>
    <w:rsid w:val="0047785F"/>
    <w:rsid w:val="00477894"/>
    <w:rsid w:val="004779B2"/>
    <w:rsid w:val="00477A93"/>
    <w:rsid w:val="00477C36"/>
    <w:rsid w:val="00477C5D"/>
    <w:rsid w:val="00477CCF"/>
    <w:rsid w:val="00477D6E"/>
    <w:rsid w:val="00477DC9"/>
    <w:rsid w:val="00480359"/>
    <w:rsid w:val="0048052F"/>
    <w:rsid w:val="00480BFA"/>
    <w:rsid w:val="00480EE4"/>
    <w:rsid w:val="00480FA8"/>
    <w:rsid w:val="004810CD"/>
    <w:rsid w:val="00481BBF"/>
    <w:rsid w:val="00481E51"/>
    <w:rsid w:val="00482382"/>
    <w:rsid w:val="004824BB"/>
    <w:rsid w:val="00482539"/>
    <w:rsid w:val="00482E98"/>
    <w:rsid w:val="00483958"/>
    <w:rsid w:val="00484232"/>
    <w:rsid w:val="004842DA"/>
    <w:rsid w:val="004846B3"/>
    <w:rsid w:val="004855DE"/>
    <w:rsid w:val="00485BA6"/>
    <w:rsid w:val="00485BF4"/>
    <w:rsid w:val="00485C87"/>
    <w:rsid w:val="00485D0B"/>
    <w:rsid w:val="00485EE2"/>
    <w:rsid w:val="00486384"/>
    <w:rsid w:val="00486553"/>
    <w:rsid w:val="00486D58"/>
    <w:rsid w:val="00486E06"/>
    <w:rsid w:val="00487150"/>
    <w:rsid w:val="004874A3"/>
    <w:rsid w:val="004874D8"/>
    <w:rsid w:val="00487A65"/>
    <w:rsid w:val="00487D43"/>
    <w:rsid w:val="00490349"/>
    <w:rsid w:val="00490421"/>
    <w:rsid w:val="0049057B"/>
    <w:rsid w:val="00490A55"/>
    <w:rsid w:val="00490D00"/>
    <w:rsid w:val="00490D5F"/>
    <w:rsid w:val="00490D64"/>
    <w:rsid w:val="00490F9A"/>
    <w:rsid w:val="0049118E"/>
    <w:rsid w:val="004913BE"/>
    <w:rsid w:val="004916C9"/>
    <w:rsid w:val="00491EEB"/>
    <w:rsid w:val="00491F89"/>
    <w:rsid w:val="004920CC"/>
    <w:rsid w:val="004923F7"/>
    <w:rsid w:val="004924BD"/>
    <w:rsid w:val="0049363D"/>
    <w:rsid w:val="00493C9E"/>
    <w:rsid w:val="00493F3B"/>
    <w:rsid w:val="0049482E"/>
    <w:rsid w:val="004948B3"/>
    <w:rsid w:val="00494A20"/>
    <w:rsid w:val="00495418"/>
    <w:rsid w:val="00495FD9"/>
    <w:rsid w:val="004965B3"/>
    <w:rsid w:val="004966C1"/>
    <w:rsid w:val="00496DB7"/>
    <w:rsid w:val="00497669"/>
    <w:rsid w:val="004978EE"/>
    <w:rsid w:val="00497920"/>
    <w:rsid w:val="004A018C"/>
    <w:rsid w:val="004A07AC"/>
    <w:rsid w:val="004A0E96"/>
    <w:rsid w:val="004A12D4"/>
    <w:rsid w:val="004A22F4"/>
    <w:rsid w:val="004A273E"/>
    <w:rsid w:val="004A2E68"/>
    <w:rsid w:val="004A2E69"/>
    <w:rsid w:val="004A30A1"/>
    <w:rsid w:val="004A33AC"/>
    <w:rsid w:val="004A3689"/>
    <w:rsid w:val="004A49D1"/>
    <w:rsid w:val="004A5017"/>
    <w:rsid w:val="004A5124"/>
    <w:rsid w:val="004A515B"/>
    <w:rsid w:val="004A517F"/>
    <w:rsid w:val="004A5482"/>
    <w:rsid w:val="004A574C"/>
    <w:rsid w:val="004A5E10"/>
    <w:rsid w:val="004A5EE7"/>
    <w:rsid w:val="004A6706"/>
    <w:rsid w:val="004A6A71"/>
    <w:rsid w:val="004A6B29"/>
    <w:rsid w:val="004A6E1D"/>
    <w:rsid w:val="004A7148"/>
    <w:rsid w:val="004A75E4"/>
    <w:rsid w:val="004B0132"/>
    <w:rsid w:val="004B027E"/>
    <w:rsid w:val="004B07DC"/>
    <w:rsid w:val="004B0950"/>
    <w:rsid w:val="004B0B09"/>
    <w:rsid w:val="004B0B20"/>
    <w:rsid w:val="004B0DCF"/>
    <w:rsid w:val="004B0FDA"/>
    <w:rsid w:val="004B12F0"/>
    <w:rsid w:val="004B1697"/>
    <w:rsid w:val="004B16E3"/>
    <w:rsid w:val="004B173A"/>
    <w:rsid w:val="004B1D16"/>
    <w:rsid w:val="004B2265"/>
    <w:rsid w:val="004B22DD"/>
    <w:rsid w:val="004B287F"/>
    <w:rsid w:val="004B31FF"/>
    <w:rsid w:val="004B32F1"/>
    <w:rsid w:val="004B344B"/>
    <w:rsid w:val="004B376D"/>
    <w:rsid w:val="004B3D63"/>
    <w:rsid w:val="004B3EE6"/>
    <w:rsid w:val="004B463A"/>
    <w:rsid w:val="004B52E1"/>
    <w:rsid w:val="004B5F8E"/>
    <w:rsid w:val="004B5FEE"/>
    <w:rsid w:val="004B6415"/>
    <w:rsid w:val="004B6A42"/>
    <w:rsid w:val="004B6C74"/>
    <w:rsid w:val="004B75DC"/>
    <w:rsid w:val="004B7717"/>
    <w:rsid w:val="004B77ED"/>
    <w:rsid w:val="004B7872"/>
    <w:rsid w:val="004B7CE8"/>
    <w:rsid w:val="004C0A97"/>
    <w:rsid w:val="004C0CC8"/>
    <w:rsid w:val="004C1194"/>
    <w:rsid w:val="004C1438"/>
    <w:rsid w:val="004C155C"/>
    <w:rsid w:val="004C17A6"/>
    <w:rsid w:val="004C1C35"/>
    <w:rsid w:val="004C27BD"/>
    <w:rsid w:val="004C2DD2"/>
    <w:rsid w:val="004C317C"/>
    <w:rsid w:val="004C349F"/>
    <w:rsid w:val="004C36D6"/>
    <w:rsid w:val="004C3893"/>
    <w:rsid w:val="004C3EC9"/>
    <w:rsid w:val="004C4075"/>
    <w:rsid w:val="004C4415"/>
    <w:rsid w:val="004C4609"/>
    <w:rsid w:val="004C4742"/>
    <w:rsid w:val="004C4933"/>
    <w:rsid w:val="004C52FE"/>
    <w:rsid w:val="004C5B2B"/>
    <w:rsid w:val="004C5BEA"/>
    <w:rsid w:val="004C60BD"/>
    <w:rsid w:val="004C6197"/>
    <w:rsid w:val="004C6280"/>
    <w:rsid w:val="004C705A"/>
    <w:rsid w:val="004C7229"/>
    <w:rsid w:val="004C74A4"/>
    <w:rsid w:val="004C7820"/>
    <w:rsid w:val="004C7CE2"/>
    <w:rsid w:val="004D003D"/>
    <w:rsid w:val="004D0044"/>
    <w:rsid w:val="004D01A5"/>
    <w:rsid w:val="004D0363"/>
    <w:rsid w:val="004D08F4"/>
    <w:rsid w:val="004D0AA7"/>
    <w:rsid w:val="004D0F20"/>
    <w:rsid w:val="004D13B5"/>
    <w:rsid w:val="004D13E7"/>
    <w:rsid w:val="004D1BE9"/>
    <w:rsid w:val="004D20BA"/>
    <w:rsid w:val="004D215C"/>
    <w:rsid w:val="004D242A"/>
    <w:rsid w:val="004D27EA"/>
    <w:rsid w:val="004D3559"/>
    <w:rsid w:val="004D38A3"/>
    <w:rsid w:val="004D3F8B"/>
    <w:rsid w:val="004D4A74"/>
    <w:rsid w:val="004D4AD8"/>
    <w:rsid w:val="004D4ADD"/>
    <w:rsid w:val="004D4E0A"/>
    <w:rsid w:val="004D4F17"/>
    <w:rsid w:val="004D59CE"/>
    <w:rsid w:val="004D5A88"/>
    <w:rsid w:val="004D5CF0"/>
    <w:rsid w:val="004D607D"/>
    <w:rsid w:val="004D62F2"/>
    <w:rsid w:val="004D686A"/>
    <w:rsid w:val="004D7565"/>
    <w:rsid w:val="004D7805"/>
    <w:rsid w:val="004E06A0"/>
    <w:rsid w:val="004E0A90"/>
    <w:rsid w:val="004E11F4"/>
    <w:rsid w:val="004E1464"/>
    <w:rsid w:val="004E1B62"/>
    <w:rsid w:val="004E205D"/>
    <w:rsid w:val="004E20B2"/>
    <w:rsid w:val="004E2E1C"/>
    <w:rsid w:val="004E30C2"/>
    <w:rsid w:val="004E3575"/>
    <w:rsid w:val="004E4167"/>
    <w:rsid w:val="004E42CA"/>
    <w:rsid w:val="004E4586"/>
    <w:rsid w:val="004E4ECE"/>
    <w:rsid w:val="004E525D"/>
    <w:rsid w:val="004E53F7"/>
    <w:rsid w:val="004E58F2"/>
    <w:rsid w:val="004E59EE"/>
    <w:rsid w:val="004E5EAE"/>
    <w:rsid w:val="004E601F"/>
    <w:rsid w:val="004E6B08"/>
    <w:rsid w:val="004E6CFA"/>
    <w:rsid w:val="004E6E8A"/>
    <w:rsid w:val="004E7075"/>
    <w:rsid w:val="004E70D8"/>
    <w:rsid w:val="004E72C2"/>
    <w:rsid w:val="004E7337"/>
    <w:rsid w:val="004E7768"/>
    <w:rsid w:val="004E7793"/>
    <w:rsid w:val="004E77CE"/>
    <w:rsid w:val="004E7F5A"/>
    <w:rsid w:val="004F01BF"/>
    <w:rsid w:val="004F099A"/>
    <w:rsid w:val="004F09B3"/>
    <w:rsid w:val="004F103F"/>
    <w:rsid w:val="004F19D2"/>
    <w:rsid w:val="004F1A97"/>
    <w:rsid w:val="004F1D61"/>
    <w:rsid w:val="004F1E21"/>
    <w:rsid w:val="004F1ED6"/>
    <w:rsid w:val="004F1F7B"/>
    <w:rsid w:val="004F228A"/>
    <w:rsid w:val="004F22E9"/>
    <w:rsid w:val="004F24B0"/>
    <w:rsid w:val="004F2739"/>
    <w:rsid w:val="004F28E7"/>
    <w:rsid w:val="004F2DCA"/>
    <w:rsid w:val="004F32A6"/>
    <w:rsid w:val="004F3476"/>
    <w:rsid w:val="004F3D20"/>
    <w:rsid w:val="004F4325"/>
    <w:rsid w:val="004F4426"/>
    <w:rsid w:val="004F4461"/>
    <w:rsid w:val="004F460E"/>
    <w:rsid w:val="004F4692"/>
    <w:rsid w:val="004F4BB9"/>
    <w:rsid w:val="004F4BCA"/>
    <w:rsid w:val="004F5601"/>
    <w:rsid w:val="004F5D22"/>
    <w:rsid w:val="004F63B9"/>
    <w:rsid w:val="004F6F2C"/>
    <w:rsid w:val="004F7506"/>
    <w:rsid w:val="004F762E"/>
    <w:rsid w:val="004F7785"/>
    <w:rsid w:val="004F79C5"/>
    <w:rsid w:val="004F7E8C"/>
    <w:rsid w:val="00500015"/>
    <w:rsid w:val="005004BC"/>
    <w:rsid w:val="00500731"/>
    <w:rsid w:val="00500AA8"/>
    <w:rsid w:val="0050100A"/>
    <w:rsid w:val="0050111B"/>
    <w:rsid w:val="0050147E"/>
    <w:rsid w:val="005020CB"/>
    <w:rsid w:val="00502A55"/>
    <w:rsid w:val="00502CFF"/>
    <w:rsid w:val="00503717"/>
    <w:rsid w:val="005038DB"/>
    <w:rsid w:val="00503BD4"/>
    <w:rsid w:val="00504431"/>
    <w:rsid w:val="00505034"/>
    <w:rsid w:val="00505676"/>
    <w:rsid w:val="005056EA"/>
    <w:rsid w:val="0050574E"/>
    <w:rsid w:val="00506D26"/>
    <w:rsid w:val="00507B19"/>
    <w:rsid w:val="00507C25"/>
    <w:rsid w:val="00507FA9"/>
    <w:rsid w:val="00510126"/>
    <w:rsid w:val="0051060F"/>
    <w:rsid w:val="0051064D"/>
    <w:rsid w:val="0051093E"/>
    <w:rsid w:val="00510ABD"/>
    <w:rsid w:val="00510D12"/>
    <w:rsid w:val="00511253"/>
    <w:rsid w:val="005113D0"/>
    <w:rsid w:val="00511A39"/>
    <w:rsid w:val="00511BAD"/>
    <w:rsid w:val="00511D9E"/>
    <w:rsid w:val="00512862"/>
    <w:rsid w:val="00512BF0"/>
    <w:rsid w:val="00512F23"/>
    <w:rsid w:val="005132E4"/>
    <w:rsid w:val="005140E8"/>
    <w:rsid w:val="005142CF"/>
    <w:rsid w:val="005145A9"/>
    <w:rsid w:val="005147A0"/>
    <w:rsid w:val="0051543B"/>
    <w:rsid w:val="0051676F"/>
    <w:rsid w:val="00516E41"/>
    <w:rsid w:val="00517090"/>
    <w:rsid w:val="00517A78"/>
    <w:rsid w:val="005201F1"/>
    <w:rsid w:val="0052035E"/>
    <w:rsid w:val="00522480"/>
    <w:rsid w:val="005228AC"/>
    <w:rsid w:val="00522A41"/>
    <w:rsid w:val="00522EA4"/>
    <w:rsid w:val="00523F9C"/>
    <w:rsid w:val="005244D9"/>
    <w:rsid w:val="005245DF"/>
    <w:rsid w:val="005255F3"/>
    <w:rsid w:val="0052562F"/>
    <w:rsid w:val="00525B67"/>
    <w:rsid w:val="00526292"/>
    <w:rsid w:val="005263DF"/>
    <w:rsid w:val="005264A7"/>
    <w:rsid w:val="00527249"/>
    <w:rsid w:val="00527B73"/>
    <w:rsid w:val="00527CA8"/>
    <w:rsid w:val="00530E0B"/>
    <w:rsid w:val="005312F9"/>
    <w:rsid w:val="0053135F"/>
    <w:rsid w:val="005315F9"/>
    <w:rsid w:val="00531E7A"/>
    <w:rsid w:val="00532936"/>
    <w:rsid w:val="00532B5C"/>
    <w:rsid w:val="00532D7A"/>
    <w:rsid w:val="00532FB1"/>
    <w:rsid w:val="00533922"/>
    <w:rsid w:val="005341EE"/>
    <w:rsid w:val="005342FB"/>
    <w:rsid w:val="005343DB"/>
    <w:rsid w:val="005346A4"/>
    <w:rsid w:val="00534893"/>
    <w:rsid w:val="00534A26"/>
    <w:rsid w:val="00534D4F"/>
    <w:rsid w:val="00534E59"/>
    <w:rsid w:val="00535362"/>
    <w:rsid w:val="00536382"/>
    <w:rsid w:val="00536E44"/>
    <w:rsid w:val="00536E81"/>
    <w:rsid w:val="00536EAF"/>
    <w:rsid w:val="00540129"/>
    <w:rsid w:val="00540515"/>
    <w:rsid w:val="00540522"/>
    <w:rsid w:val="0054080A"/>
    <w:rsid w:val="00540987"/>
    <w:rsid w:val="00540A1F"/>
    <w:rsid w:val="00541199"/>
    <w:rsid w:val="00541913"/>
    <w:rsid w:val="00541A01"/>
    <w:rsid w:val="00541C7E"/>
    <w:rsid w:val="005423E8"/>
    <w:rsid w:val="00542A98"/>
    <w:rsid w:val="00543473"/>
    <w:rsid w:val="00543ACD"/>
    <w:rsid w:val="00543CFA"/>
    <w:rsid w:val="00543FB9"/>
    <w:rsid w:val="0054418D"/>
    <w:rsid w:val="005447EB"/>
    <w:rsid w:val="00544A05"/>
    <w:rsid w:val="00544A19"/>
    <w:rsid w:val="00544CB7"/>
    <w:rsid w:val="0054503F"/>
    <w:rsid w:val="0054509B"/>
    <w:rsid w:val="0054517F"/>
    <w:rsid w:val="00545581"/>
    <w:rsid w:val="00545CC4"/>
    <w:rsid w:val="00545D72"/>
    <w:rsid w:val="00545E4C"/>
    <w:rsid w:val="0054624C"/>
    <w:rsid w:val="0054671A"/>
    <w:rsid w:val="00546A62"/>
    <w:rsid w:val="00546BAE"/>
    <w:rsid w:val="00546D54"/>
    <w:rsid w:val="0054731D"/>
    <w:rsid w:val="005474B5"/>
    <w:rsid w:val="00547899"/>
    <w:rsid w:val="00547DF8"/>
    <w:rsid w:val="00550163"/>
    <w:rsid w:val="005505B9"/>
    <w:rsid w:val="005508C6"/>
    <w:rsid w:val="00550CA7"/>
    <w:rsid w:val="00550FCE"/>
    <w:rsid w:val="005516C9"/>
    <w:rsid w:val="00551952"/>
    <w:rsid w:val="00551A04"/>
    <w:rsid w:val="00551FE5"/>
    <w:rsid w:val="00552387"/>
    <w:rsid w:val="00552487"/>
    <w:rsid w:val="00552A43"/>
    <w:rsid w:val="00552EEB"/>
    <w:rsid w:val="00553810"/>
    <w:rsid w:val="00553829"/>
    <w:rsid w:val="005538FA"/>
    <w:rsid w:val="00553A7E"/>
    <w:rsid w:val="005545A3"/>
    <w:rsid w:val="00554B2F"/>
    <w:rsid w:val="00555203"/>
    <w:rsid w:val="0055537E"/>
    <w:rsid w:val="0055548D"/>
    <w:rsid w:val="00555542"/>
    <w:rsid w:val="00555C48"/>
    <w:rsid w:val="00555D6D"/>
    <w:rsid w:val="005561BD"/>
    <w:rsid w:val="005568D0"/>
    <w:rsid w:val="00556E1F"/>
    <w:rsid w:val="005571ED"/>
    <w:rsid w:val="0055730A"/>
    <w:rsid w:val="005573CA"/>
    <w:rsid w:val="00557B0E"/>
    <w:rsid w:val="005604B8"/>
    <w:rsid w:val="005604E8"/>
    <w:rsid w:val="00560CC1"/>
    <w:rsid w:val="0056112F"/>
    <w:rsid w:val="0056126C"/>
    <w:rsid w:val="0056127A"/>
    <w:rsid w:val="005614C1"/>
    <w:rsid w:val="0056200D"/>
    <w:rsid w:val="005623CE"/>
    <w:rsid w:val="005631E0"/>
    <w:rsid w:val="00563230"/>
    <w:rsid w:val="00563267"/>
    <w:rsid w:val="005634EE"/>
    <w:rsid w:val="0056355B"/>
    <w:rsid w:val="005635F1"/>
    <w:rsid w:val="005646D1"/>
    <w:rsid w:val="00564CED"/>
    <w:rsid w:val="005650B9"/>
    <w:rsid w:val="00565EBC"/>
    <w:rsid w:val="00566267"/>
    <w:rsid w:val="0056628A"/>
    <w:rsid w:val="005662F4"/>
    <w:rsid w:val="00566566"/>
    <w:rsid w:val="00566E90"/>
    <w:rsid w:val="00566FAF"/>
    <w:rsid w:val="005670E2"/>
    <w:rsid w:val="0056735A"/>
    <w:rsid w:val="0056783F"/>
    <w:rsid w:val="005704AB"/>
    <w:rsid w:val="0057078F"/>
    <w:rsid w:val="005708AA"/>
    <w:rsid w:val="005708AD"/>
    <w:rsid w:val="00570A9E"/>
    <w:rsid w:val="00570D58"/>
    <w:rsid w:val="005711E2"/>
    <w:rsid w:val="0057124B"/>
    <w:rsid w:val="005714B2"/>
    <w:rsid w:val="00571632"/>
    <w:rsid w:val="00571662"/>
    <w:rsid w:val="00571C19"/>
    <w:rsid w:val="00571C1E"/>
    <w:rsid w:val="005721EA"/>
    <w:rsid w:val="0057327E"/>
    <w:rsid w:val="00573396"/>
    <w:rsid w:val="00573B96"/>
    <w:rsid w:val="0057404A"/>
    <w:rsid w:val="00574242"/>
    <w:rsid w:val="00574353"/>
    <w:rsid w:val="005746A2"/>
    <w:rsid w:val="0057471E"/>
    <w:rsid w:val="005753E5"/>
    <w:rsid w:val="0057592F"/>
    <w:rsid w:val="00576132"/>
    <w:rsid w:val="00576557"/>
    <w:rsid w:val="00577024"/>
    <w:rsid w:val="0057796F"/>
    <w:rsid w:val="00577A8E"/>
    <w:rsid w:val="005807BA"/>
    <w:rsid w:val="00580CE9"/>
    <w:rsid w:val="0058124A"/>
    <w:rsid w:val="0058132D"/>
    <w:rsid w:val="00581772"/>
    <w:rsid w:val="005830DE"/>
    <w:rsid w:val="00583234"/>
    <w:rsid w:val="00583DA8"/>
    <w:rsid w:val="005845FD"/>
    <w:rsid w:val="00584CDC"/>
    <w:rsid w:val="00585CDB"/>
    <w:rsid w:val="00585D6D"/>
    <w:rsid w:val="00585F9F"/>
    <w:rsid w:val="005863E9"/>
    <w:rsid w:val="0058650E"/>
    <w:rsid w:val="005867D6"/>
    <w:rsid w:val="00586962"/>
    <w:rsid w:val="00586DB2"/>
    <w:rsid w:val="0058735E"/>
    <w:rsid w:val="005874FB"/>
    <w:rsid w:val="0058765E"/>
    <w:rsid w:val="00587CA4"/>
    <w:rsid w:val="00587E09"/>
    <w:rsid w:val="00587EBE"/>
    <w:rsid w:val="005901D4"/>
    <w:rsid w:val="00590201"/>
    <w:rsid w:val="00590707"/>
    <w:rsid w:val="00590A2E"/>
    <w:rsid w:val="00590C5D"/>
    <w:rsid w:val="00590CD5"/>
    <w:rsid w:val="005911A1"/>
    <w:rsid w:val="005917A8"/>
    <w:rsid w:val="00591F02"/>
    <w:rsid w:val="0059232C"/>
    <w:rsid w:val="00592628"/>
    <w:rsid w:val="00592D01"/>
    <w:rsid w:val="005930BC"/>
    <w:rsid w:val="005932E5"/>
    <w:rsid w:val="00593350"/>
    <w:rsid w:val="0059369D"/>
    <w:rsid w:val="00593A8E"/>
    <w:rsid w:val="00593C81"/>
    <w:rsid w:val="00593DE5"/>
    <w:rsid w:val="00593F42"/>
    <w:rsid w:val="00594118"/>
    <w:rsid w:val="00594857"/>
    <w:rsid w:val="00594CA5"/>
    <w:rsid w:val="005958A8"/>
    <w:rsid w:val="005961BD"/>
    <w:rsid w:val="00596399"/>
    <w:rsid w:val="00596718"/>
    <w:rsid w:val="00596826"/>
    <w:rsid w:val="00596A60"/>
    <w:rsid w:val="00596BD3"/>
    <w:rsid w:val="005970DE"/>
    <w:rsid w:val="00597A2D"/>
    <w:rsid w:val="005A08FE"/>
    <w:rsid w:val="005A0B0D"/>
    <w:rsid w:val="005A1540"/>
    <w:rsid w:val="005A1911"/>
    <w:rsid w:val="005A1A8A"/>
    <w:rsid w:val="005A21EB"/>
    <w:rsid w:val="005A2354"/>
    <w:rsid w:val="005A267E"/>
    <w:rsid w:val="005A296C"/>
    <w:rsid w:val="005A3063"/>
    <w:rsid w:val="005A392D"/>
    <w:rsid w:val="005A3B55"/>
    <w:rsid w:val="005A3B72"/>
    <w:rsid w:val="005A3F20"/>
    <w:rsid w:val="005A41F0"/>
    <w:rsid w:val="005A4202"/>
    <w:rsid w:val="005A42ED"/>
    <w:rsid w:val="005A491A"/>
    <w:rsid w:val="005A5798"/>
    <w:rsid w:val="005A5940"/>
    <w:rsid w:val="005A598C"/>
    <w:rsid w:val="005A5998"/>
    <w:rsid w:val="005A5F32"/>
    <w:rsid w:val="005A6356"/>
    <w:rsid w:val="005A6493"/>
    <w:rsid w:val="005A64D4"/>
    <w:rsid w:val="005A6B13"/>
    <w:rsid w:val="005A6D9C"/>
    <w:rsid w:val="005A7722"/>
    <w:rsid w:val="005A7A82"/>
    <w:rsid w:val="005A7F59"/>
    <w:rsid w:val="005B012E"/>
    <w:rsid w:val="005B01DD"/>
    <w:rsid w:val="005B0283"/>
    <w:rsid w:val="005B0506"/>
    <w:rsid w:val="005B0DC7"/>
    <w:rsid w:val="005B0F50"/>
    <w:rsid w:val="005B0FE8"/>
    <w:rsid w:val="005B11DD"/>
    <w:rsid w:val="005B19F2"/>
    <w:rsid w:val="005B1C58"/>
    <w:rsid w:val="005B2678"/>
    <w:rsid w:val="005B2C78"/>
    <w:rsid w:val="005B35FB"/>
    <w:rsid w:val="005B36DB"/>
    <w:rsid w:val="005B3792"/>
    <w:rsid w:val="005B37E4"/>
    <w:rsid w:val="005B3F58"/>
    <w:rsid w:val="005B414A"/>
    <w:rsid w:val="005B4153"/>
    <w:rsid w:val="005B4303"/>
    <w:rsid w:val="005B4611"/>
    <w:rsid w:val="005B4D0C"/>
    <w:rsid w:val="005B5483"/>
    <w:rsid w:val="005B5904"/>
    <w:rsid w:val="005B59E6"/>
    <w:rsid w:val="005B5AA3"/>
    <w:rsid w:val="005B5B54"/>
    <w:rsid w:val="005B5D55"/>
    <w:rsid w:val="005B6B0F"/>
    <w:rsid w:val="005B6EE0"/>
    <w:rsid w:val="005B73C1"/>
    <w:rsid w:val="005B7509"/>
    <w:rsid w:val="005B752C"/>
    <w:rsid w:val="005C014C"/>
    <w:rsid w:val="005C04B5"/>
    <w:rsid w:val="005C065C"/>
    <w:rsid w:val="005C0CFF"/>
    <w:rsid w:val="005C0ECE"/>
    <w:rsid w:val="005C1258"/>
    <w:rsid w:val="005C1694"/>
    <w:rsid w:val="005C1859"/>
    <w:rsid w:val="005C189F"/>
    <w:rsid w:val="005C19AF"/>
    <w:rsid w:val="005C1C2E"/>
    <w:rsid w:val="005C240B"/>
    <w:rsid w:val="005C2775"/>
    <w:rsid w:val="005C2CB3"/>
    <w:rsid w:val="005C35A3"/>
    <w:rsid w:val="005C35CF"/>
    <w:rsid w:val="005C39C0"/>
    <w:rsid w:val="005C3C80"/>
    <w:rsid w:val="005C3F62"/>
    <w:rsid w:val="005C3F79"/>
    <w:rsid w:val="005C417E"/>
    <w:rsid w:val="005C4200"/>
    <w:rsid w:val="005C42A5"/>
    <w:rsid w:val="005C4C76"/>
    <w:rsid w:val="005C4CBD"/>
    <w:rsid w:val="005C4DA4"/>
    <w:rsid w:val="005C4FED"/>
    <w:rsid w:val="005C52B9"/>
    <w:rsid w:val="005C5663"/>
    <w:rsid w:val="005C5799"/>
    <w:rsid w:val="005C59BA"/>
    <w:rsid w:val="005C6160"/>
    <w:rsid w:val="005C6367"/>
    <w:rsid w:val="005C6BAB"/>
    <w:rsid w:val="005C6D58"/>
    <w:rsid w:val="005C7670"/>
    <w:rsid w:val="005C7D50"/>
    <w:rsid w:val="005C7E11"/>
    <w:rsid w:val="005C7F78"/>
    <w:rsid w:val="005D00C0"/>
    <w:rsid w:val="005D086C"/>
    <w:rsid w:val="005D0B7D"/>
    <w:rsid w:val="005D0B9F"/>
    <w:rsid w:val="005D13BE"/>
    <w:rsid w:val="005D1724"/>
    <w:rsid w:val="005D1B64"/>
    <w:rsid w:val="005D1C86"/>
    <w:rsid w:val="005D1E53"/>
    <w:rsid w:val="005D21C0"/>
    <w:rsid w:val="005D3666"/>
    <w:rsid w:val="005D3A29"/>
    <w:rsid w:val="005D40DC"/>
    <w:rsid w:val="005D49A4"/>
    <w:rsid w:val="005D50BB"/>
    <w:rsid w:val="005D5187"/>
    <w:rsid w:val="005D518B"/>
    <w:rsid w:val="005D57A4"/>
    <w:rsid w:val="005D5A63"/>
    <w:rsid w:val="005D5C2D"/>
    <w:rsid w:val="005D5EAE"/>
    <w:rsid w:val="005D664C"/>
    <w:rsid w:val="005D694F"/>
    <w:rsid w:val="005D696F"/>
    <w:rsid w:val="005D6E0A"/>
    <w:rsid w:val="005D704B"/>
    <w:rsid w:val="005D74EE"/>
    <w:rsid w:val="005D7B06"/>
    <w:rsid w:val="005E0480"/>
    <w:rsid w:val="005E0644"/>
    <w:rsid w:val="005E0A52"/>
    <w:rsid w:val="005E0A90"/>
    <w:rsid w:val="005E0EDB"/>
    <w:rsid w:val="005E0FCB"/>
    <w:rsid w:val="005E13C5"/>
    <w:rsid w:val="005E17CE"/>
    <w:rsid w:val="005E188F"/>
    <w:rsid w:val="005E1B4E"/>
    <w:rsid w:val="005E24E7"/>
    <w:rsid w:val="005E2623"/>
    <w:rsid w:val="005E2BEA"/>
    <w:rsid w:val="005E2EFA"/>
    <w:rsid w:val="005E3508"/>
    <w:rsid w:val="005E3680"/>
    <w:rsid w:val="005E3930"/>
    <w:rsid w:val="005E3A16"/>
    <w:rsid w:val="005E4144"/>
    <w:rsid w:val="005E438F"/>
    <w:rsid w:val="005E454F"/>
    <w:rsid w:val="005E4866"/>
    <w:rsid w:val="005E5118"/>
    <w:rsid w:val="005E5149"/>
    <w:rsid w:val="005E5192"/>
    <w:rsid w:val="005E62DF"/>
    <w:rsid w:val="005E6A21"/>
    <w:rsid w:val="005E6C6D"/>
    <w:rsid w:val="005E6DAD"/>
    <w:rsid w:val="005E732F"/>
    <w:rsid w:val="005E74D7"/>
    <w:rsid w:val="005E758C"/>
    <w:rsid w:val="005E79C6"/>
    <w:rsid w:val="005F0031"/>
    <w:rsid w:val="005F0454"/>
    <w:rsid w:val="005F0693"/>
    <w:rsid w:val="005F081C"/>
    <w:rsid w:val="005F0A5B"/>
    <w:rsid w:val="005F0C2C"/>
    <w:rsid w:val="005F0D3B"/>
    <w:rsid w:val="005F1237"/>
    <w:rsid w:val="005F1A8E"/>
    <w:rsid w:val="005F1B34"/>
    <w:rsid w:val="005F2E64"/>
    <w:rsid w:val="005F2EF7"/>
    <w:rsid w:val="005F309B"/>
    <w:rsid w:val="005F34A8"/>
    <w:rsid w:val="005F39FE"/>
    <w:rsid w:val="005F3A0E"/>
    <w:rsid w:val="005F3BA5"/>
    <w:rsid w:val="005F3CDC"/>
    <w:rsid w:val="005F4497"/>
    <w:rsid w:val="005F453B"/>
    <w:rsid w:val="005F4A72"/>
    <w:rsid w:val="005F4CBF"/>
    <w:rsid w:val="005F505A"/>
    <w:rsid w:val="005F572A"/>
    <w:rsid w:val="005F5CCB"/>
    <w:rsid w:val="005F5F24"/>
    <w:rsid w:val="005F63F2"/>
    <w:rsid w:val="005F641C"/>
    <w:rsid w:val="005F6436"/>
    <w:rsid w:val="005F6568"/>
    <w:rsid w:val="005F6BEF"/>
    <w:rsid w:val="005F6C43"/>
    <w:rsid w:val="005F6E1A"/>
    <w:rsid w:val="005F711B"/>
    <w:rsid w:val="005F720D"/>
    <w:rsid w:val="005F73AB"/>
    <w:rsid w:val="005F784F"/>
    <w:rsid w:val="005F7AF1"/>
    <w:rsid w:val="005F7E54"/>
    <w:rsid w:val="005F7F62"/>
    <w:rsid w:val="005F7FCE"/>
    <w:rsid w:val="00600604"/>
    <w:rsid w:val="00600993"/>
    <w:rsid w:val="00600E12"/>
    <w:rsid w:val="00601311"/>
    <w:rsid w:val="0060177C"/>
    <w:rsid w:val="006017F9"/>
    <w:rsid w:val="00601BCE"/>
    <w:rsid w:val="006030FD"/>
    <w:rsid w:val="00603116"/>
    <w:rsid w:val="00603278"/>
    <w:rsid w:val="0060380C"/>
    <w:rsid w:val="006040A0"/>
    <w:rsid w:val="00604442"/>
    <w:rsid w:val="00604B5E"/>
    <w:rsid w:val="00604D3F"/>
    <w:rsid w:val="00605107"/>
    <w:rsid w:val="00605B19"/>
    <w:rsid w:val="00605B9F"/>
    <w:rsid w:val="00605EF3"/>
    <w:rsid w:val="00606309"/>
    <w:rsid w:val="0060671F"/>
    <w:rsid w:val="006069DA"/>
    <w:rsid w:val="00606BEC"/>
    <w:rsid w:val="00606D2D"/>
    <w:rsid w:val="00607721"/>
    <w:rsid w:val="0060787B"/>
    <w:rsid w:val="006100DA"/>
    <w:rsid w:val="006105D3"/>
    <w:rsid w:val="006105D6"/>
    <w:rsid w:val="00610C3B"/>
    <w:rsid w:val="00610F5E"/>
    <w:rsid w:val="006117E3"/>
    <w:rsid w:val="0061190D"/>
    <w:rsid w:val="0061279E"/>
    <w:rsid w:val="00612825"/>
    <w:rsid w:val="00612978"/>
    <w:rsid w:val="00612FC2"/>
    <w:rsid w:val="00613210"/>
    <w:rsid w:val="006133A7"/>
    <w:rsid w:val="0061357D"/>
    <w:rsid w:val="006137AC"/>
    <w:rsid w:val="00613D84"/>
    <w:rsid w:val="006149BB"/>
    <w:rsid w:val="00614AE1"/>
    <w:rsid w:val="00615012"/>
    <w:rsid w:val="00615255"/>
    <w:rsid w:val="00615796"/>
    <w:rsid w:val="006158A7"/>
    <w:rsid w:val="0061590B"/>
    <w:rsid w:val="00615D1B"/>
    <w:rsid w:val="006160C7"/>
    <w:rsid w:val="006163AC"/>
    <w:rsid w:val="00616A26"/>
    <w:rsid w:val="00616B9B"/>
    <w:rsid w:val="00616C00"/>
    <w:rsid w:val="00616DB8"/>
    <w:rsid w:val="00616E46"/>
    <w:rsid w:val="00616E83"/>
    <w:rsid w:val="00617A23"/>
    <w:rsid w:val="00617A8A"/>
    <w:rsid w:val="00617BDF"/>
    <w:rsid w:val="00617DCB"/>
    <w:rsid w:val="00620C5E"/>
    <w:rsid w:val="00620E13"/>
    <w:rsid w:val="006212BA"/>
    <w:rsid w:val="006214E2"/>
    <w:rsid w:val="00621C61"/>
    <w:rsid w:val="00621ED0"/>
    <w:rsid w:val="00622159"/>
    <w:rsid w:val="0062221F"/>
    <w:rsid w:val="0062254F"/>
    <w:rsid w:val="0062268A"/>
    <w:rsid w:val="00623357"/>
    <w:rsid w:val="006233D0"/>
    <w:rsid w:val="00623681"/>
    <w:rsid w:val="00623CA6"/>
    <w:rsid w:val="00624144"/>
    <w:rsid w:val="00624B42"/>
    <w:rsid w:val="00624CA6"/>
    <w:rsid w:val="00625C1A"/>
    <w:rsid w:val="00625E6C"/>
    <w:rsid w:val="006261D0"/>
    <w:rsid w:val="006264D8"/>
    <w:rsid w:val="00626783"/>
    <w:rsid w:val="00627633"/>
    <w:rsid w:val="0062792E"/>
    <w:rsid w:val="00627A41"/>
    <w:rsid w:val="00627AEF"/>
    <w:rsid w:val="00630434"/>
    <w:rsid w:val="00630B33"/>
    <w:rsid w:val="00630C6B"/>
    <w:rsid w:val="00630CA6"/>
    <w:rsid w:val="00630E1A"/>
    <w:rsid w:val="00630EE8"/>
    <w:rsid w:val="0063107F"/>
    <w:rsid w:val="00631823"/>
    <w:rsid w:val="00632009"/>
    <w:rsid w:val="00632211"/>
    <w:rsid w:val="00632538"/>
    <w:rsid w:val="0063270F"/>
    <w:rsid w:val="006329B5"/>
    <w:rsid w:val="00633601"/>
    <w:rsid w:val="00633648"/>
    <w:rsid w:val="00633D90"/>
    <w:rsid w:val="006352E8"/>
    <w:rsid w:val="006356E5"/>
    <w:rsid w:val="00635B94"/>
    <w:rsid w:val="00635B98"/>
    <w:rsid w:val="00636498"/>
    <w:rsid w:val="006365A0"/>
    <w:rsid w:val="00637054"/>
    <w:rsid w:val="00637280"/>
    <w:rsid w:val="006374FD"/>
    <w:rsid w:val="00637505"/>
    <w:rsid w:val="0063753C"/>
    <w:rsid w:val="00637B1E"/>
    <w:rsid w:val="00637B9B"/>
    <w:rsid w:val="00637FAE"/>
    <w:rsid w:val="006400DB"/>
    <w:rsid w:val="00640422"/>
    <w:rsid w:val="006413F4"/>
    <w:rsid w:val="00641B70"/>
    <w:rsid w:val="00641D29"/>
    <w:rsid w:val="006427DC"/>
    <w:rsid w:val="00642921"/>
    <w:rsid w:val="00642B1D"/>
    <w:rsid w:val="00642EE2"/>
    <w:rsid w:val="00643624"/>
    <w:rsid w:val="00643994"/>
    <w:rsid w:val="00643F33"/>
    <w:rsid w:val="006448BB"/>
    <w:rsid w:val="00644CA0"/>
    <w:rsid w:val="0064505B"/>
    <w:rsid w:val="006450E0"/>
    <w:rsid w:val="00645284"/>
    <w:rsid w:val="0064567A"/>
    <w:rsid w:val="006466D3"/>
    <w:rsid w:val="00646955"/>
    <w:rsid w:val="00646BD3"/>
    <w:rsid w:val="00646C2D"/>
    <w:rsid w:val="00647350"/>
    <w:rsid w:val="00647960"/>
    <w:rsid w:val="00647A86"/>
    <w:rsid w:val="00647EB6"/>
    <w:rsid w:val="00650857"/>
    <w:rsid w:val="00650B75"/>
    <w:rsid w:val="00651705"/>
    <w:rsid w:val="00651FBA"/>
    <w:rsid w:val="00652585"/>
    <w:rsid w:val="00652651"/>
    <w:rsid w:val="006530B2"/>
    <w:rsid w:val="006532F9"/>
    <w:rsid w:val="00653C89"/>
    <w:rsid w:val="0065418A"/>
    <w:rsid w:val="0065486A"/>
    <w:rsid w:val="00654A04"/>
    <w:rsid w:val="00654AA7"/>
    <w:rsid w:val="00655168"/>
    <w:rsid w:val="006556B4"/>
    <w:rsid w:val="006557A9"/>
    <w:rsid w:val="0065597A"/>
    <w:rsid w:val="00656532"/>
    <w:rsid w:val="00657162"/>
    <w:rsid w:val="00657208"/>
    <w:rsid w:val="006578C8"/>
    <w:rsid w:val="006579DD"/>
    <w:rsid w:val="00657B3E"/>
    <w:rsid w:val="00660151"/>
    <w:rsid w:val="00660AC8"/>
    <w:rsid w:val="00660E70"/>
    <w:rsid w:val="006611C8"/>
    <w:rsid w:val="00661868"/>
    <w:rsid w:val="00662A7A"/>
    <w:rsid w:val="00662CF1"/>
    <w:rsid w:val="006631F5"/>
    <w:rsid w:val="006637DF"/>
    <w:rsid w:val="0066381D"/>
    <w:rsid w:val="00663C5D"/>
    <w:rsid w:val="00664020"/>
    <w:rsid w:val="0066460E"/>
    <w:rsid w:val="00665141"/>
    <w:rsid w:val="006654FC"/>
    <w:rsid w:val="00665A97"/>
    <w:rsid w:val="00665E84"/>
    <w:rsid w:val="0066611C"/>
    <w:rsid w:val="0066634E"/>
    <w:rsid w:val="00666D74"/>
    <w:rsid w:val="00667A28"/>
    <w:rsid w:val="00667AB6"/>
    <w:rsid w:val="00667BCD"/>
    <w:rsid w:val="0067000D"/>
    <w:rsid w:val="00670424"/>
    <w:rsid w:val="006708DB"/>
    <w:rsid w:val="00670A41"/>
    <w:rsid w:val="00670B06"/>
    <w:rsid w:val="00670EFD"/>
    <w:rsid w:val="00670F37"/>
    <w:rsid w:val="00671021"/>
    <w:rsid w:val="006710C3"/>
    <w:rsid w:val="00671CB9"/>
    <w:rsid w:val="00671EC3"/>
    <w:rsid w:val="0067206B"/>
    <w:rsid w:val="00672718"/>
    <w:rsid w:val="0067283A"/>
    <w:rsid w:val="00672D2C"/>
    <w:rsid w:val="00673662"/>
    <w:rsid w:val="006737FD"/>
    <w:rsid w:val="0067394E"/>
    <w:rsid w:val="00673A48"/>
    <w:rsid w:val="00674077"/>
    <w:rsid w:val="00674632"/>
    <w:rsid w:val="0067468D"/>
    <w:rsid w:val="00674B56"/>
    <w:rsid w:val="00674C99"/>
    <w:rsid w:val="00674F6D"/>
    <w:rsid w:val="00675469"/>
    <w:rsid w:val="006756B0"/>
    <w:rsid w:val="006758B5"/>
    <w:rsid w:val="00675C6D"/>
    <w:rsid w:val="00675C7E"/>
    <w:rsid w:val="00675C80"/>
    <w:rsid w:val="00676379"/>
    <w:rsid w:val="006763F5"/>
    <w:rsid w:val="00676684"/>
    <w:rsid w:val="00676A4C"/>
    <w:rsid w:val="00676ABB"/>
    <w:rsid w:val="00676D35"/>
    <w:rsid w:val="006770F7"/>
    <w:rsid w:val="006774E2"/>
    <w:rsid w:val="00677A8B"/>
    <w:rsid w:val="00677BF1"/>
    <w:rsid w:val="00677F0E"/>
    <w:rsid w:val="006801A1"/>
    <w:rsid w:val="0068050C"/>
    <w:rsid w:val="0068072B"/>
    <w:rsid w:val="00680882"/>
    <w:rsid w:val="00680D0E"/>
    <w:rsid w:val="00681086"/>
    <w:rsid w:val="00681A94"/>
    <w:rsid w:val="00681D2B"/>
    <w:rsid w:val="00681E98"/>
    <w:rsid w:val="00682647"/>
    <w:rsid w:val="00682687"/>
    <w:rsid w:val="006828DE"/>
    <w:rsid w:val="006833C2"/>
    <w:rsid w:val="00683719"/>
    <w:rsid w:val="006839FD"/>
    <w:rsid w:val="00683AB1"/>
    <w:rsid w:val="00683B13"/>
    <w:rsid w:val="006847CC"/>
    <w:rsid w:val="00684A1A"/>
    <w:rsid w:val="00684C33"/>
    <w:rsid w:val="00685114"/>
    <w:rsid w:val="006851BD"/>
    <w:rsid w:val="0068583C"/>
    <w:rsid w:val="00685D32"/>
    <w:rsid w:val="00686158"/>
    <w:rsid w:val="006862B3"/>
    <w:rsid w:val="006862CD"/>
    <w:rsid w:val="006864A4"/>
    <w:rsid w:val="0068651F"/>
    <w:rsid w:val="00686C0A"/>
    <w:rsid w:val="00686C56"/>
    <w:rsid w:val="00687BA0"/>
    <w:rsid w:val="00687F81"/>
    <w:rsid w:val="00687FD4"/>
    <w:rsid w:val="00690777"/>
    <w:rsid w:val="0069079C"/>
    <w:rsid w:val="00690B4F"/>
    <w:rsid w:val="00690E2F"/>
    <w:rsid w:val="00691388"/>
    <w:rsid w:val="006913CD"/>
    <w:rsid w:val="00691444"/>
    <w:rsid w:val="006916A9"/>
    <w:rsid w:val="0069194C"/>
    <w:rsid w:val="00691D3A"/>
    <w:rsid w:val="0069260C"/>
    <w:rsid w:val="0069269B"/>
    <w:rsid w:val="00692831"/>
    <w:rsid w:val="00693B42"/>
    <w:rsid w:val="00694221"/>
    <w:rsid w:val="0069427F"/>
    <w:rsid w:val="0069464D"/>
    <w:rsid w:val="00694B5D"/>
    <w:rsid w:val="00695A27"/>
    <w:rsid w:val="00695BC8"/>
    <w:rsid w:val="00695E47"/>
    <w:rsid w:val="0069600C"/>
    <w:rsid w:val="00696214"/>
    <w:rsid w:val="00696494"/>
    <w:rsid w:val="00697269"/>
    <w:rsid w:val="0069756A"/>
    <w:rsid w:val="00697636"/>
    <w:rsid w:val="0069770E"/>
    <w:rsid w:val="00697FEB"/>
    <w:rsid w:val="006A0121"/>
    <w:rsid w:val="006A04C7"/>
    <w:rsid w:val="006A0810"/>
    <w:rsid w:val="006A0ED4"/>
    <w:rsid w:val="006A14F3"/>
    <w:rsid w:val="006A17A8"/>
    <w:rsid w:val="006A21E0"/>
    <w:rsid w:val="006A2252"/>
    <w:rsid w:val="006A22F2"/>
    <w:rsid w:val="006A23DF"/>
    <w:rsid w:val="006A27F9"/>
    <w:rsid w:val="006A2C70"/>
    <w:rsid w:val="006A3659"/>
    <w:rsid w:val="006A3A22"/>
    <w:rsid w:val="006A3C1F"/>
    <w:rsid w:val="006A42CA"/>
    <w:rsid w:val="006A48CD"/>
    <w:rsid w:val="006A4A3B"/>
    <w:rsid w:val="006A5BAF"/>
    <w:rsid w:val="006A671A"/>
    <w:rsid w:val="006A69E2"/>
    <w:rsid w:val="006A6BD2"/>
    <w:rsid w:val="006A6D86"/>
    <w:rsid w:val="006A75C8"/>
    <w:rsid w:val="006A7718"/>
    <w:rsid w:val="006A7978"/>
    <w:rsid w:val="006A7D66"/>
    <w:rsid w:val="006A7E73"/>
    <w:rsid w:val="006B0ECA"/>
    <w:rsid w:val="006B1626"/>
    <w:rsid w:val="006B2B14"/>
    <w:rsid w:val="006B319B"/>
    <w:rsid w:val="006B35C9"/>
    <w:rsid w:val="006B36D3"/>
    <w:rsid w:val="006B3B48"/>
    <w:rsid w:val="006B3E63"/>
    <w:rsid w:val="006B4564"/>
    <w:rsid w:val="006B4A10"/>
    <w:rsid w:val="006B5002"/>
    <w:rsid w:val="006B580B"/>
    <w:rsid w:val="006B5B62"/>
    <w:rsid w:val="006B6138"/>
    <w:rsid w:val="006B64D4"/>
    <w:rsid w:val="006B6641"/>
    <w:rsid w:val="006B66EF"/>
    <w:rsid w:val="006B67FF"/>
    <w:rsid w:val="006B6CBD"/>
    <w:rsid w:val="006B6D18"/>
    <w:rsid w:val="006B6DCB"/>
    <w:rsid w:val="006B7548"/>
    <w:rsid w:val="006B77EA"/>
    <w:rsid w:val="006B789C"/>
    <w:rsid w:val="006B7CBA"/>
    <w:rsid w:val="006B7D52"/>
    <w:rsid w:val="006C0679"/>
    <w:rsid w:val="006C06C6"/>
    <w:rsid w:val="006C0BDB"/>
    <w:rsid w:val="006C0F30"/>
    <w:rsid w:val="006C14E7"/>
    <w:rsid w:val="006C1919"/>
    <w:rsid w:val="006C1D1B"/>
    <w:rsid w:val="006C1E5A"/>
    <w:rsid w:val="006C1EE5"/>
    <w:rsid w:val="006C213C"/>
    <w:rsid w:val="006C22E8"/>
    <w:rsid w:val="006C2C39"/>
    <w:rsid w:val="006C2ED5"/>
    <w:rsid w:val="006C30B8"/>
    <w:rsid w:val="006C30C7"/>
    <w:rsid w:val="006C3379"/>
    <w:rsid w:val="006C3892"/>
    <w:rsid w:val="006C46DD"/>
    <w:rsid w:val="006C4A18"/>
    <w:rsid w:val="006C4F4D"/>
    <w:rsid w:val="006C586F"/>
    <w:rsid w:val="006C5D6B"/>
    <w:rsid w:val="006C5F03"/>
    <w:rsid w:val="006C6D23"/>
    <w:rsid w:val="006C7ADC"/>
    <w:rsid w:val="006C7B32"/>
    <w:rsid w:val="006C7D9E"/>
    <w:rsid w:val="006D0116"/>
    <w:rsid w:val="006D016E"/>
    <w:rsid w:val="006D0698"/>
    <w:rsid w:val="006D0C7B"/>
    <w:rsid w:val="006D1237"/>
    <w:rsid w:val="006D14FE"/>
    <w:rsid w:val="006D1677"/>
    <w:rsid w:val="006D1BEC"/>
    <w:rsid w:val="006D1D26"/>
    <w:rsid w:val="006D1DE5"/>
    <w:rsid w:val="006D201B"/>
    <w:rsid w:val="006D2062"/>
    <w:rsid w:val="006D213C"/>
    <w:rsid w:val="006D235A"/>
    <w:rsid w:val="006D3C22"/>
    <w:rsid w:val="006D3DD1"/>
    <w:rsid w:val="006D4243"/>
    <w:rsid w:val="006D4638"/>
    <w:rsid w:val="006D46E2"/>
    <w:rsid w:val="006D4B63"/>
    <w:rsid w:val="006D513D"/>
    <w:rsid w:val="006D517E"/>
    <w:rsid w:val="006D51FC"/>
    <w:rsid w:val="006D5386"/>
    <w:rsid w:val="006D53B8"/>
    <w:rsid w:val="006D56BC"/>
    <w:rsid w:val="006D59DA"/>
    <w:rsid w:val="006D5B46"/>
    <w:rsid w:val="006D5BEB"/>
    <w:rsid w:val="006D5E4B"/>
    <w:rsid w:val="006D5F51"/>
    <w:rsid w:val="006D60FF"/>
    <w:rsid w:val="006D6235"/>
    <w:rsid w:val="006D65E6"/>
    <w:rsid w:val="006D6EA2"/>
    <w:rsid w:val="006D78E3"/>
    <w:rsid w:val="006D7993"/>
    <w:rsid w:val="006D7E0D"/>
    <w:rsid w:val="006E0D80"/>
    <w:rsid w:val="006E1122"/>
    <w:rsid w:val="006E121F"/>
    <w:rsid w:val="006E162F"/>
    <w:rsid w:val="006E1690"/>
    <w:rsid w:val="006E1748"/>
    <w:rsid w:val="006E17EC"/>
    <w:rsid w:val="006E1952"/>
    <w:rsid w:val="006E19B8"/>
    <w:rsid w:val="006E1AC2"/>
    <w:rsid w:val="006E278A"/>
    <w:rsid w:val="006E2847"/>
    <w:rsid w:val="006E2A49"/>
    <w:rsid w:val="006E2F6F"/>
    <w:rsid w:val="006E3131"/>
    <w:rsid w:val="006E396B"/>
    <w:rsid w:val="006E3A7F"/>
    <w:rsid w:val="006E3B27"/>
    <w:rsid w:val="006E3B41"/>
    <w:rsid w:val="006E3BFA"/>
    <w:rsid w:val="006E44A7"/>
    <w:rsid w:val="006E4ECA"/>
    <w:rsid w:val="006E52BD"/>
    <w:rsid w:val="006E60BD"/>
    <w:rsid w:val="006E66B7"/>
    <w:rsid w:val="006F0C68"/>
    <w:rsid w:val="006F1141"/>
    <w:rsid w:val="006F1304"/>
    <w:rsid w:val="006F1B67"/>
    <w:rsid w:val="006F1BFD"/>
    <w:rsid w:val="006F208C"/>
    <w:rsid w:val="006F2581"/>
    <w:rsid w:val="006F2AC1"/>
    <w:rsid w:val="006F2CAB"/>
    <w:rsid w:val="006F320D"/>
    <w:rsid w:val="006F32C3"/>
    <w:rsid w:val="006F33BE"/>
    <w:rsid w:val="006F353B"/>
    <w:rsid w:val="006F37DA"/>
    <w:rsid w:val="006F3BAC"/>
    <w:rsid w:val="006F3BE2"/>
    <w:rsid w:val="006F3E77"/>
    <w:rsid w:val="006F3FC6"/>
    <w:rsid w:val="006F47B9"/>
    <w:rsid w:val="006F4AAE"/>
    <w:rsid w:val="006F4B5F"/>
    <w:rsid w:val="006F56CE"/>
    <w:rsid w:val="006F5F97"/>
    <w:rsid w:val="006F6857"/>
    <w:rsid w:val="006F6A12"/>
    <w:rsid w:val="006F6D98"/>
    <w:rsid w:val="006F6DF7"/>
    <w:rsid w:val="006F6FFB"/>
    <w:rsid w:val="006F7BCC"/>
    <w:rsid w:val="0070058A"/>
    <w:rsid w:val="00700E2D"/>
    <w:rsid w:val="00700E8E"/>
    <w:rsid w:val="00700F23"/>
    <w:rsid w:val="00701368"/>
    <w:rsid w:val="00701506"/>
    <w:rsid w:val="00701810"/>
    <w:rsid w:val="0070183B"/>
    <w:rsid w:val="007018F4"/>
    <w:rsid w:val="0070190E"/>
    <w:rsid w:val="00701C34"/>
    <w:rsid w:val="00701EEA"/>
    <w:rsid w:val="00702384"/>
    <w:rsid w:val="007029F5"/>
    <w:rsid w:val="00702A86"/>
    <w:rsid w:val="00702F20"/>
    <w:rsid w:val="00702F35"/>
    <w:rsid w:val="00702FE2"/>
    <w:rsid w:val="0070301D"/>
    <w:rsid w:val="007031A9"/>
    <w:rsid w:val="0070423F"/>
    <w:rsid w:val="00704347"/>
    <w:rsid w:val="0070448F"/>
    <w:rsid w:val="007046BE"/>
    <w:rsid w:val="007046F2"/>
    <w:rsid w:val="00705011"/>
    <w:rsid w:val="0070504B"/>
    <w:rsid w:val="00705542"/>
    <w:rsid w:val="00706487"/>
    <w:rsid w:val="00706827"/>
    <w:rsid w:val="007068C9"/>
    <w:rsid w:val="007073DB"/>
    <w:rsid w:val="00707CA4"/>
    <w:rsid w:val="0071021C"/>
    <w:rsid w:val="0071048B"/>
    <w:rsid w:val="007105CB"/>
    <w:rsid w:val="00710661"/>
    <w:rsid w:val="00710770"/>
    <w:rsid w:val="00710FFF"/>
    <w:rsid w:val="007110AC"/>
    <w:rsid w:val="007112E5"/>
    <w:rsid w:val="00711573"/>
    <w:rsid w:val="00711845"/>
    <w:rsid w:val="007119DD"/>
    <w:rsid w:val="00711A36"/>
    <w:rsid w:val="00711AD2"/>
    <w:rsid w:val="00712137"/>
    <w:rsid w:val="00712315"/>
    <w:rsid w:val="00712B76"/>
    <w:rsid w:val="00712C24"/>
    <w:rsid w:val="0071308E"/>
    <w:rsid w:val="007133B6"/>
    <w:rsid w:val="00714258"/>
    <w:rsid w:val="0071489C"/>
    <w:rsid w:val="00714C34"/>
    <w:rsid w:val="007150F6"/>
    <w:rsid w:val="007157EF"/>
    <w:rsid w:val="00715BDB"/>
    <w:rsid w:val="00715D23"/>
    <w:rsid w:val="00715E07"/>
    <w:rsid w:val="00716338"/>
    <w:rsid w:val="0071640E"/>
    <w:rsid w:val="00716520"/>
    <w:rsid w:val="00716D4C"/>
    <w:rsid w:val="00717158"/>
    <w:rsid w:val="00717237"/>
    <w:rsid w:val="007173BD"/>
    <w:rsid w:val="00717432"/>
    <w:rsid w:val="0071760B"/>
    <w:rsid w:val="00717704"/>
    <w:rsid w:val="007177AE"/>
    <w:rsid w:val="0071795A"/>
    <w:rsid w:val="007208DA"/>
    <w:rsid w:val="007209B6"/>
    <w:rsid w:val="00720C57"/>
    <w:rsid w:val="00720C74"/>
    <w:rsid w:val="00720D56"/>
    <w:rsid w:val="00721B48"/>
    <w:rsid w:val="00721C9B"/>
    <w:rsid w:val="00721F8F"/>
    <w:rsid w:val="00722239"/>
    <w:rsid w:val="007222F5"/>
    <w:rsid w:val="00722562"/>
    <w:rsid w:val="00722862"/>
    <w:rsid w:val="00722DBE"/>
    <w:rsid w:val="007238BE"/>
    <w:rsid w:val="00723C21"/>
    <w:rsid w:val="00724007"/>
    <w:rsid w:val="007244F5"/>
    <w:rsid w:val="00724877"/>
    <w:rsid w:val="007255B2"/>
    <w:rsid w:val="00725805"/>
    <w:rsid w:val="00726532"/>
    <w:rsid w:val="00726652"/>
    <w:rsid w:val="00726B79"/>
    <w:rsid w:val="0072710D"/>
    <w:rsid w:val="007271E5"/>
    <w:rsid w:val="00727404"/>
    <w:rsid w:val="007308C3"/>
    <w:rsid w:val="0073096D"/>
    <w:rsid w:val="00730C55"/>
    <w:rsid w:val="00731247"/>
    <w:rsid w:val="00731352"/>
    <w:rsid w:val="007313B6"/>
    <w:rsid w:val="007314FB"/>
    <w:rsid w:val="00731A16"/>
    <w:rsid w:val="00731E9A"/>
    <w:rsid w:val="00732DBA"/>
    <w:rsid w:val="00733153"/>
    <w:rsid w:val="007332D3"/>
    <w:rsid w:val="00733580"/>
    <w:rsid w:val="00733642"/>
    <w:rsid w:val="007337BA"/>
    <w:rsid w:val="00734210"/>
    <w:rsid w:val="007345E8"/>
    <w:rsid w:val="007347F0"/>
    <w:rsid w:val="0073504B"/>
    <w:rsid w:val="0073539E"/>
    <w:rsid w:val="007354B1"/>
    <w:rsid w:val="00735A89"/>
    <w:rsid w:val="00735AC7"/>
    <w:rsid w:val="00736679"/>
    <w:rsid w:val="007367AB"/>
    <w:rsid w:val="00736946"/>
    <w:rsid w:val="00736E5E"/>
    <w:rsid w:val="00737812"/>
    <w:rsid w:val="00737F83"/>
    <w:rsid w:val="007403BB"/>
    <w:rsid w:val="00740D12"/>
    <w:rsid w:val="00740D1D"/>
    <w:rsid w:val="00740D99"/>
    <w:rsid w:val="00742660"/>
    <w:rsid w:val="0074278D"/>
    <w:rsid w:val="00742872"/>
    <w:rsid w:val="00742F4C"/>
    <w:rsid w:val="007433A8"/>
    <w:rsid w:val="00743BA0"/>
    <w:rsid w:val="00743D7E"/>
    <w:rsid w:val="007440B2"/>
    <w:rsid w:val="00744BF8"/>
    <w:rsid w:val="00744C1A"/>
    <w:rsid w:val="00744FCF"/>
    <w:rsid w:val="00745354"/>
    <w:rsid w:val="00745698"/>
    <w:rsid w:val="00745727"/>
    <w:rsid w:val="00745844"/>
    <w:rsid w:val="00745C19"/>
    <w:rsid w:val="00746705"/>
    <w:rsid w:val="00746E22"/>
    <w:rsid w:val="00747EEC"/>
    <w:rsid w:val="00750275"/>
    <w:rsid w:val="0075047A"/>
    <w:rsid w:val="00750502"/>
    <w:rsid w:val="0075059C"/>
    <w:rsid w:val="007508D2"/>
    <w:rsid w:val="00750FA5"/>
    <w:rsid w:val="007512D0"/>
    <w:rsid w:val="007513D7"/>
    <w:rsid w:val="007514A8"/>
    <w:rsid w:val="00751F30"/>
    <w:rsid w:val="0075238A"/>
    <w:rsid w:val="00752392"/>
    <w:rsid w:val="00752899"/>
    <w:rsid w:val="007528A9"/>
    <w:rsid w:val="00752D54"/>
    <w:rsid w:val="00752D98"/>
    <w:rsid w:val="00752F1E"/>
    <w:rsid w:val="007533F8"/>
    <w:rsid w:val="007537C3"/>
    <w:rsid w:val="00753A3D"/>
    <w:rsid w:val="00754581"/>
    <w:rsid w:val="007547D0"/>
    <w:rsid w:val="00754A07"/>
    <w:rsid w:val="00754BAF"/>
    <w:rsid w:val="00754F37"/>
    <w:rsid w:val="00755ACA"/>
    <w:rsid w:val="00755E60"/>
    <w:rsid w:val="0075630B"/>
    <w:rsid w:val="0075639F"/>
    <w:rsid w:val="00756497"/>
    <w:rsid w:val="0075689E"/>
    <w:rsid w:val="007568A1"/>
    <w:rsid w:val="00756CA9"/>
    <w:rsid w:val="00757024"/>
    <w:rsid w:val="00757055"/>
    <w:rsid w:val="007574B1"/>
    <w:rsid w:val="00760285"/>
    <w:rsid w:val="00760655"/>
    <w:rsid w:val="00760678"/>
    <w:rsid w:val="00760A5C"/>
    <w:rsid w:val="0076169B"/>
    <w:rsid w:val="00761874"/>
    <w:rsid w:val="00761BF7"/>
    <w:rsid w:val="00761CC8"/>
    <w:rsid w:val="00761D0A"/>
    <w:rsid w:val="00762974"/>
    <w:rsid w:val="0076334B"/>
    <w:rsid w:val="0076359F"/>
    <w:rsid w:val="0076399E"/>
    <w:rsid w:val="00765675"/>
    <w:rsid w:val="0076567B"/>
    <w:rsid w:val="0076582C"/>
    <w:rsid w:val="007658EF"/>
    <w:rsid w:val="00765F87"/>
    <w:rsid w:val="0076611E"/>
    <w:rsid w:val="007666AE"/>
    <w:rsid w:val="00766881"/>
    <w:rsid w:val="00766891"/>
    <w:rsid w:val="00766B91"/>
    <w:rsid w:val="00766FEB"/>
    <w:rsid w:val="0076772C"/>
    <w:rsid w:val="007678AD"/>
    <w:rsid w:val="00767958"/>
    <w:rsid w:val="00767BEE"/>
    <w:rsid w:val="00770176"/>
    <w:rsid w:val="007701C0"/>
    <w:rsid w:val="00770853"/>
    <w:rsid w:val="00770969"/>
    <w:rsid w:val="00770E79"/>
    <w:rsid w:val="00771258"/>
    <w:rsid w:val="0077161B"/>
    <w:rsid w:val="00771AC1"/>
    <w:rsid w:val="00771E1A"/>
    <w:rsid w:val="00771EF7"/>
    <w:rsid w:val="00771F2B"/>
    <w:rsid w:val="007726D3"/>
    <w:rsid w:val="00772E9C"/>
    <w:rsid w:val="007732D4"/>
    <w:rsid w:val="00773483"/>
    <w:rsid w:val="00773548"/>
    <w:rsid w:val="00773832"/>
    <w:rsid w:val="0077385F"/>
    <w:rsid w:val="00774F4C"/>
    <w:rsid w:val="00774F8E"/>
    <w:rsid w:val="00775307"/>
    <w:rsid w:val="00775B9D"/>
    <w:rsid w:val="00776B79"/>
    <w:rsid w:val="00776C41"/>
    <w:rsid w:val="00776E3A"/>
    <w:rsid w:val="007774C9"/>
    <w:rsid w:val="007777B8"/>
    <w:rsid w:val="00777B03"/>
    <w:rsid w:val="00780107"/>
    <w:rsid w:val="00780159"/>
    <w:rsid w:val="007803D3"/>
    <w:rsid w:val="0078041A"/>
    <w:rsid w:val="0078071C"/>
    <w:rsid w:val="00781544"/>
    <w:rsid w:val="00781C5B"/>
    <w:rsid w:val="00782368"/>
    <w:rsid w:val="00782840"/>
    <w:rsid w:val="00782A32"/>
    <w:rsid w:val="00782E22"/>
    <w:rsid w:val="00782F98"/>
    <w:rsid w:val="0078333C"/>
    <w:rsid w:val="00784BE3"/>
    <w:rsid w:val="007853A6"/>
    <w:rsid w:val="00785548"/>
    <w:rsid w:val="007860EE"/>
    <w:rsid w:val="007861AB"/>
    <w:rsid w:val="00786767"/>
    <w:rsid w:val="0078687B"/>
    <w:rsid w:val="00786E10"/>
    <w:rsid w:val="00786E1D"/>
    <w:rsid w:val="00786FDF"/>
    <w:rsid w:val="00787293"/>
    <w:rsid w:val="0078764E"/>
    <w:rsid w:val="00787ADA"/>
    <w:rsid w:val="00787D59"/>
    <w:rsid w:val="00787E7F"/>
    <w:rsid w:val="00787F56"/>
    <w:rsid w:val="00790034"/>
    <w:rsid w:val="007900C4"/>
    <w:rsid w:val="007902C8"/>
    <w:rsid w:val="00790367"/>
    <w:rsid w:val="00790902"/>
    <w:rsid w:val="00790E5A"/>
    <w:rsid w:val="00791255"/>
    <w:rsid w:val="00791383"/>
    <w:rsid w:val="007914CC"/>
    <w:rsid w:val="00791559"/>
    <w:rsid w:val="00791B66"/>
    <w:rsid w:val="00791C7A"/>
    <w:rsid w:val="00791F3C"/>
    <w:rsid w:val="00792754"/>
    <w:rsid w:val="0079291C"/>
    <w:rsid w:val="00792DC9"/>
    <w:rsid w:val="007933D8"/>
    <w:rsid w:val="00793CF3"/>
    <w:rsid w:val="00793F84"/>
    <w:rsid w:val="0079497E"/>
    <w:rsid w:val="00794E16"/>
    <w:rsid w:val="00795AA8"/>
    <w:rsid w:val="00796963"/>
    <w:rsid w:val="00797E7C"/>
    <w:rsid w:val="007A013D"/>
    <w:rsid w:val="007A077E"/>
    <w:rsid w:val="007A08EE"/>
    <w:rsid w:val="007A09D0"/>
    <w:rsid w:val="007A16DC"/>
    <w:rsid w:val="007A1897"/>
    <w:rsid w:val="007A1925"/>
    <w:rsid w:val="007A1AF6"/>
    <w:rsid w:val="007A1B03"/>
    <w:rsid w:val="007A20AB"/>
    <w:rsid w:val="007A22E5"/>
    <w:rsid w:val="007A263B"/>
    <w:rsid w:val="007A26E6"/>
    <w:rsid w:val="007A28FE"/>
    <w:rsid w:val="007A2989"/>
    <w:rsid w:val="007A334A"/>
    <w:rsid w:val="007A3FBB"/>
    <w:rsid w:val="007A44D8"/>
    <w:rsid w:val="007A45DB"/>
    <w:rsid w:val="007A5D81"/>
    <w:rsid w:val="007A61E5"/>
    <w:rsid w:val="007A63FF"/>
    <w:rsid w:val="007A7AE1"/>
    <w:rsid w:val="007A7BCA"/>
    <w:rsid w:val="007B0131"/>
    <w:rsid w:val="007B015F"/>
    <w:rsid w:val="007B035F"/>
    <w:rsid w:val="007B03FE"/>
    <w:rsid w:val="007B0583"/>
    <w:rsid w:val="007B09D2"/>
    <w:rsid w:val="007B0CE6"/>
    <w:rsid w:val="007B0DA7"/>
    <w:rsid w:val="007B131A"/>
    <w:rsid w:val="007B1B20"/>
    <w:rsid w:val="007B1C81"/>
    <w:rsid w:val="007B1D8D"/>
    <w:rsid w:val="007B24D9"/>
    <w:rsid w:val="007B25CB"/>
    <w:rsid w:val="007B29A2"/>
    <w:rsid w:val="007B306A"/>
    <w:rsid w:val="007B3341"/>
    <w:rsid w:val="007B355D"/>
    <w:rsid w:val="007B3AFC"/>
    <w:rsid w:val="007B5110"/>
    <w:rsid w:val="007B5134"/>
    <w:rsid w:val="007B53A3"/>
    <w:rsid w:val="007B596F"/>
    <w:rsid w:val="007B5EF3"/>
    <w:rsid w:val="007B5FF2"/>
    <w:rsid w:val="007B6133"/>
    <w:rsid w:val="007B629A"/>
    <w:rsid w:val="007B6452"/>
    <w:rsid w:val="007B6B76"/>
    <w:rsid w:val="007B6CD5"/>
    <w:rsid w:val="007B7168"/>
    <w:rsid w:val="007C00FC"/>
    <w:rsid w:val="007C03E4"/>
    <w:rsid w:val="007C051A"/>
    <w:rsid w:val="007C0B82"/>
    <w:rsid w:val="007C0CF7"/>
    <w:rsid w:val="007C17D6"/>
    <w:rsid w:val="007C17FA"/>
    <w:rsid w:val="007C1B6B"/>
    <w:rsid w:val="007C228C"/>
    <w:rsid w:val="007C23F3"/>
    <w:rsid w:val="007C27CF"/>
    <w:rsid w:val="007C3506"/>
    <w:rsid w:val="007C378A"/>
    <w:rsid w:val="007C39DA"/>
    <w:rsid w:val="007C3B43"/>
    <w:rsid w:val="007C3F02"/>
    <w:rsid w:val="007C4328"/>
    <w:rsid w:val="007C47AE"/>
    <w:rsid w:val="007C4A12"/>
    <w:rsid w:val="007C4E55"/>
    <w:rsid w:val="007C5DFE"/>
    <w:rsid w:val="007C63B2"/>
    <w:rsid w:val="007C6550"/>
    <w:rsid w:val="007C7074"/>
    <w:rsid w:val="007C742B"/>
    <w:rsid w:val="007C7C2C"/>
    <w:rsid w:val="007D0045"/>
    <w:rsid w:val="007D03F7"/>
    <w:rsid w:val="007D052A"/>
    <w:rsid w:val="007D0941"/>
    <w:rsid w:val="007D0A1E"/>
    <w:rsid w:val="007D132A"/>
    <w:rsid w:val="007D13AD"/>
    <w:rsid w:val="007D15FF"/>
    <w:rsid w:val="007D1C36"/>
    <w:rsid w:val="007D2034"/>
    <w:rsid w:val="007D220F"/>
    <w:rsid w:val="007D297B"/>
    <w:rsid w:val="007D2AFC"/>
    <w:rsid w:val="007D2C20"/>
    <w:rsid w:val="007D308D"/>
    <w:rsid w:val="007D30E7"/>
    <w:rsid w:val="007D3DB2"/>
    <w:rsid w:val="007D4620"/>
    <w:rsid w:val="007D468F"/>
    <w:rsid w:val="007D4867"/>
    <w:rsid w:val="007D4BA6"/>
    <w:rsid w:val="007D500C"/>
    <w:rsid w:val="007D567F"/>
    <w:rsid w:val="007D5B3B"/>
    <w:rsid w:val="007D68AF"/>
    <w:rsid w:val="007D6C94"/>
    <w:rsid w:val="007D71B5"/>
    <w:rsid w:val="007D7E6A"/>
    <w:rsid w:val="007D7F3E"/>
    <w:rsid w:val="007E025C"/>
    <w:rsid w:val="007E038D"/>
    <w:rsid w:val="007E1441"/>
    <w:rsid w:val="007E1636"/>
    <w:rsid w:val="007E1D4F"/>
    <w:rsid w:val="007E2299"/>
    <w:rsid w:val="007E353A"/>
    <w:rsid w:val="007E39BE"/>
    <w:rsid w:val="007E43E0"/>
    <w:rsid w:val="007E4D8F"/>
    <w:rsid w:val="007E5323"/>
    <w:rsid w:val="007E532F"/>
    <w:rsid w:val="007E5414"/>
    <w:rsid w:val="007E5B46"/>
    <w:rsid w:val="007E5D23"/>
    <w:rsid w:val="007E5D69"/>
    <w:rsid w:val="007E62C5"/>
    <w:rsid w:val="007E659A"/>
    <w:rsid w:val="007E69FD"/>
    <w:rsid w:val="007E6E27"/>
    <w:rsid w:val="007E7360"/>
    <w:rsid w:val="007E7642"/>
    <w:rsid w:val="007F009A"/>
    <w:rsid w:val="007F00EC"/>
    <w:rsid w:val="007F0130"/>
    <w:rsid w:val="007F014D"/>
    <w:rsid w:val="007F02C0"/>
    <w:rsid w:val="007F02FC"/>
    <w:rsid w:val="007F0396"/>
    <w:rsid w:val="007F075E"/>
    <w:rsid w:val="007F114E"/>
    <w:rsid w:val="007F1CD4"/>
    <w:rsid w:val="007F21E6"/>
    <w:rsid w:val="007F2C8D"/>
    <w:rsid w:val="007F2CDE"/>
    <w:rsid w:val="007F2E5C"/>
    <w:rsid w:val="007F32F2"/>
    <w:rsid w:val="007F33CA"/>
    <w:rsid w:val="007F3C3D"/>
    <w:rsid w:val="007F3C5D"/>
    <w:rsid w:val="007F444D"/>
    <w:rsid w:val="007F4562"/>
    <w:rsid w:val="007F469F"/>
    <w:rsid w:val="007F4AD6"/>
    <w:rsid w:val="007F51E1"/>
    <w:rsid w:val="007F5570"/>
    <w:rsid w:val="007F5863"/>
    <w:rsid w:val="007F65BF"/>
    <w:rsid w:val="007F6C57"/>
    <w:rsid w:val="007F6F88"/>
    <w:rsid w:val="007F75AB"/>
    <w:rsid w:val="007F7895"/>
    <w:rsid w:val="007F7AC9"/>
    <w:rsid w:val="007F7FFA"/>
    <w:rsid w:val="008013F4"/>
    <w:rsid w:val="00801879"/>
    <w:rsid w:val="00801E74"/>
    <w:rsid w:val="00801EF1"/>
    <w:rsid w:val="008020CC"/>
    <w:rsid w:val="008021DA"/>
    <w:rsid w:val="0080256C"/>
    <w:rsid w:val="008026EF"/>
    <w:rsid w:val="0080349D"/>
    <w:rsid w:val="008038FF"/>
    <w:rsid w:val="00803989"/>
    <w:rsid w:val="008039A6"/>
    <w:rsid w:val="00803C43"/>
    <w:rsid w:val="0080413D"/>
    <w:rsid w:val="0080417F"/>
    <w:rsid w:val="00804E0D"/>
    <w:rsid w:val="00804E59"/>
    <w:rsid w:val="00805371"/>
    <w:rsid w:val="008066A9"/>
    <w:rsid w:val="00806A5C"/>
    <w:rsid w:val="0080708F"/>
    <w:rsid w:val="008070C0"/>
    <w:rsid w:val="008070FD"/>
    <w:rsid w:val="008072BC"/>
    <w:rsid w:val="008073AF"/>
    <w:rsid w:val="00807B62"/>
    <w:rsid w:val="00810693"/>
    <w:rsid w:val="0081081E"/>
    <w:rsid w:val="00811A2B"/>
    <w:rsid w:val="00811D3A"/>
    <w:rsid w:val="00812A23"/>
    <w:rsid w:val="00812A37"/>
    <w:rsid w:val="00812B24"/>
    <w:rsid w:val="0081307B"/>
    <w:rsid w:val="00813399"/>
    <w:rsid w:val="00813C60"/>
    <w:rsid w:val="00813D84"/>
    <w:rsid w:val="00813F48"/>
    <w:rsid w:val="00814252"/>
    <w:rsid w:val="00814950"/>
    <w:rsid w:val="00814EC4"/>
    <w:rsid w:val="00815D2D"/>
    <w:rsid w:val="00815EEB"/>
    <w:rsid w:val="00815F18"/>
    <w:rsid w:val="008161BB"/>
    <w:rsid w:val="008165F7"/>
    <w:rsid w:val="008168CF"/>
    <w:rsid w:val="00816F7A"/>
    <w:rsid w:val="008178A9"/>
    <w:rsid w:val="00817BCE"/>
    <w:rsid w:val="0082076D"/>
    <w:rsid w:val="008207D6"/>
    <w:rsid w:val="00820B95"/>
    <w:rsid w:val="00821727"/>
    <w:rsid w:val="008218C0"/>
    <w:rsid w:val="00821FA9"/>
    <w:rsid w:val="00822054"/>
    <w:rsid w:val="0082268B"/>
    <w:rsid w:val="00822DB1"/>
    <w:rsid w:val="00823DBE"/>
    <w:rsid w:val="00823F78"/>
    <w:rsid w:val="0082418E"/>
    <w:rsid w:val="00824608"/>
    <w:rsid w:val="00824959"/>
    <w:rsid w:val="00824F2F"/>
    <w:rsid w:val="00825029"/>
    <w:rsid w:val="008250A9"/>
    <w:rsid w:val="008251CE"/>
    <w:rsid w:val="0082568D"/>
    <w:rsid w:val="008259CB"/>
    <w:rsid w:val="00825B03"/>
    <w:rsid w:val="008268A4"/>
    <w:rsid w:val="00827733"/>
    <w:rsid w:val="00827B0A"/>
    <w:rsid w:val="008303E2"/>
    <w:rsid w:val="00830EB6"/>
    <w:rsid w:val="00831433"/>
    <w:rsid w:val="00831473"/>
    <w:rsid w:val="00831AA0"/>
    <w:rsid w:val="00832483"/>
    <w:rsid w:val="0083285B"/>
    <w:rsid w:val="00833094"/>
    <w:rsid w:val="008332E9"/>
    <w:rsid w:val="0083379C"/>
    <w:rsid w:val="00833B9B"/>
    <w:rsid w:val="00833D09"/>
    <w:rsid w:val="0083450A"/>
    <w:rsid w:val="0083475E"/>
    <w:rsid w:val="00834DEE"/>
    <w:rsid w:val="00835160"/>
    <w:rsid w:val="008352E2"/>
    <w:rsid w:val="00835521"/>
    <w:rsid w:val="0083638A"/>
    <w:rsid w:val="0083656F"/>
    <w:rsid w:val="008366D7"/>
    <w:rsid w:val="00836F15"/>
    <w:rsid w:val="008370FD"/>
    <w:rsid w:val="00840071"/>
    <w:rsid w:val="008407D7"/>
    <w:rsid w:val="0084080C"/>
    <w:rsid w:val="00840BD2"/>
    <w:rsid w:val="00840C6F"/>
    <w:rsid w:val="00840D3A"/>
    <w:rsid w:val="00840EBE"/>
    <w:rsid w:val="008414A2"/>
    <w:rsid w:val="008414CF"/>
    <w:rsid w:val="00841D63"/>
    <w:rsid w:val="008424B4"/>
    <w:rsid w:val="0084263F"/>
    <w:rsid w:val="0084279A"/>
    <w:rsid w:val="00842931"/>
    <w:rsid w:val="00842F7C"/>
    <w:rsid w:val="0084320D"/>
    <w:rsid w:val="00843257"/>
    <w:rsid w:val="008433B9"/>
    <w:rsid w:val="00843553"/>
    <w:rsid w:val="00843D12"/>
    <w:rsid w:val="00844677"/>
    <w:rsid w:val="00844733"/>
    <w:rsid w:val="00844963"/>
    <w:rsid w:val="00844A91"/>
    <w:rsid w:val="00844C2C"/>
    <w:rsid w:val="00845268"/>
    <w:rsid w:val="008454CD"/>
    <w:rsid w:val="0084648F"/>
    <w:rsid w:val="00846666"/>
    <w:rsid w:val="00846777"/>
    <w:rsid w:val="008468A8"/>
    <w:rsid w:val="00846F5B"/>
    <w:rsid w:val="00846F6C"/>
    <w:rsid w:val="008473EB"/>
    <w:rsid w:val="0084740E"/>
    <w:rsid w:val="00847743"/>
    <w:rsid w:val="00847B2F"/>
    <w:rsid w:val="00847BE7"/>
    <w:rsid w:val="00847DA6"/>
    <w:rsid w:val="00850001"/>
    <w:rsid w:val="00850217"/>
    <w:rsid w:val="008502F9"/>
    <w:rsid w:val="008506A2"/>
    <w:rsid w:val="008507FB"/>
    <w:rsid w:val="008515A1"/>
    <w:rsid w:val="008517D6"/>
    <w:rsid w:val="00851B42"/>
    <w:rsid w:val="00851BD4"/>
    <w:rsid w:val="00851DA8"/>
    <w:rsid w:val="00852083"/>
    <w:rsid w:val="00853289"/>
    <w:rsid w:val="008536B5"/>
    <w:rsid w:val="008536C9"/>
    <w:rsid w:val="00853E80"/>
    <w:rsid w:val="00853FEC"/>
    <w:rsid w:val="0085402B"/>
    <w:rsid w:val="00854249"/>
    <w:rsid w:val="00854512"/>
    <w:rsid w:val="0085455D"/>
    <w:rsid w:val="008546EB"/>
    <w:rsid w:val="00854F50"/>
    <w:rsid w:val="00855760"/>
    <w:rsid w:val="00855A6A"/>
    <w:rsid w:val="00856099"/>
    <w:rsid w:val="008560AB"/>
    <w:rsid w:val="008562FF"/>
    <w:rsid w:val="008566FB"/>
    <w:rsid w:val="00856806"/>
    <w:rsid w:val="0085730C"/>
    <w:rsid w:val="008601EC"/>
    <w:rsid w:val="008606E9"/>
    <w:rsid w:val="00860F31"/>
    <w:rsid w:val="00861CB3"/>
    <w:rsid w:val="008622BC"/>
    <w:rsid w:val="0086269D"/>
    <w:rsid w:val="00862CC5"/>
    <w:rsid w:val="00862DBC"/>
    <w:rsid w:val="008635BD"/>
    <w:rsid w:val="00863BF2"/>
    <w:rsid w:val="00863D1C"/>
    <w:rsid w:val="00863E24"/>
    <w:rsid w:val="008640DB"/>
    <w:rsid w:val="00864737"/>
    <w:rsid w:val="00864B00"/>
    <w:rsid w:val="00864C85"/>
    <w:rsid w:val="0086508C"/>
    <w:rsid w:val="00865EFF"/>
    <w:rsid w:val="008661D5"/>
    <w:rsid w:val="00866751"/>
    <w:rsid w:val="00866A4E"/>
    <w:rsid w:val="00866ADF"/>
    <w:rsid w:val="00866B13"/>
    <w:rsid w:val="008670F0"/>
    <w:rsid w:val="00867544"/>
    <w:rsid w:val="0086796B"/>
    <w:rsid w:val="00867EA2"/>
    <w:rsid w:val="00867F9E"/>
    <w:rsid w:val="008707A1"/>
    <w:rsid w:val="0087116E"/>
    <w:rsid w:val="00871650"/>
    <w:rsid w:val="008718FD"/>
    <w:rsid w:val="00871D4C"/>
    <w:rsid w:val="00871E23"/>
    <w:rsid w:val="00871E59"/>
    <w:rsid w:val="00872525"/>
    <w:rsid w:val="00872A10"/>
    <w:rsid w:val="008738E9"/>
    <w:rsid w:val="00873C76"/>
    <w:rsid w:val="00874242"/>
    <w:rsid w:val="0087434D"/>
    <w:rsid w:val="008748A4"/>
    <w:rsid w:val="00874E7C"/>
    <w:rsid w:val="008757E1"/>
    <w:rsid w:val="008759E3"/>
    <w:rsid w:val="00875A76"/>
    <w:rsid w:val="00875B59"/>
    <w:rsid w:val="0087667E"/>
    <w:rsid w:val="008767E5"/>
    <w:rsid w:val="00876837"/>
    <w:rsid w:val="00876926"/>
    <w:rsid w:val="008771D2"/>
    <w:rsid w:val="0087773C"/>
    <w:rsid w:val="008778C9"/>
    <w:rsid w:val="00877A96"/>
    <w:rsid w:val="00877D8C"/>
    <w:rsid w:val="00877E09"/>
    <w:rsid w:val="0088017A"/>
    <w:rsid w:val="0088089A"/>
    <w:rsid w:val="008808D8"/>
    <w:rsid w:val="00880D9A"/>
    <w:rsid w:val="00880E5E"/>
    <w:rsid w:val="0088126D"/>
    <w:rsid w:val="0088151D"/>
    <w:rsid w:val="00881ACE"/>
    <w:rsid w:val="00881F41"/>
    <w:rsid w:val="00881F59"/>
    <w:rsid w:val="008822E1"/>
    <w:rsid w:val="008829B0"/>
    <w:rsid w:val="00882AE3"/>
    <w:rsid w:val="0088355F"/>
    <w:rsid w:val="008837F1"/>
    <w:rsid w:val="00883B46"/>
    <w:rsid w:val="00883C7C"/>
    <w:rsid w:val="00883F29"/>
    <w:rsid w:val="00884702"/>
    <w:rsid w:val="00884A21"/>
    <w:rsid w:val="00884C50"/>
    <w:rsid w:val="00885179"/>
    <w:rsid w:val="0088534A"/>
    <w:rsid w:val="00885924"/>
    <w:rsid w:val="00885AA8"/>
    <w:rsid w:val="00885AF7"/>
    <w:rsid w:val="00886412"/>
    <w:rsid w:val="00886E5C"/>
    <w:rsid w:val="00887193"/>
    <w:rsid w:val="008875FE"/>
    <w:rsid w:val="00887894"/>
    <w:rsid w:val="0088795C"/>
    <w:rsid w:val="00887A3C"/>
    <w:rsid w:val="008901DE"/>
    <w:rsid w:val="00890ABA"/>
    <w:rsid w:val="00890BD6"/>
    <w:rsid w:val="00891762"/>
    <w:rsid w:val="00891CFE"/>
    <w:rsid w:val="00892136"/>
    <w:rsid w:val="008921F8"/>
    <w:rsid w:val="008932B1"/>
    <w:rsid w:val="00893355"/>
    <w:rsid w:val="008933E6"/>
    <w:rsid w:val="008934F3"/>
    <w:rsid w:val="00894178"/>
    <w:rsid w:val="00894229"/>
    <w:rsid w:val="00894FB8"/>
    <w:rsid w:val="0089577A"/>
    <w:rsid w:val="00895A8A"/>
    <w:rsid w:val="00895AD8"/>
    <w:rsid w:val="0089693D"/>
    <w:rsid w:val="008969DE"/>
    <w:rsid w:val="00896E7B"/>
    <w:rsid w:val="00896F2B"/>
    <w:rsid w:val="008970A2"/>
    <w:rsid w:val="00897144"/>
    <w:rsid w:val="008977D8"/>
    <w:rsid w:val="008A022D"/>
    <w:rsid w:val="008A09C1"/>
    <w:rsid w:val="008A100A"/>
    <w:rsid w:val="008A132F"/>
    <w:rsid w:val="008A1CE3"/>
    <w:rsid w:val="008A1F35"/>
    <w:rsid w:val="008A2104"/>
    <w:rsid w:val="008A2248"/>
    <w:rsid w:val="008A241D"/>
    <w:rsid w:val="008A3630"/>
    <w:rsid w:val="008A39DB"/>
    <w:rsid w:val="008A3FD6"/>
    <w:rsid w:val="008A41F7"/>
    <w:rsid w:val="008A42AB"/>
    <w:rsid w:val="008A4358"/>
    <w:rsid w:val="008A488A"/>
    <w:rsid w:val="008A4D64"/>
    <w:rsid w:val="008A5405"/>
    <w:rsid w:val="008A5660"/>
    <w:rsid w:val="008A59EA"/>
    <w:rsid w:val="008A5F80"/>
    <w:rsid w:val="008A61A7"/>
    <w:rsid w:val="008A7A70"/>
    <w:rsid w:val="008A7B91"/>
    <w:rsid w:val="008B015B"/>
    <w:rsid w:val="008B01C1"/>
    <w:rsid w:val="008B07B6"/>
    <w:rsid w:val="008B0B4E"/>
    <w:rsid w:val="008B0BF3"/>
    <w:rsid w:val="008B0CA6"/>
    <w:rsid w:val="008B1159"/>
    <w:rsid w:val="008B11A3"/>
    <w:rsid w:val="008B15BE"/>
    <w:rsid w:val="008B162E"/>
    <w:rsid w:val="008B252C"/>
    <w:rsid w:val="008B2804"/>
    <w:rsid w:val="008B2EB2"/>
    <w:rsid w:val="008B31B8"/>
    <w:rsid w:val="008B3278"/>
    <w:rsid w:val="008B352B"/>
    <w:rsid w:val="008B3909"/>
    <w:rsid w:val="008B3EBE"/>
    <w:rsid w:val="008B440F"/>
    <w:rsid w:val="008B48C2"/>
    <w:rsid w:val="008B4EEC"/>
    <w:rsid w:val="008B5528"/>
    <w:rsid w:val="008B5995"/>
    <w:rsid w:val="008B5C1E"/>
    <w:rsid w:val="008B5D7E"/>
    <w:rsid w:val="008B5F22"/>
    <w:rsid w:val="008B5FA5"/>
    <w:rsid w:val="008B70FB"/>
    <w:rsid w:val="008B718B"/>
    <w:rsid w:val="008B78EA"/>
    <w:rsid w:val="008B7BC1"/>
    <w:rsid w:val="008B7F6D"/>
    <w:rsid w:val="008C05A8"/>
    <w:rsid w:val="008C0632"/>
    <w:rsid w:val="008C0BC2"/>
    <w:rsid w:val="008C0EEE"/>
    <w:rsid w:val="008C10BC"/>
    <w:rsid w:val="008C13D2"/>
    <w:rsid w:val="008C16B2"/>
    <w:rsid w:val="008C1A68"/>
    <w:rsid w:val="008C1C7C"/>
    <w:rsid w:val="008C1D57"/>
    <w:rsid w:val="008C1FAB"/>
    <w:rsid w:val="008C20C1"/>
    <w:rsid w:val="008C2C5C"/>
    <w:rsid w:val="008C2D4F"/>
    <w:rsid w:val="008C305E"/>
    <w:rsid w:val="008C3202"/>
    <w:rsid w:val="008C369F"/>
    <w:rsid w:val="008C4089"/>
    <w:rsid w:val="008C420A"/>
    <w:rsid w:val="008C4404"/>
    <w:rsid w:val="008C45D2"/>
    <w:rsid w:val="008C4935"/>
    <w:rsid w:val="008C499C"/>
    <w:rsid w:val="008C4BB5"/>
    <w:rsid w:val="008C4D03"/>
    <w:rsid w:val="008C5007"/>
    <w:rsid w:val="008C51F0"/>
    <w:rsid w:val="008C53F0"/>
    <w:rsid w:val="008C5746"/>
    <w:rsid w:val="008C5B02"/>
    <w:rsid w:val="008C5C4B"/>
    <w:rsid w:val="008C5F02"/>
    <w:rsid w:val="008C6348"/>
    <w:rsid w:val="008C6942"/>
    <w:rsid w:val="008C69EC"/>
    <w:rsid w:val="008C6ACD"/>
    <w:rsid w:val="008C788B"/>
    <w:rsid w:val="008C7949"/>
    <w:rsid w:val="008D056A"/>
    <w:rsid w:val="008D1193"/>
    <w:rsid w:val="008D1333"/>
    <w:rsid w:val="008D1A6B"/>
    <w:rsid w:val="008D1C17"/>
    <w:rsid w:val="008D22AF"/>
    <w:rsid w:val="008D23F7"/>
    <w:rsid w:val="008D2913"/>
    <w:rsid w:val="008D2FBA"/>
    <w:rsid w:val="008D335E"/>
    <w:rsid w:val="008D351C"/>
    <w:rsid w:val="008D3785"/>
    <w:rsid w:val="008D379B"/>
    <w:rsid w:val="008D399A"/>
    <w:rsid w:val="008D4535"/>
    <w:rsid w:val="008D4847"/>
    <w:rsid w:val="008D5C58"/>
    <w:rsid w:val="008D5DA1"/>
    <w:rsid w:val="008D6182"/>
    <w:rsid w:val="008D63AA"/>
    <w:rsid w:val="008D6E70"/>
    <w:rsid w:val="008D79CB"/>
    <w:rsid w:val="008D7A41"/>
    <w:rsid w:val="008D7AE5"/>
    <w:rsid w:val="008D7E66"/>
    <w:rsid w:val="008D7F95"/>
    <w:rsid w:val="008E0059"/>
    <w:rsid w:val="008E022A"/>
    <w:rsid w:val="008E0CF5"/>
    <w:rsid w:val="008E1658"/>
    <w:rsid w:val="008E17B0"/>
    <w:rsid w:val="008E18C8"/>
    <w:rsid w:val="008E1985"/>
    <w:rsid w:val="008E3324"/>
    <w:rsid w:val="008E40C6"/>
    <w:rsid w:val="008E44D1"/>
    <w:rsid w:val="008E49A9"/>
    <w:rsid w:val="008E4B49"/>
    <w:rsid w:val="008E4B5A"/>
    <w:rsid w:val="008E5180"/>
    <w:rsid w:val="008E5501"/>
    <w:rsid w:val="008E5638"/>
    <w:rsid w:val="008E5ACD"/>
    <w:rsid w:val="008E5D33"/>
    <w:rsid w:val="008E5F0D"/>
    <w:rsid w:val="008E5F62"/>
    <w:rsid w:val="008E65C2"/>
    <w:rsid w:val="008E6BB0"/>
    <w:rsid w:val="008E6C24"/>
    <w:rsid w:val="008E6E22"/>
    <w:rsid w:val="008E6FA5"/>
    <w:rsid w:val="008E7383"/>
    <w:rsid w:val="008E76D5"/>
    <w:rsid w:val="008E79AE"/>
    <w:rsid w:val="008E7A67"/>
    <w:rsid w:val="008E7ABE"/>
    <w:rsid w:val="008F0061"/>
    <w:rsid w:val="008F0DCF"/>
    <w:rsid w:val="008F1877"/>
    <w:rsid w:val="008F18DA"/>
    <w:rsid w:val="008F1929"/>
    <w:rsid w:val="008F1AC8"/>
    <w:rsid w:val="008F1B94"/>
    <w:rsid w:val="008F2A01"/>
    <w:rsid w:val="008F2DFF"/>
    <w:rsid w:val="008F2ED6"/>
    <w:rsid w:val="008F2F64"/>
    <w:rsid w:val="008F32E1"/>
    <w:rsid w:val="008F367A"/>
    <w:rsid w:val="008F3747"/>
    <w:rsid w:val="008F37F4"/>
    <w:rsid w:val="008F4043"/>
    <w:rsid w:val="008F4A53"/>
    <w:rsid w:val="008F4ADF"/>
    <w:rsid w:val="008F55C5"/>
    <w:rsid w:val="008F58CF"/>
    <w:rsid w:val="008F5AA6"/>
    <w:rsid w:val="008F60FF"/>
    <w:rsid w:val="008F6173"/>
    <w:rsid w:val="008F61AB"/>
    <w:rsid w:val="008F6444"/>
    <w:rsid w:val="008F6565"/>
    <w:rsid w:val="008F66CE"/>
    <w:rsid w:val="008F6A01"/>
    <w:rsid w:val="008F7363"/>
    <w:rsid w:val="008F7675"/>
    <w:rsid w:val="008F7AC8"/>
    <w:rsid w:val="008F7BE3"/>
    <w:rsid w:val="008F7FD2"/>
    <w:rsid w:val="00900880"/>
    <w:rsid w:val="00902CE0"/>
    <w:rsid w:val="00903140"/>
    <w:rsid w:val="0090329C"/>
    <w:rsid w:val="0090381E"/>
    <w:rsid w:val="00904C62"/>
    <w:rsid w:val="009051DE"/>
    <w:rsid w:val="0090564C"/>
    <w:rsid w:val="00905689"/>
    <w:rsid w:val="00906486"/>
    <w:rsid w:val="009067DE"/>
    <w:rsid w:val="00906BBD"/>
    <w:rsid w:val="00906D92"/>
    <w:rsid w:val="00907647"/>
    <w:rsid w:val="009076E6"/>
    <w:rsid w:val="009100C3"/>
    <w:rsid w:val="00910FF2"/>
    <w:rsid w:val="009111C2"/>
    <w:rsid w:val="009112E4"/>
    <w:rsid w:val="009112ED"/>
    <w:rsid w:val="00911553"/>
    <w:rsid w:val="00911695"/>
    <w:rsid w:val="00911DC1"/>
    <w:rsid w:val="00911DCE"/>
    <w:rsid w:val="009120C2"/>
    <w:rsid w:val="0091243D"/>
    <w:rsid w:val="0091293D"/>
    <w:rsid w:val="00912B38"/>
    <w:rsid w:val="00912D47"/>
    <w:rsid w:val="00912E89"/>
    <w:rsid w:val="00913271"/>
    <w:rsid w:val="00913601"/>
    <w:rsid w:val="00914052"/>
    <w:rsid w:val="00914B18"/>
    <w:rsid w:val="00914B26"/>
    <w:rsid w:val="00914C00"/>
    <w:rsid w:val="009155CE"/>
    <w:rsid w:val="009159A9"/>
    <w:rsid w:val="009163CE"/>
    <w:rsid w:val="00916626"/>
    <w:rsid w:val="00916A29"/>
    <w:rsid w:val="0091738D"/>
    <w:rsid w:val="00917D39"/>
    <w:rsid w:val="00920127"/>
    <w:rsid w:val="009201B3"/>
    <w:rsid w:val="009206C8"/>
    <w:rsid w:val="009209D7"/>
    <w:rsid w:val="00920DE1"/>
    <w:rsid w:val="009216CE"/>
    <w:rsid w:val="009229FA"/>
    <w:rsid w:val="00922D32"/>
    <w:rsid w:val="009230A5"/>
    <w:rsid w:val="009234D7"/>
    <w:rsid w:val="009236DC"/>
    <w:rsid w:val="00924627"/>
    <w:rsid w:val="00924D44"/>
    <w:rsid w:val="00925259"/>
    <w:rsid w:val="00925574"/>
    <w:rsid w:val="00925970"/>
    <w:rsid w:val="00925A30"/>
    <w:rsid w:val="00925C48"/>
    <w:rsid w:val="00925CBE"/>
    <w:rsid w:val="00925D05"/>
    <w:rsid w:val="00925E57"/>
    <w:rsid w:val="00925F5D"/>
    <w:rsid w:val="00925F64"/>
    <w:rsid w:val="00926216"/>
    <w:rsid w:val="0092647E"/>
    <w:rsid w:val="00926654"/>
    <w:rsid w:val="00926779"/>
    <w:rsid w:val="00926AC4"/>
    <w:rsid w:val="00926D0D"/>
    <w:rsid w:val="00926ED0"/>
    <w:rsid w:val="00926FC5"/>
    <w:rsid w:val="00927AFF"/>
    <w:rsid w:val="009301CD"/>
    <w:rsid w:val="0093044B"/>
    <w:rsid w:val="00930457"/>
    <w:rsid w:val="009307A2"/>
    <w:rsid w:val="00930C11"/>
    <w:rsid w:val="00930D94"/>
    <w:rsid w:val="009311CE"/>
    <w:rsid w:val="00931942"/>
    <w:rsid w:val="00931A00"/>
    <w:rsid w:val="00931F07"/>
    <w:rsid w:val="009321A8"/>
    <w:rsid w:val="00932217"/>
    <w:rsid w:val="009325A3"/>
    <w:rsid w:val="00932F2E"/>
    <w:rsid w:val="0093472D"/>
    <w:rsid w:val="0093487C"/>
    <w:rsid w:val="00934BF1"/>
    <w:rsid w:val="00934F59"/>
    <w:rsid w:val="00934FA0"/>
    <w:rsid w:val="00936186"/>
    <w:rsid w:val="00936610"/>
    <w:rsid w:val="009367A8"/>
    <w:rsid w:val="00936AE2"/>
    <w:rsid w:val="00936D94"/>
    <w:rsid w:val="00936F31"/>
    <w:rsid w:val="009371B0"/>
    <w:rsid w:val="0093767E"/>
    <w:rsid w:val="00937688"/>
    <w:rsid w:val="00937B07"/>
    <w:rsid w:val="00937B31"/>
    <w:rsid w:val="00940386"/>
    <w:rsid w:val="009403D6"/>
    <w:rsid w:val="009404F6"/>
    <w:rsid w:val="00940E19"/>
    <w:rsid w:val="00940EA3"/>
    <w:rsid w:val="009411BC"/>
    <w:rsid w:val="009414DB"/>
    <w:rsid w:val="00941678"/>
    <w:rsid w:val="0094242A"/>
    <w:rsid w:val="00943148"/>
    <w:rsid w:val="0094324E"/>
    <w:rsid w:val="009437D1"/>
    <w:rsid w:val="0094440C"/>
    <w:rsid w:val="00945344"/>
    <w:rsid w:val="00945768"/>
    <w:rsid w:val="009457C0"/>
    <w:rsid w:val="00945B54"/>
    <w:rsid w:val="00945F53"/>
    <w:rsid w:val="009462CA"/>
    <w:rsid w:val="0094659E"/>
    <w:rsid w:val="00946C39"/>
    <w:rsid w:val="0094756F"/>
    <w:rsid w:val="0094776D"/>
    <w:rsid w:val="009477CA"/>
    <w:rsid w:val="00947887"/>
    <w:rsid w:val="00947D66"/>
    <w:rsid w:val="00950094"/>
    <w:rsid w:val="009516AD"/>
    <w:rsid w:val="009517D4"/>
    <w:rsid w:val="00951DAE"/>
    <w:rsid w:val="009522C2"/>
    <w:rsid w:val="0095239A"/>
    <w:rsid w:val="0095270B"/>
    <w:rsid w:val="00952810"/>
    <w:rsid w:val="00952845"/>
    <w:rsid w:val="00953666"/>
    <w:rsid w:val="0095371D"/>
    <w:rsid w:val="00954D40"/>
    <w:rsid w:val="009550DC"/>
    <w:rsid w:val="0095518B"/>
    <w:rsid w:val="009551F9"/>
    <w:rsid w:val="00955581"/>
    <w:rsid w:val="00955AD4"/>
    <w:rsid w:val="00955F74"/>
    <w:rsid w:val="009561DB"/>
    <w:rsid w:val="009569BE"/>
    <w:rsid w:val="009569EE"/>
    <w:rsid w:val="00956FAD"/>
    <w:rsid w:val="009570FC"/>
    <w:rsid w:val="00957196"/>
    <w:rsid w:val="00957560"/>
    <w:rsid w:val="00957F28"/>
    <w:rsid w:val="00957FD7"/>
    <w:rsid w:val="009605EE"/>
    <w:rsid w:val="0096151E"/>
    <w:rsid w:val="0096164C"/>
    <w:rsid w:val="009617E3"/>
    <w:rsid w:val="009618C2"/>
    <w:rsid w:val="00961D53"/>
    <w:rsid w:val="0096216A"/>
    <w:rsid w:val="00962170"/>
    <w:rsid w:val="009622A0"/>
    <w:rsid w:val="0096316A"/>
    <w:rsid w:val="009631EE"/>
    <w:rsid w:val="00963768"/>
    <w:rsid w:val="00963DA6"/>
    <w:rsid w:val="00963DAD"/>
    <w:rsid w:val="00964046"/>
    <w:rsid w:val="0096467A"/>
    <w:rsid w:val="00964A3C"/>
    <w:rsid w:val="00964DC6"/>
    <w:rsid w:val="00964E12"/>
    <w:rsid w:val="00965232"/>
    <w:rsid w:val="00965293"/>
    <w:rsid w:val="00965341"/>
    <w:rsid w:val="00965768"/>
    <w:rsid w:val="0096662B"/>
    <w:rsid w:val="00966819"/>
    <w:rsid w:val="00966A90"/>
    <w:rsid w:val="00966B7E"/>
    <w:rsid w:val="00966C8D"/>
    <w:rsid w:val="0096715D"/>
    <w:rsid w:val="009673CB"/>
    <w:rsid w:val="00967583"/>
    <w:rsid w:val="00967D82"/>
    <w:rsid w:val="00970B72"/>
    <w:rsid w:val="00970BF4"/>
    <w:rsid w:val="00970E5C"/>
    <w:rsid w:val="00971952"/>
    <w:rsid w:val="00971FAD"/>
    <w:rsid w:val="009722F9"/>
    <w:rsid w:val="009723D0"/>
    <w:rsid w:val="00972688"/>
    <w:rsid w:val="009726BE"/>
    <w:rsid w:val="00972B11"/>
    <w:rsid w:val="00972D30"/>
    <w:rsid w:val="00973C3A"/>
    <w:rsid w:val="00973D65"/>
    <w:rsid w:val="00974015"/>
    <w:rsid w:val="00974046"/>
    <w:rsid w:val="0097410D"/>
    <w:rsid w:val="009749C2"/>
    <w:rsid w:val="00975011"/>
    <w:rsid w:val="00975862"/>
    <w:rsid w:val="009758DE"/>
    <w:rsid w:val="00975B6A"/>
    <w:rsid w:val="00975D6F"/>
    <w:rsid w:val="009761A4"/>
    <w:rsid w:val="009762BD"/>
    <w:rsid w:val="00976414"/>
    <w:rsid w:val="00976BDB"/>
    <w:rsid w:val="00976DB2"/>
    <w:rsid w:val="00977300"/>
    <w:rsid w:val="00980200"/>
    <w:rsid w:val="00980B29"/>
    <w:rsid w:val="00981341"/>
    <w:rsid w:val="0098151E"/>
    <w:rsid w:val="00981588"/>
    <w:rsid w:val="00981D76"/>
    <w:rsid w:val="00981D79"/>
    <w:rsid w:val="00981EF5"/>
    <w:rsid w:val="00981F56"/>
    <w:rsid w:val="00982D62"/>
    <w:rsid w:val="00982F91"/>
    <w:rsid w:val="00983269"/>
    <w:rsid w:val="00983DBB"/>
    <w:rsid w:val="00983EC1"/>
    <w:rsid w:val="009841A4"/>
    <w:rsid w:val="00984A0A"/>
    <w:rsid w:val="00986BF7"/>
    <w:rsid w:val="00987B60"/>
    <w:rsid w:val="00987FCD"/>
    <w:rsid w:val="0099021C"/>
    <w:rsid w:val="00990226"/>
    <w:rsid w:val="009903D7"/>
    <w:rsid w:val="0099040C"/>
    <w:rsid w:val="009905E4"/>
    <w:rsid w:val="009911D2"/>
    <w:rsid w:val="009914E4"/>
    <w:rsid w:val="00991792"/>
    <w:rsid w:val="009917AB"/>
    <w:rsid w:val="00991B6C"/>
    <w:rsid w:val="00991C6B"/>
    <w:rsid w:val="009922F3"/>
    <w:rsid w:val="00992B44"/>
    <w:rsid w:val="00992D40"/>
    <w:rsid w:val="0099325E"/>
    <w:rsid w:val="00993A76"/>
    <w:rsid w:val="00994030"/>
    <w:rsid w:val="009940A8"/>
    <w:rsid w:val="00994186"/>
    <w:rsid w:val="0099469B"/>
    <w:rsid w:val="009946EF"/>
    <w:rsid w:val="00994BD6"/>
    <w:rsid w:val="00994FF8"/>
    <w:rsid w:val="00995156"/>
    <w:rsid w:val="00995BF9"/>
    <w:rsid w:val="00995E5E"/>
    <w:rsid w:val="00995E90"/>
    <w:rsid w:val="00995ECD"/>
    <w:rsid w:val="00996075"/>
    <w:rsid w:val="0099648B"/>
    <w:rsid w:val="00996711"/>
    <w:rsid w:val="00997013"/>
    <w:rsid w:val="009972D1"/>
    <w:rsid w:val="00997917"/>
    <w:rsid w:val="009979ED"/>
    <w:rsid w:val="00997B0A"/>
    <w:rsid w:val="00997EBE"/>
    <w:rsid w:val="009A06BE"/>
    <w:rsid w:val="009A0795"/>
    <w:rsid w:val="009A0B1C"/>
    <w:rsid w:val="009A0DEA"/>
    <w:rsid w:val="009A18CD"/>
    <w:rsid w:val="009A1F29"/>
    <w:rsid w:val="009A200E"/>
    <w:rsid w:val="009A20B2"/>
    <w:rsid w:val="009A214F"/>
    <w:rsid w:val="009A3A69"/>
    <w:rsid w:val="009A3F58"/>
    <w:rsid w:val="009A4329"/>
    <w:rsid w:val="009A468D"/>
    <w:rsid w:val="009A4C7C"/>
    <w:rsid w:val="009A4D67"/>
    <w:rsid w:val="009A501F"/>
    <w:rsid w:val="009A5A54"/>
    <w:rsid w:val="009A5B4F"/>
    <w:rsid w:val="009A5F21"/>
    <w:rsid w:val="009A5F71"/>
    <w:rsid w:val="009A6F26"/>
    <w:rsid w:val="009A76D6"/>
    <w:rsid w:val="009A799A"/>
    <w:rsid w:val="009A79E7"/>
    <w:rsid w:val="009A7B49"/>
    <w:rsid w:val="009A7C7F"/>
    <w:rsid w:val="009A7F69"/>
    <w:rsid w:val="009B09C5"/>
    <w:rsid w:val="009B0A8D"/>
    <w:rsid w:val="009B16BE"/>
    <w:rsid w:val="009B179C"/>
    <w:rsid w:val="009B18DC"/>
    <w:rsid w:val="009B19A6"/>
    <w:rsid w:val="009B1BA9"/>
    <w:rsid w:val="009B1FD5"/>
    <w:rsid w:val="009B2588"/>
    <w:rsid w:val="009B298E"/>
    <w:rsid w:val="009B393E"/>
    <w:rsid w:val="009B3B32"/>
    <w:rsid w:val="009B3BC2"/>
    <w:rsid w:val="009B3E30"/>
    <w:rsid w:val="009B4C36"/>
    <w:rsid w:val="009B4DB4"/>
    <w:rsid w:val="009B537F"/>
    <w:rsid w:val="009B55E2"/>
    <w:rsid w:val="009B5C02"/>
    <w:rsid w:val="009B6367"/>
    <w:rsid w:val="009B6718"/>
    <w:rsid w:val="009B6844"/>
    <w:rsid w:val="009B6896"/>
    <w:rsid w:val="009B6EE2"/>
    <w:rsid w:val="009C0441"/>
    <w:rsid w:val="009C0A91"/>
    <w:rsid w:val="009C0B5A"/>
    <w:rsid w:val="009C1092"/>
    <w:rsid w:val="009C11FF"/>
    <w:rsid w:val="009C13DB"/>
    <w:rsid w:val="009C18B1"/>
    <w:rsid w:val="009C1A55"/>
    <w:rsid w:val="009C24EB"/>
    <w:rsid w:val="009C2EFA"/>
    <w:rsid w:val="009C3105"/>
    <w:rsid w:val="009C321D"/>
    <w:rsid w:val="009C35D2"/>
    <w:rsid w:val="009C38F3"/>
    <w:rsid w:val="009C3E45"/>
    <w:rsid w:val="009C426F"/>
    <w:rsid w:val="009C457F"/>
    <w:rsid w:val="009C4904"/>
    <w:rsid w:val="009C4BB8"/>
    <w:rsid w:val="009C4BB9"/>
    <w:rsid w:val="009C4C53"/>
    <w:rsid w:val="009C4D9A"/>
    <w:rsid w:val="009C4DCB"/>
    <w:rsid w:val="009C5050"/>
    <w:rsid w:val="009C546D"/>
    <w:rsid w:val="009C56F2"/>
    <w:rsid w:val="009C5C6E"/>
    <w:rsid w:val="009C62A4"/>
    <w:rsid w:val="009C63E5"/>
    <w:rsid w:val="009C6546"/>
    <w:rsid w:val="009C65D6"/>
    <w:rsid w:val="009C6FA5"/>
    <w:rsid w:val="009C7858"/>
    <w:rsid w:val="009C78B1"/>
    <w:rsid w:val="009C78BD"/>
    <w:rsid w:val="009C79BE"/>
    <w:rsid w:val="009C7AA7"/>
    <w:rsid w:val="009C7C98"/>
    <w:rsid w:val="009C7E3B"/>
    <w:rsid w:val="009D02AE"/>
    <w:rsid w:val="009D0702"/>
    <w:rsid w:val="009D07FE"/>
    <w:rsid w:val="009D0A47"/>
    <w:rsid w:val="009D0C70"/>
    <w:rsid w:val="009D1060"/>
    <w:rsid w:val="009D2302"/>
    <w:rsid w:val="009D2D7F"/>
    <w:rsid w:val="009D31E0"/>
    <w:rsid w:val="009D5122"/>
    <w:rsid w:val="009D5483"/>
    <w:rsid w:val="009D5555"/>
    <w:rsid w:val="009D56ED"/>
    <w:rsid w:val="009D5AB3"/>
    <w:rsid w:val="009D5D63"/>
    <w:rsid w:val="009D612C"/>
    <w:rsid w:val="009D638E"/>
    <w:rsid w:val="009D673A"/>
    <w:rsid w:val="009D6CA6"/>
    <w:rsid w:val="009D7659"/>
    <w:rsid w:val="009D7DE0"/>
    <w:rsid w:val="009E0259"/>
    <w:rsid w:val="009E0347"/>
    <w:rsid w:val="009E0561"/>
    <w:rsid w:val="009E057F"/>
    <w:rsid w:val="009E062A"/>
    <w:rsid w:val="009E0C81"/>
    <w:rsid w:val="009E1A69"/>
    <w:rsid w:val="009E1D6F"/>
    <w:rsid w:val="009E1D84"/>
    <w:rsid w:val="009E1DB0"/>
    <w:rsid w:val="009E2269"/>
    <w:rsid w:val="009E22B9"/>
    <w:rsid w:val="009E2CE2"/>
    <w:rsid w:val="009E3E79"/>
    <w:rsid w:val="009E484E"/>
    <w:rsid w:val="009E4CA5"/>
    <w:rsid w:val="009E4CBE"/>
    <w:rsid w:val="009E4E5E"/>
    <w:rsid w:val="009E5220"/>
    <w:rsid w:val="009E5538"/>
    <w:rsid w:val="009E5556"/>
    <w:rsid w:val="009E579F"/>
    <w:rsid w:val="009E589A"/>
    <w:rsid w:val="009E5D4D"/>
    <w:rsid w:val="009E5D7C"/>
    <w:rsid w:val="009E5FD7"/>
    <w:rsid w:val="009E66CE"/>
    <w:rsid w:val="009E71B8"/>
    <w:rsid w:val="009E71FD"/>
    <w:rsid w:val="009E7733"/>
    <w:rsid w:val="009E776C"/>
    <w:rsid w:val="009E78DE"/>
    <w:rsid w:val="009E7999"/>
    <w:rsid w:val="009E79F9"/>
    <w:rsid w:val="009E7D20"/>
    <w:rsid w:val="009E7D48"/>
    <w:rsid w:val="009E7E37"/>
    <w:rsid w:val="009F052D"/>
    <w:rsid w:val="009F0602"/>
    <w:rsid w:val="009F0B65"/>
    <w:rsid w:val="009F0D42"/>
    <w:rsid w:val="009F1475"/>
    <w:rsid w:val="009F1BFE"/>
    <w:rsid w:val="009F1CB7"/>
    <w:rsid w:val="009F21D3"/>
    <w:rsid w:val="009F2916"/>
    <w:rsid w:val="009F4745"/>
    <w:rsid w:val="009F48CA"/>
    <w:rsid w:val="009F4F0A"/>
    <w:rsid w:val="009F4FC3"/>
    <w:rsid w:val="009F54BC"/>
    <w:rsid w:val="009F55A9"/>
    <w:rsid w:val="009F585A"/>
    <w:rsid w:val="009F5B4D"/>
    <w:rsid w:val="009F5D69"/>
    <w:rsid w:val="009F6759"/>
    <w:rsid w:val="009F6778"/>
    <w:rsid w:val="009F6B7F"/>
    <w:rsid w:val="009F6BCC"/>
    <w:rsid w:val="009F6C7F"/>
    <w:rsid w:val="00A000BB"/>
    <w:rsid w:val="00A00214"/>
    <w:rsid w:val="00A002D4"/>
    <w:rsid w:val="00A003A8"/>
    <w:rsid w:val="00A01BBD"/>
    <w:rsid w:val="00A01C06"/>
    <w:rsid w:val="00A01C2E"/>
    <w:rsid w:val="00A01F89"/>
    <w:rsid w:val="00A0203D"/>
    <w:rsid w:val="00A022BF"/>
    <w:rsid w:val="00A023D1"/>
    <w:rsid w:val="00A0289E"/>
    <w:rsid w:val="00A02A1B"/>
    <w:rsid w:val="00A02C2D"/>
    <w:rsid w:val="00A02ECD"/>
    <w:rsid w:val="00A02FD8"/>
    <w:rsid w:val="00A0370C"/>
    <w:rsid w:val="00A03A2A"/>
    <w:rsid w:val="00A03AEC"/>
    <w:rsid w:val="00A03C36"/>
    <w:rsid w:val="00A03F76"/>
    <w:rsid w:val="00A04186"/>
    <w:rsid w:val="00A0425F"/>
    <w:rsid w:val="00A04F15"/>
    <w:rsid w:val="00A04F85"/>
    <w:rsid w:val="00A0510D"/>
    <w:rsid w:val="00A053D6"/>
    <w:rsid w:val="00A05583"/>
    <w:rsid w:val="00A05953"/>
    <w:rsid w:val="00A05DB1"/>
    <w:rsid w:val="00A06091"/>
    <w:rsid w:val="00A060B1"/>
    <w:rsid w:val="00A06696"/>
    <w:rsid w:val="00A067E0"/>
    <w:rsid w:val="00A06C66"/>
    <w:rsid w:val="00A074CF"/>
    <w:rsid w:val="00A075A0"/>
    <w:rsid w:val="00A0768A"/>
    <w:rsid w:val="00A07728"/>
    <w:rsid w:val="00A07E1F"/>
    <w:rsid w:val="00A107A1"/>
    <w:rsid w:val="00A10F13"/>
    <w:rsid w:val="00A1105F"/>
    <w:rsid w:val="00A1138B"/>
    <w:rsid w:val="00A115E5"/>
    <w:rsid w:val="00A11776"/>
    <w:rsid w:val="00A11BB7"/>
    <w:rsid w:val="00A11EA2"/>
    <w:rsid w:val="00A121E0"/>
    <w:rsid w:val="00A122E0"/>
    <w:rsid w:val="00A124D0"/>
    <w:rsid w:val="00A125B6"/>
    <w:rsid w:val="00A127A2"/>
    <w:rsid w:val="00A12D04"/>
    <w:rsid w:val="00A12DAC"/>
    <w:rsid w:val="00A135CA"/>
    <w:rsid w:val="00A1370E"/>
    <w:rsid w:val="00A13DB5"/>
    <w:rsid w:val="00A13E04"/>
    <w:rsid w:val="00A141EB"/>
    <w:rsid w:val="00A1426F"/>
    <w:rsid w:val="00A1436B"/>
    <w:rsid w:val="00A1444B"/>
    <w:rsid w:val="00A14B0F"/>
    <w:rsid w:val="00A14C99"/>
    <w:rsid w:val="00A1519E"/>
    <w:rsid w:val="00A1555D"/>
    <w:rsid w:val="00A16192"/>
    <w:rsid w:val="00A16595"/>
    <w:rsid w:val="00A166A8"/>
    <w:rsid w:val="00A16A45"/>
    <w:rsid w:val="00A16B43"/>
    <w:rsid w:val="00A171AD"/>
    <w:rsid w:val="00A172C0"/>
    <w:rsid w:val="00A17397"/>
    <w:rsid w:val="00A176DE"/>
    <w:rsid w:val="00A17CC8"/>
    <w:rsid w:val="00A20D90"/>
    <w:rsid w:val="00A20DBD"/>
    <w:rsid w:val="00A210EA"/>
    <w:rsid w:val="00A216B5"/>
    <w:rsid w:val="00A22391"/>
    <w:rsid w:val="00A22743"/>
    <w:rsid w:val="00A22C7A"/>
    <w:rsid w:val="00A23074"/>
    <w:rsid w:val="00A237BA"/>
    <w:rsid w:val="00A2388B"/>
    <w:rsid w:val="00A24194"/>
    <w:rsid w:val="00A24520"/>
    <w:rsid w:val="00A2464E"/>
    <w:rsid w:val="00A249C9"/>
    <w:rsid w:val="00A24D06"/>
    <w:rsid w:val="00A252DA"/>
    <w:rsid w:val="00A254DD"/>
    <w:rsid w:val="00A25585"/>
    <w:rsid w:val="00A2661C"/>
    <w:rsid w:val="00A2695B"/>
    <w:rsid w:val="00A269C8"/>
    <w:rsid w:val="00A26B16"/>
    <w:rsid w:val="00A2712B"/>
    <w:rsid w:val="00A274A2"/>
    <w:rsid w:val="00A27605"/>
    <w:rsid w:val="00A27650"/>
    <w:rsid w:val="00A27D35"/>
    <w:rsid w:val="00A30652"/>
    <w:rsid w:val="00A3069F"/>
    <w:rsid w:val="00A30991"/>
    <w:rsid w:val="00A30AB8"/>
    <w:rsid w:val="00A30ABB"/>
    <w:rsid w:val="00A30BFC"/>
    <w:rsid w:val="00A317A2"/>
    <w:rsid w:val="00A31AF3"/>
    <w:rsid w:val="00A323D3"/>
    <w:rsid w:val="00A325DB"/>
    <w:rsid w:val="00A327A0"/>
    <w:rsid w:val="00A32C1B"/>
    <w:rsid w:val="00A32E99"/>
    <w:rsid w:val="00A33956"/>
    <w:rsid w:val="00A33D31"/>
    <w:rsid w:val="00A33F74"/>
    <w:rsid w:val="00A34A6C"/>
    <w:rsid w:val="00A34FAC"/>
    <w:rsid w:val="00A350EB"/>
    <w:rsid w:val="00A3514D"/>
    <w:rsid w:val="00A35E7C"/>
    <w:rsid w:val="00A364FB"/>
    <w:rsid w:val="00A366AF"/>
    <w:rsid w:val="00A36758"/>
    <w:rsid w:val="00A36B74"/>
    <w:rsid w:val="00A36CEA"/>
    <w:rsid w:val="00A37251"/>
    <w:rsid w:val="00A375B4"/>
    <w:rsid w:val="00A40546"/>
    <w:rsid w:val="00A40B40"/>
    <w:rsid w:val="00A41B1B"/>
    <w:rsid w:val="00A41C31"/>
    <w:rsid w:val="00A41C51"/>
    <w:rsid w:val="00A42162"/>
    <w:rsid w:val="00A424BD"/>
    <w:rsid w:val="00A42C6B"/>
    <w:rsid w:val="00A42D02"/>
    <w:rsid w:val="00A42EB7"/>
    <w:rsid w:val="00A42FBF"/>
    <w:rsid w:val="00A439A9"/>
    <w:rsid w:val="00A43CF5"/>
    <w:rsid w:val="00A454BB"/>
    <w:rsid w:val="00A4558B"/>
    <w:rsid w:val="00A455A7"/>
    <w:rsid w:val="00A459DB"/>
    <w:rsid w:val="00A45F1D"/>
    <w:rsid w:val="00A472AD"/>
    <w:rsid w:val="00A47384"/>
    <w:rsid w:val="00A47CA0"/>
    <w:rsid w:val="00A504A9"/>
    <w:rsid w:val="00A5052D"/>
    <w:rsid w:val="00A50DDD"/>
    <w:rsid w:val="00A50F81"/>
    <w:rsid w:val="00A5115F"/>
    <w:rsid w:val="00A51FB7"/>
    <w:rsid w:val="00A521C1"/>
    <w:rsid w:val="00A528B5"/>
    <w:rsid w:val="00A52BBE"/>
    <w:rsid w:val="00A5304E"/>
    <w:rsid w:val="00A53668"/>
    <w:rsid w:val="00A53BB2"/>
    <w:rsid w:val="00A53D23"/>
    <w:rsid w:val="00A53D25"/>
    <w:rsid w:val="00A54957"/>
    <w:rsid w:val="00A54BD3"/>
    <w:rsid w:val="00A54FD5"/>
    <w:rsid w:val="00A554A5"/>
    <w:rsid w:val="00A55A3C"/>
    <w:rsid w:val="00A55A89"/>
    <w:rsid w:val="00A55B5D"/>
    <w:rsid w:val="00A55B77"/>
    <w:rsid w:val="00A55C2A"/>
    <w:rsid w:val="00A55C5D"/>
    <w:rsid w:val="00A56255"/>
    <w:rsid w:val="00A56614"/>
    <w:rsid w:val="00A56F17"/>
    <w:rsid w:val="00A579FF"/>
    <w:rsid w:val="00A57BB5"/>
    <w:rsid w:val="00A604B0"/>
    <w:rsid w:val="00A607B1"/>
    <w:rsid w:val="00A60976"/>
    <w:rsid w:val="00A60C76"/>
    <w:rsid w:val="00A60FE8"/>
    <w:rsid w:val="00A619F0"/>
    <w:rsid w:val="00A61D9E"/>
    <w:rsid w:val="00A623EC"/>
    <w:rsid w:val="00A625AD"/>
    <w:rsid w:val="00A625BC"/>
    <w:rsid w:val="00A62F24"/>
    <w:rsid w:val="00A63258"/>
    <w:rsid w:val="00A63FD2"/>
    <w:rsid w:val="00A647E9"/>
    <w:rsid w:val="00A64865"/>
    <w:rsid w:val="00A64D40"/>
    <w:rsid w:val="00A6519A"/>
    <w:rsid w:val="00A651B6"/>
    <w:rsid w:val="00A65700"/>
    <w:rsid w:val="00A659C8"/>
    <w:rsid w:val="00A65A03"/>
    <w:rsid w:val="00A66135"/>
    <w:rsid w:val="00A666A2"/>
    <w:rsid w:val="00A667A7"/>
    <w:rsid w:val="00A6702C"/>
    <w:rsid w:val="00A6717D"/>
    <w:rsid w:val="00A677F3"/>
    <w:rsid w:val="00A67A8B"/>
    <w:rsid w:val="00A67C49"/>
    <w:rsid w:val="00A70E81"/>
    <w:rsid w:val="00A71101"/>
    <w:rsid w:val="00A7113E"/>
    <w:rsid w:val="00A714E6"/>
    <w:rsid w:val="00A71977"/>
    <w:rsid w:val="00A71C1F"/>
    <w:rsid w:val="00A71E23"/>
    <w:rsid w:val="00A7221D"/>
    <w:rsid w:val="00A7352B"/>
    <w:rsid w:val="00A73586"/>
    <w:rsid w:val="00A736FF"/>
    <w:rsid w:val="00A739B8"/>
    <w:rsid w:val="00A73F44"/>
    <w:rsid w:val="00A74621"/>
    <w:rsid w:val="00A749C1"/>
    <w:rsid w:val="00A749C4"/>
    <w:rsid w:val="00A74F77"/>
    <w:rsid w:val="00A75614"/>
    <w:rsid w:val="00A75655"/>
    <w:rsid w:val="00A75916"/>
    <w:rsid w:val="00A75CAB"/>
    <w:rsid w:val="00A75EB2"/>
    <w:rsid w:val="00A76730"/>
    <w:rsid w:val="00A76D2D"/>
    <w:rsid w:val="00A76DC2"/>
    <w:rsid w:val="00A76FDC"/>
    <w:rsid w:val="00A7711C"/>
    <w:rsid w:val="00A771E6"/>
    <w:rsid w:val="00A77248"/>
    <w:rsid w:val="00A773B5"/>
    <w:rsid w:val="00A774E3"/>
    <w:rsid w:val="00A77594"/>
    <w:rsid w:val="00A77802"/>
    <w:rsid w:val="00A77AD9"/>
    <w:rsid w:val="00A77E8F"/>
    <w:rsid w:val="00A800DF"/>
    <w:rsid w:val="00A800EF"/>
    <w:rsid w:val="00A808A4"/>
    <w:rsid w:val="00A815D0"/>
    <w:rsid w:val="00A8268E"/>
    <w:rsid w:val="00A835D3"/>
    <w:rsid w:val="00A83692"/>
    <w:rsid w:val="00A837CF"/>
    <w:rsid w:val="00A83846"/>
    <w:rsid w:val="00A83A46"/>
    <w:rsid w:val="00A83AB1"/>
    <w:rsid w:val="00A845C6"/>
    <w:rsid w:val="00A8491B"/>
    <w:rsid w:val="00A84A77"/>
    <w:rsid w:val="00A84B6A"/>
    <w:rsid w:val="00A84D71"/>
    <w:rsid w:val="00A84F75"/>
    <w:rsid w:val="00A85C09"/>
    <w:rsid w:val="00A86604"/>
    <w:rsid w:val="00A86E5D"/>
    <w:rsid w:val="00A86EA2"/>
    <w:rsid w:val="00A87073"/>
    <w:rsid w:val="00A87409"/>
    <w:rsid w:val="00A8756C"/>
    <w:rsid w:val="00A875DE"/>
    <w:rsid w:val="00A87D00"/>
    <w:rsid w:val="00A87FC0"/>
    <w:rsid w:val="00A906C2"/>
    <w:rsid w:val="00A9079F"/>
    <w:rsid w:val="00A9081A"/>
    <w:rsid w:val="00A90A8A"/>
    <w:rsid w:val="00A90C9F"/>
    <w:rsid w:val="00A90F81"/>
    <w:rsid w:val="00A9110E"/>
    <w:rsid w:val="00A91B24"/>
    <w:rsid w:val="00A91CA6"/>
    <w:rsid w:val="00A91D72"/>
    <w:rsid w:val="00A92794"/>
    <w:rsid w:val="00A92965"/>
    <w:rsid w:val="00A92CA0"/>
    <w:rsid w:val="00A93153"/>
    <w:rsid w:val="00A93953"/>
    <w:rsid w:val="00A93DD2"/>
    <w:rsid w:val="00A93E15"/>
    <w:rsid w:val="00A9568C"/>
    <w:rsid w:val="00A95A0B"/>
    <w:rsid w:val="00A95B30"/>
    <w:rsid w:val="00A95E14"/>
    <w:rsid w:val="00A95FC4"/>
    <w:rsid w:val="00A962D8"/>
    <w:rsid w:val="00A963E4"/>
    <w:rsid w:val="00A967E3"/>
    <w:rsid w:val="00A96E14"/>
    <w:rsid w:val="00A96E94"/>
    <w:rsid w:val="00A96FF3"/>
    <w:rsid w:val="00A97F3D"/>
    <w:rsid w:val="00A97F8B"/>
    <w:rsid w:val="00AA0109"/>
    <w:rsid w:val="00AA054C"/>
    <w:rsid w:val="00AA0586"/>
    <w:rsid w:val="00AA1106"/>
    <w:rsid w:val="00AA13CD"/>
    <w:rsid w:val="00AA1626"/>
    <w:rsid w:val="00AA1924"/>
    <w:rsid w:val="00AA1928"/>
    <w:rsid w:val="00AA1B3E"/>
    <w:rsid w:val="00AA23A3"/>
    <w:rsid w:val="00AA253D"/>
    <w:rsid w:val="00AA3130"/>
    <w:rsid w:val="00AA34D0"/>
    <w:rsid w:val="00AA3A4C"/>
    <w:rsid w:val="00AA3B99"/>
    <w:rsid w:val="00AA3FAF"/>
    <w:rsid w:val="00AA4425"/>
    <w:rsid w:val="00AA470F"/>
    <w:rsid w:val="00AA4BD1"/>
    <w:rsid w:val="00AA59C0"/>
    <w:rsid w:val="00AA5A3F"/>
    <w:rsid w:val="00AA5F33"/>
    <w:rsid w:val="00AA6133"/>
    <w:rsid w:val="00AA61BF"/>
    <w:rsid w:val="00AA62A7"/>
    <w:rsid w:val="00AA64B2"/>
    <w:rsid w:val="00AA66FA"/>
    <w:rsid w:val="00AA6B61"/>
    <w:rsid w:val="00AA74EC"/>
    <w:rsid w:val="00AA7761"/>
    <w:rsid w:val="00AA7834"/>
    <w:rsid w:val="00AA788C"/>
    <w:rsid w:val="00AA7C8B"/>
    <w:rsid w:val="00AA7EFB"/>
    <w:rsid w:val="00AB042A"/>
    <w:rsid w:val="00AB087F"/>
    <w:rsid w:val="00AB0F54"/>
    <w:rsid w:val="00AB0FF0"/>
    <w:rsid w:val="00AB10CC"/>
    <w:rsid w:val="00AB19C4"/>
    <w:rsid w:val="00AB1A5F"/>
    <w:rsid w:val="00AB1B9D"/>
    <w:rsid w:val="00AB2F9E"/>
    <w:rsid w:val="00AB395B"/>
    <w:rsid w:val="00AB3A3F"/>
    <w:rsid w:val="00AB3F07"/>
    <w:rsid w:val="00AB40AD"/>
    <w:rsid w:val="00AB43C5"/>
    <w:rsid w:val="00AB46DE"/>
    <w:rsid w:val="00AB4792"/>
    <w:rsid w:val="00AB4D48"/>
    <w:rsid w:val="00AB4EA9"/>
    <w:rsid w:val="00AB5638"/>
    <w:rsid w:val="00AB5786"/>
    <w:rsid w:val="00AB57D0"/>
    <w:rsid w:val="00AB5E55"/>
    <w:rsid w:val="00AB5F99"/>
    <w:rsid w:val="00AB6451"/>
    <w:rsid w:val="00AB6AFC"/>
    <w:rsid w:val="00AB6EC0"/>
    <w:rsid w:val="00AC02E8"/>
    <w:rsid w:val="00AC03AC"/>
    <w:rsid w:val="00AC0426"/>
    <w:rsid w:val="00AC04D1"/>
    <w:rsid w:val="00AC0D6F"/>
    <w:rsid w:val="00AC0E2A"/>
    <w:rsid w:val="00AC12BF"/>
    <w:rsid w:val="00AC163F"/>
    <w:rsid w:val="00AC19B7"/>
    <w:rsid w:val="00AC1C63"/>
    <w:rsid w:val="00AC2022"/>
    <w:rsid w:val="00AC213C"/>
    <w:rsid w:val="00AC2362"/>
    <w:rsid w:val="00AC2A46"/>
    <w:rsid w:val="00AC2D47"/>
    <w:rsid w:val="00AC3486"/>
    <w:rsid w:val="00AC3D2C"/>
    <w:rsid w:val="00AC430B"/>
    <w:rsid w:val="00AC454C"/>
    <w:rsid w:val="00AC4823"/>
    <w:rsid w:val="00AC5413"/>
    <w:rsid w:val="00AC5547"/>
    <w:rsid w:val="00AC5745"/>
    <w:rsid w:val="00AC5AFF"/>
    <w:rsid w:val="00AC5C62"/>
    <w:rsid w:val="00AC624B"/>
    <w:rsid w:val="00AC64C7"/>
    <w:rsid w:val="00AC6A0A"/>
    <w:rsid w:val="00AC6BF6"/>
    <w:rsid w:val="00AC7046"/>
    <w:rsid w:val="00AC7416"/>
    <w:rsid w:val="00AC761A"/>
    <w:rsid w:val="00AC7675"/>
    <w:rsid w:val="00AC77FB"/>
    <w:rsid w:val="00AC79CA"/>
    <w:rsid w:val="00AC7C25"/>
    <w:rsid w:val="00AC7F78"/>
    <w:rsid w:val="00AD09D5"/>
    <w:rsid w:val="00AD09FB"/>
    <w:rsid w:val="00AD0D65"/>
    <w:rsid w:val="00AD1269"/>
    <w:rsid w:val="00AD1366"/>
    <w:rsid w:val="00AD1A1D"/>
    <w:rsid w:val="00AD22F3"/>
    <w:rsid w:val="00AD2A4D"/>
    <w:rsid w:val="00AD39A0"/>
    <w:rsid w:val="00AD3BB6"/>
    <w:rsid w:val="00AD3C97"/>
    <w:rsid w:val="00AD3ED4"/>
    <w:rsid w:val="00AD4500"/>
    <w:rsid w:val="00AD47A4"/>
    <w:rsid w:val="00AD4D06"/>
    <w:rsid w:val="00AD4E6B"/>
    <w:rsid w:val="00AD4E98"/>
    <w:rsid w:val="00AD519B"/>
    <w:rsid w:val="00AD545E"/>
    <w:rsid w:val="00AD5657"/>
    <w:rsid w:val="00AD5BF9"/>
    <w:rsid w:val="00AD5DF8"/>
    <w:rsid w:val="00AD5EDA"/>
    <w:rsid w:val="00AD66B0"/>
    <w:rsid w:val="00AD7536"/>
    <w:rsid w:val="00AD7996"/>
    <w:rsid w:val="00AD7FEA"/>
    <w:rsid w:val="00AE0A09"/>
    <w:rsid w:val="00AE0E6C"/>
    <w:rsid w:val="00AE1692"/>
    <w:rsid w:val="00AE19F0"/>
    <w:rsid w:val="00AE30FC"/>
    <w:rsid w:val="00AE3AAB"/>
    <w:rsid w:val="00AE3BA9"/>
    <w:rsid w:val="00AE3C64"/>
    <w:rsid w:val="00AE488A"/>
    <w:rsid w:val="00AE4BC2"/>
    <w:rsid w:val="00AE515D"/>
    <w:rsid w:val="00AE532F"/>
    <w:rsid w:val="00AE5394"/>
    <w:rsid w:val="00AE557D"/>
    <w:rsid w:val="00AE55B7"/>
    <w:rsid w:val="00AE5A41"/>
    <w:rsid w:val="00AE5BC3"/>
    <w:rsid w:val="00AE601D"/>
    <w:rsid w:val="00AE60F7"/>
    <w:rsid w:val="00AE6498"/>
    <w:rsid w:val="00AE6BB4"/>
    <w:rsid w:val="00AE6F00"/>
    <w:rsid w:val="00AE758A"/>
    <w:rsid w:val="00AE7937"/>
    <w:rsid w:val="00AE7B5C"/>
    <w:rsid w:val="00AF11F7"/>
    <w:rsid w:val="00AF13D5"/>
    <w:rsid w:val="00AF1DA5"/>
    <w:rsid w:val="00AF1E22"/>
    <w:rsid w:val="00AF2D07"/>
    <w:rsid w:val="00AF3171"/>
    <w:rsid w:val="00AF3255"/>
    <w:rsid w:val="00AF3AD0"/>
    <w:rsid w:val="00AF417D"/>
    <w:rsid w:val="00AF4366"/>
    <w:rsid w:val="00AF43FA"/>
    <w:rsid w:val="00AF4DDB"/>
    <w:rsid w:val="00AF55C7"/>
    <w:rsid w:val="00AF5CF3"/>
    <w:rsid w:val="00AF6A5B"/>
    <w:rsid w:val="00AF725C"/>
    <w:rsid w:val="00AF7550"/>
    <w:rsid w:val="00AF7C82"/>
    <w:rsid w:val="00AF7E1A"/>
    <w:rsid w:val="00AF7F5F"/>
    <w:rsid w:val="00B00270"/>
    <w:rsid w:val="00B005F5"/>
    <w:rsid w:val="00B019A1"/>
    <w:rsid w:val="00B01F70"/>
    <w:rsid w:val="00B02230"/>
    <w:rsid w:val="00B023FD"/>
    <w:rsid w:val="00B02528"/>
    <w:rsid w:val="00B0295F"/>
    <w:rsid w:val="00B02F4C"/>
    <w:rsid w:val="00B03066"/>
    <w:rsid w:val="00B03C15"/>
    <w:rsid w:val="00B03C69"/>
    <w:rsid w:val="00B03FA5"/>
    <w:rsid w:val="00B04019"/>
    <w:rsid w:val="00B047D7"/>
    <w:rsid w:val="00B04822"/>
    <w:rsid w:val="00B048E9"/>
    <w:rsid w:val="00B04BF4"/>
    <w:rsid w:val="00B04E1A"/>
    <w:rsid w:val="00B04E2A"/>
    <w:rsid w:val="00B057B4"/>
    <w:rsid w:val="00B05E25"/>
    <w:rsid w:val="00B05FBD"/>
    <w:rsid w:val="00B060B1"/>
    <w:rsid w:val="00B062DD"/>
    <w:rsid w:val="00B063B4"/>
    <w:rsid w:val="00B06851"/>
    <w:rsid w:val="00B068AA"/>
    <w:rsid w:val="00B068D7"/>
    <w:rsid w:val="00B06DDE"/>
    <w:rsid w:val="00B06EC0"/>
    <w:rsid w:val="00B0713C"/>
    <w:rsid w:val="00B0743B"/>
    <w:rsid w:val="00B0767E"/>
    <w:rsid w:val="00B076F0"/>
    <w:rsid w:val="00B07C2E"/>
    <w:rsid w:val="00B10772"/>
    <w:rsid w:val="00B110CA"/>
    <w:rsid w:val="00B11212"/>
    <w:rsid w:val="00B11B25"/>
    <w:rsid w:val="00B11BBF"/>
    <w:rsid w:val="00B11D2D"/>
    <w:rsid w:val="00B1203A"/>
    <w:rsid w:val="00B12286"/>
    <w:rsid w:val="00B12307"/>
    <w:rsid w:val="00B1250E"/>
    <w:rsid w:val="00B129B4"/>
    <w:rsid w:val="00B12F69"/>
    <w:rsid w:val="00B12F7F"/>
    <w:rsid w:val="00B12FB1"/>
    <w:rsid w:val="00B13234"/>
    <w:rsid w:val="00B13A5A"/>
    <w:rsid w:val="00B13D19"/>
    <w:rsid w:val="00B13D1C"/>
    <w:rsid w:val="00B13D56"/>
    <w:rsid w:val="00B1437B"/>
    <w:rsid w:val="00B14826"/>
    <w:rsid w:val="00B14AF3"/>
    <w:rsid w:val="00B14C86"/>
    <w:rsid w:val="00B14DA0"/>
    <w:rsid w:val="00B152DA"/>
    <w:rsid w:val="00B16204"/>
    <w:rsid w:val="00B1664F"/>
    <w:rsid w:val="00B16666"/>
    <w:rsid w:val="00B16854"/>
    <w:rsid w:val="00B16B21"/>
    <w:rsid w:val="00B17011"/>
    <w:rsid w:val="00B173A5"/>
    <w:rsid w:val="00B17C3C"/>
    <w:rsid w:val="00B205ED"/>
    <w:rsid w:val="00B208D1"/>
    <w:rsid w:val="00B20F4A"/>
    <w:rsid w:val="00B21279"/>
    <w:rsid w:val="00B21524"/>
    <w:rsid w:val="00B217D7"/>
    <w:rsid w:val="00B2258B"/>
    <w:rsid w:val="00B2260E"/>
    <w:rsid w:val="00B229D9"/>
    <w:rsid w:val="00B22B35"/>
    <w:rsid w:val="00B22C36"/>
    <w:rsid w:val="00B23AEE"/>
    <w:rsid w:val="00B23CF4"/>
    <w:rsid w:val="00B23E0B"/>
    <w:rsid w:val="00B24372"/>
    <w:rsid w:val="00B2474C"/>
    <w:rsid w:val="00B2480B"/>
    <w:rsid w:val="00B24BC2"/>
    <w:rsid w:val="00B24CC0"/>
    <w:rsid w:val="00B24FB6"/>
    <w:rsid w:val="00B2553D"/>
    <w:rsid w:val="00B259F5"/>
    <w:rsid w:val="00B25A17"/>
    <w:rsid w:val="00B25B51"/>
    <w:rsid w:val="00B26206"/>
    <w:rsid w:val="00B262AA"/>
    <w:rsid w:val="00B263E1"/>
    <w:rsid w:val="00B2667D"/>
    <w:rsid w:val="00B26BA1"/>
    <w:rsid w:val="00B27E55"/>
    <w:rsid w:val="00B30561"/>
    <w:rsid w:val="00B3067D"/>
    <w:rsid w:val="00B30A6F"/>
    <w:rsid w:val="00B30C68"/>
    <w:rsid w:val="00B312FA"/>
    <w:rsid w:val="00B31C38"/>
    <w:rsid w:val="00B320ED"/>
    <w:rsid w:val="00B32380"/>
    <w:rsid w:val="00B32448"/>
    <w:rsid w:val="00B3292E"/>
    <w:rsid w:val="00B32BAA"/>
    <w:rsid w:val="00B32EB0"/>
    <w:rsid w:val="00B331A6"/>
    <w:rsid w:val="00B335D7"/>
    <w:rsid w:val="00B33C08"/>
    <w:rsid w:val="00B33CBA"/>
    <w:rsid w:val="00B34ABB"/>
    <w:rsid w:val="00B34EEA"/>
    <w:rsid w:val="00B35073"/>
    <w:rsid w:val="00B35520"/>
    <w:rsid w:val="00B35BC2"/>
    <w:rsid w:val="00B35D71"/>
    <w:rsid w:val="00B361B3"/>
    <w:rsid w:val="00B36669"/>
    <w:rsid w:val="00B36CB4"/>
    <w:rsid w:val="00B3743E"/>
    <w:rsid w:val="00B37F85"/>
    <w:rsid w:val="00B400D2"/>
    <w:rsid w:val="00B400E8"/>
    <w:rsid w:val="00B40255"/>
    <w:rsid w:val="00B4066D"/>
    <w:rsid w:val="00B4184A"/>
    <w:rsid w:val="00B41875"/>
    <w:rsid w:val="00B41B89"/>
    <w:rsid w:val="00B41F3E"/>
    <w:rsid w:val="00B431F3"/>
    <w:rsid w:val="00B433EB"/>
    <w:rsid w:val="00B43CD0"/>
    <w:rsid w:val="00B43D0D"/>
    <w:rsid w:val="00B442F1"/>
    <w:rsid w:val="00B445BC"/>
    <w:rsid w:val="00B45C3C"/>
    <w:rsid w:val="00B45FA1"/>
    <w:rsid w:val="00B4610E"/>
    <w:rsid w:val="00B461D8"/>
    <w:rsid w:val="00B4624C"/>
    <w:rsid w:val="00B46354"/>
    <w:rsid w:val="00B4718A"/>
    <w:rsid w:val="00B47431"/>
    <w:rsid w:val="00B47727"/>
    <w:rsid w:val="00B47968"/>
    <w:rsid w:val="00B47BF6"/>
    <w:rsid w:val="00B47ED7"/>
    <w:rsid w:val="00B502D8"/>
    <w:rsid w:val="00B50605"/>
    <w:rsid w:val="00B5078B"/>
    <w:rsid w:val="00B50D6D"/>
    <w:rsid w:val="00B514CE"/>
    <w:rsid w:val="00B5229B"/>
    <w:rsid w:val="00B527CA"/>
    <w:rsid w:val="00B52A57"/>
    <w:rsid w:val="00B52DAF"/>
    <w:rsid w:val="00B52DE0"/>
    <w:rsid w:val="00B5338A"/>
    <w:rsid w:val="00B539DB"/>
    <w:rsid w:val="00B53AE9"/>
    <w:rsid w:val="00B53F01"/>
    <w:rsid w:val="00B54073"/>
    <w:rsid w:val="00B5425E"/>
    <w:rsid w:val="00B545E6"/>
    <w:rsid w:val="00B5471E"/>
    <w:rsid w:val="00B549EA"/>
    <w:rsid w:val="00B54C09"/>
    <w:rsid w:val="00B553E3"/>
    <w:rsid w:val="00B55AC3"/>
    <w:rsid w:val="00B55C1A"/>
    <w:rsid w:val="00B56DD7"/>
    <w:rsid w:val="00B57298"/>
    <w:rsid w:val="00B576F7"/>
    <w:rsid w:val="00B57702"/>
    <w:rsid w:val="00B577E3"/>
    <w:rsid w:val="00B602D9"/>
    <w:rsid w:val="00B60EDE"/>
    <w:rsid w:val="00B611C2"/>
    <w:rsid w:val="00B6207B"/>
    <w:rsid w:val="00B62445"/>
    <w:rsid w:val="00B62807"/>
    <w:rsid w:val="00B63941"/>
    <w:rsid w:val="00B63B5B"/>
    <w:rsid w:val="00B63F20"/>
    <w:rsid w:val="00B643D2"/>
    <w:rsid w:val="00B6470F"/>
    <w:rsid w:val="00B648C9"/>
    <w:rsid w:val="00B64B0D"/>
    <w:rsid w:val="00B6500E"/>
    <w:rsid w:val="00B650B1"/>
    <w:rsid w:val="00B65391"/>
    <w:rsid w:val="00B65A57"/>
    <w:rsid w:val="00B6606D"/>
    <w:rsid w:val="00B66273"/>
    <w:rsid w:val="00B663CC"/>
    <w:rsid w:val="00B66BBE"/>
    <w:rsid w:val="00B66BE1"/>
    <w:rsid w:val="00B67189"/>
    <w:rsid w:val="00B672B2"/>
    <w:rsid w:val="00B70065"/>
    <w:rsid w:val="00B70759"/>
    <w:rsid w:val="00B70A2C"/>
    <w:rsid w:val="00B70BF4"/>
    <w:rsid w:val="00B71236"/>
    <w:rsid w:val="00B717C0"/>
    <w:rsid w:val="00B71950"/>
    <w:rsid w:val="00B719AE"/>
    <w:rsid w:val="00B71E65"/>
    <w:rsid w:val="00B71E90"/>
    <w:rsid w:val="00B7252B"/>
    <w:rsid w:val="00B72E5C"/>
    <w:rsid w:val="00B73197"/>
    <w:rsid w:val="00B733ED"/>
    <w:rsid w:val="00B735E8"/>
    <w:rsid w:val="00B73CFD"/>
    <w:rsid w:val="00B73EF4"/>
    <w:rsid w:val="00B743DC"/>
    <w:rsid w:val="00B74D72"/>
    <w:rsid w:val="00B74EFF"/>
    <w:rsid w:val="00B74F8E"/>
    <w:rsid w:val="00B752DD"/>
    <w:rsid w:val="00B76549"/>
    <w:rsid w:val="00B766CB"/>
    <w:rsid w:val="00B767C4"/>
    <w:rsid w:val="00B76BCE"/>
    <w:rsid w:val="00B76F8A"/>
    <w:rsid w:val="00B772F2"/>
    <w:rsid w:val="00B77449"/>
    <w:rsid w:val="00B77B0C"/>
    <w:rsid w:val="00B77C0D"/>
    <w:rsid w:val="00B77C4D"/>
    <w:rsid w:val="00B77F41"/>
    <w:rsid w:val="00B807D7"/>
    <w:rsid w:val="00B80ADD"/>
    <w:rsid w:val="00B8118E"/>
    <w:rsid w:val="00B81551"/>
    <w:rsid w:val="00B81C7F"/>
    <w:rsid w:val="00B81E79"/>
    <w:rsid w:val="00B81F8D"/>
    <w:rsid w:val="00B8207A"/>
    <w:rsid w:val="00B82080"/>
    <w:rsid w:val="00B827AE"/>
    <w:rsid w:val="00B82B09"/>
    <w:rsid w:val="00B82BA9"/>
    <w:rsid w:val="00B82DCB"/>
    <w:rsid w:val="00B835BF"/>
    <w:rsid w:val="00B836A6"/>
    <w:rsid w:val="00B840D5"/>
    <w:rsid w:val="00B8430A"/>
    <w:rsid w:val="00B84988"/>
    <w:rsid w:val="00B84A2E"/>
    <w:rsid w:val="00B84AA0"/>
    <w:rsid w:val="00B84C8D"/>
    <w:rsid w:val="00B84EE9"/>
    <w:rsid w:val="00B85274"/>
    <w:rsid w:val="00B85740"/>
    <w:rsid w:val="00B857C7"/>
    <w:rsid w:val="00B86056"/>
    <w:rsid w:val="00B8611D"/>
    <w:rsid w:val="00B8776C"/>
    <w:rsid w:val="00B87BB5"/>
    <w:rsid w:val="00B903FE"/>
    <w:rsid w:val="00B906AB"/>
    <w:rsid w:val="00B908BA"/>
    <w:rsid w:val="00B90BC9"/>
    <w:rsid w:val="00B90D1B"/>
    <w:rsid w:val="00B91765"/>
    <w:rsid w:val="00B917BE"/>
    <w:rsid w:val="00B91BAB"/>
    <w:rsid w:val="00B91BD5"/>
    <w:rsid w:val="00B91DFC"/>
    <w:rsid w:val="00B923CF"/>
    <w:rsid w:val="00B924C0"/>
    <w:rsid w:val="00B940B7"/>
    <w:rsid w:val="00B940BD"/>
    <w:rsid w:val="00B9420D"/>
    <w:rsid w:val="00B942A7"/>
    <w:rsid w:val="00B94A1E"/>
    <w:rsid w:val="00B95822"/>
    <w:rsid w:val="00B95EC5"/>
    <w:rsid w:val="00B95ED9"/>
    <w:rsid w:val="00B96291"/>
    <w:rsid w:val="00B96DD5"/>
    <w:rsid w:val="00B96E18"/>
    <w:rsid w:val="00B972F1"/>
    <w:rsid w:val="00B974B6"/>
    <w:rsid w:val="00B977EE"/>
    <w:rsid w:val="00B979B3"/>
    <w:rsid w:val="00B97D53"/>
    <w:rsid w:val="00BA121A"/>
    <w:rsid w:val="00BA126D"/>
    <w:rsid w:val="00BA174F"/>
    <w:rsid w:val="00BA1AA0"/>
    <w:rsid w:val="00BA23C7"/>
    <w:rsid w:val="00BA26A4"/>
    <w:rsid w:val="00BA2B16"/>
    <w:rsid w:val="00BA2EC9"/>
    <w:rsid w:val="00BA322E"/>
    <w:rsid w:val="00BA3B8C"/>
    <w:rsid w:val="00BA3DDC"/>
    <w:rsid w:val="00BA3E49"/>
    <w:rsid w:val="00BA4383"/>
    <w:rsid w:val="00BA4708"/>
    <w:rsid w:val="00BA4A58"/>
    <w:rsid w:val="00BA4C96"/>
    <w:rsid w:val="00BA51DA"/>
    <w:rsid w:val="00BA59B2"/>
    <w:rsid w:val="00BA5CDF"/>
    <w:rsid w:val="00BA64CA"/>
    <w:rsid w:val="00BA6703"/>
    <w:rsid w:val="00BA672A"/>
    <w:rsid w:val="00BA6823"/>
    <w:rsid w:val="00BA6848"/>
    <w:rsid w:val="00BA69CB"/>
    <w:rsid w:val="00BA6BD9"/>
    <w:rsid w:val="00BA7919"/>
    <w:rsid w:val="00BA7BE4"/>
    <w:rsid w:val="00BA7FCD"/>
    <w:rsid w:val="00BB0151"/>
    <w:rsid w:val="00BB1DA5"/>
    <w:rsid w:val="00BB1E82"/>
    <w:rsid w:val="00BB1F2E"/>
    <w:rsid w:val="00BB2611"/>
    <w:rsid w:val="00BB2BB6"/>
    <w:rsid w:val="00BB2C0D"/>
    <w:rsid w:val="00BB2E28"/>
    <w:rsid w:val="00BB3458"/>
    <w:rsid w:val="00BB38E0"/>
    <w:rsid w:val="00BB3D68"/>
    <w:rsid w:val="00BB4AB2"/>
    <w:rsid w:val="00BB4C68"/>
    <w:rsid w:val="00BB4C9F"/>
    <w:rsid w:val="00BB50CD"/>
    <w:rsid w:val="00BB51A1"/>
    <w:rsid w:val="00BB5305"/>
    <w:rsid w:val="00BB55C9"/>
    <w:rsid w:val="00BB564C"/>
    <w:rsid w:val="00BB57FB"/>
    <w:rsid w:val="00BB5B31"/>
    <w:rsid w:val="00BB68E9"/>
    <w:rsid w:val="00BB7281"/>
    <w:rsid w:val="00BB74AF"/>
    <w:rsid w:val="00BB7B10"/>
    <w:rsid w:val="00BB7C53"/>
    <w:rsid w:val="00BB7FDF"/>
    <w:rsid w:val="00BC059C"/>
    <w:rsid w:val="00BC06FE"/>
    <w:rsid w:val="00BC0F8D"/>
    <w:rsid w:val="00BC12F1"/>
    <w:rsid w:val="00BC159F"/>
    <w:rsid w:val="00BC1E53"/>
    <w:rsid w:val="00BC216E"/>
    <w:rsid w:val="00BC3A58"/>
    <w:rsid w:val="00BC3B0B"/>
    <w:rsid w:val="00BC3BE1"/>
    <w:rsid w:val="00BC3D69"/>
    <w:rsid w:val="00BC3F2B"/>
    <w:rsid w:val="00BC4447"/>
    <w:rsid w:val="00BC4B10"/>
    <w:rsid w:val="00BC5418"/>
    <w:rsid w:val="00BC5848"/>
    <w:rsid w:val="00BC61A6"/>
    <w:rsid w:val="00BC6D76"/>
    <w:rsid w:val="00BC70DD"/>
    <w:rsid w:val="00BC7334"/>
    <w:rsid w:val="00BC740D"/>
    <w:rsid w:val="00BC7493"/>
    <w:rsid w:val="00BC74E2"/>
    <w:rsid w:val="00BC770E"/>
    <w:rsid w:val="00BC7D0A"/>
    <w:rsid w:val="00BD01F7"/>
    <w:rsid w:val="00BD036D"/>
    <w:rsid w:val="00BD06A9"/>
    <w:rsid w:val="00BD110A"/>
    <w:rsid w:val="00BD1276"/>
    <w:rsid w:val="00BD12C2"/>
    <w:rsid w:val="00BD13F0"/>
    <w:rsid w:val="00BD1444"/>
    <w:rsid w:val="00BD1956"/>
    <w:rsid w:val="00BD1C06"/>
    <w:rsid w:val="00BD1E87"/>
    <w:rsid w:val="00BD216A"/>
    <w:rsid w:val="00BD2580"/>
    <w:rsid w:val="00BD2DF8"/>
    <w:rsid w:val="00BD35EC"/>
    <w:rsid w:val="00BD36C6"/>
    <w:rsid w:val="00BD4182"/>
    <w:rsid w:val="00BD426D"/>
    <w:rsid w:val="00BD46D1"/>
    <w:rsid w:val="00BD490B"/>
    <w:rsid w:val="00BD4B3D"/>
    <w:rsid w:val="00BD56DA"/>
    <w:rsid w:val="00BD5B20"/>
    <w:rsid w:val="00BD5DDD"/>
    <w:rsid w:val="00BD6048"/>
    <w:rsid w:val="00BD6184"/>
    <w:rsid w:val="00BD67DB"/>
    <w:rsid w:val="00BD69AD"/>
    <w:rsid w:val="00BD6AE3"/>
    <w:rsid w:val="00BD6BD5"/>
    <w:rsid w:val="00BD7368"/>
    <w:rsid w:val="00BD7446"/>
    <w:rsid w:val="00BD770A"/>
    <w:rsid w:val="00BD7B8E"/>
    <w:rsid w:val="00BD7BCB"/>
    <w:rsid w:val="00BE033F"/>
    <w:rsid w:val="00BE0633"/>
    <w:rsid w:val="00BE07B8"/>
    <w:rsid w:val="00BE08F9"/>
    <w:rsid w:val="00BE0AD6"/>
    <w:rsid w:val="00BE0F87"/>
    <w:rsid w:val="00BE11FA"/>
    <w:rsid w:val="00BE14E7"/>
    <w:rsid w:val="00BE16A5"/>
    <w:rsid w:val="00BE16C5"/>
    <w:rsid w:val="00BE1799"/>
    <w:rsid w:val="00BE1F37"/>
    <w:rsid w:val="00BE20E7"/>
    <w:rsid w:val="00BE23CA"/>
    <w:rsid w:val="00BE314C"/>
    <w:rsid w:val="00BE3A8B"/>
    <w:rsid w:val="00BE3AEC"/>
    <w:rsid w:val="00BE3C11"/>
    <w:rsid w:val="00BE4899"/>
    <w:rsid w:val="00BE4B0B"/>
    <w:rsid w:val="00BE4DEA"/>
    <w:rsid w:val="00BE4F86"/>
    <w:rsid w:val="00BE4FDE"/>
    <w:rsid w:val="00BE56A8"/>
    <w:rsid w:val="00BE587C"/>
    <w:rsid w:val="00BE59DD"/>
    <w:rsid w:val="00BE5E4B"/>
    <w:rsid w:val="00BE6394"/>
    <w:rsid w:val="00BE6890"/>
    <w:rsid w:val="00BE68AF"/>
    <w:rsid w:val="00BE7560"/>
    <w:rsid w:val="00BE77F1"/>
    <w:rsid w:val="00BE7C0D"/>
    <w:rsid w:val="00BE7D2C"/>
    <w:rsid w:val="00BF0232"/>
    <w:rsid w:val="00BF03A6"/>
    <w:rsid w:val="00BF0801"/>
    <w:rsid w:val="00BF0805"/>
    <w:rsid w:val="00BF0912"/>
    <w:rsid w:val="00BF092B"/>
    <w:rsid w:val="00BF0A10"/>
    <w:rsid w:val="00BF0AFF"/>
    <w:rsid w:val="00BF1362"/>
    <w:rsid w:val="00BF19B6"/>
    <w:rsid w:val="00BF1B89"/>
    <w:rsid w:val="00BF2050"/>
    <w:rsid w:val="00BF213E"/>
    <w:rsid w:val="00BF251D"/>
    <w:rsid w:val="00BF3123"/>
    <w:rsid w:val="00BF31AA"/>
    <w:rsid w:val="00BF32B2"/>
    <w:rsid w:val="00BF3335"/>
    <w:rsid w:val="00BF33FD"/>
    <w:rsid w:val="00BF3611"/>
    <w:rsid w:val="00BF388B"/>
    <w:rsid w:val="00BF3DAD"/>
    <w:rsid w:val="00BF45AF"/>
    <w:rsid w:val="00BF47E7"/>
    <w:rsid w:val="00BF48A3"/>
    <w:rsid w:val="00BF4F11"/>
    <w:rsid w:val="00BF5A5B"/>
    <w:rsid w:val="00BF5ECA"/>
    <w:rsid w:val="00BF63D0"/>
    <w:rsid w:val="00BF63E1"/>
    <w:rsid w:val="00BF661B"/>
    <w:rsid w:val="00BF68CF"/>
    <w:rsid w:val="00BF6B56"/>
    <w:rsid w:val="00BF6F4C"/>
    <w:rsid w:val="00BF7104"/>
    <w:rsid w:val="00BF7CFA"/>
    <w:rsid w:val="00C000FC"/>
    <w:rsid w:val="00C00597"/>
    <w:rsid w:val="00C01BAD"/>
    <w:rsid w:val="00C01C56"/>
    <w:rsid w:val="00C01D9A"/>
    <w:rsid w:val="00C0236B"/>
    <w:rsid w:val="00C02D5D"/>
    <w:rsid w:val="00C02E76"/>
    <w:rsid w:val="00C02FEB"/>
    <w:rsid w:val="00C030F1"/>
    <w:rsid w:val="00C031EA"/>
    <w:rsid w:val="00C0353A"/>
    <w:rsid w:val="00C03ADC"/>
    <w:rsid w:val="00C0407B"/>
    <w:rsid w:val="00C04483"/>
    <w:rsid w:val="00C04975"/>
    <w:rsid w:val="00C04A24"/>
    <w:rsid w:val="00C04DC9"/>
    <w:rsid w:val="00C050BA"/>
    <w:rsid w:val="00C051C0"/>
    <w:rsid w:val="00C0527F"/>
    <w:rsid w:val="00C05454"/>
    <w:rsid w:val="00C05956"/>
    <w:rsid w:val="00C05BAA"/>
    <w:rsid w:val="00C0606D"/>
    <w:rsid w:val="00C06326"/>
    <w:rsid w:val="00C0665A"/>
    <w:rsid w:val="00C06CD1"/>
    <w:rsid w:val="00C06D12"/>
    <w:rsid w:val="00C06DE4"/>
    <w:rsid w:val="00C06E9F"/>
    <w:rsid w:val="00C06F32"/>
    <w:rsid w:val="00C072F7"/>
    <w:rsid w:val="00C07737"/>
    <w:rsid w:val="00C07AAF"/>
    <w:rsid w:val="00C109A3"/>
    <w:rsid w:val="00C11B6A"/>
    <w:rsid w:val="00C124A4"/>
    <w:rsid w:val="00C1256C"/>
    <w:rsid w:val="00C130E4"/>
    <w:rsid w:val="00C13149"/>
    <w:rsid w:val="00C137D0"/>
    <w:rsid w:val="00C139E0"/>
    <w:rsid w:val="00C13A6C"/>
    <w:rsid w:val="00C13C01"/>
    <w:rsid w:val="00C142B2"/>
    <w:rsid w:val="00C149B4"/>
    <w:rsid w:val="00C14ADD"/>
    <w:rsid w:val="00C152C8"/>
    <w:rsid w:val="00C1560F"/>
    <w:rsid w:val="00C1578B"/>
    <w:rsid w:val="00C15FBD"/>
    <w:rsid w:val="00C16111"/>
    <w:rsid w:val="00C16565"/>
    <w:rsid w:val="00C16692"/>
    <w:rsid w:val="00C16BFD"/>
    <w:rsid w:val="00C16ED3"/>
    <w:rsid w:val="00C170B0"/>
    <w:rsid w:val="00C173E9"/>
    <w:rsid w:val="00C17433"/>
    <w:rsid w:val="00C176E2"/>
    <w:rsid w:val="00C17B45"/>
    <w:rsid w:val="00C17B89"/>
    <w:rsid w:val="00C2005B"/>
    <w:rsid w:val="00C20122"/>
    <w:rsid w:val="00C201DF"/>
    <w:rsid w:val="00C206FD"/>
    <w:rsid w:val="00C209BF"/>
    <w:rsid w:val="00C21029"/>
    <w:rsid w:val="00C215DC"/>
    <w:rsid w:val="00C2181D"/>
    <w:rsid w:val="00C21C9C"/>
    <w:rsid w:val="00C21D6E"/>
    <w:rsid w:val="00C22107"/>
    <w:rsid w:val="00C221FE"/>
    <w:rsid w:val="00C23196"/>
    <w:rsid w:val="00C234C7"/>
    <w:rsid w:val="00C23E1B"/>
    <w:rsid w:val="00C240DA"/>
    <w:rsid w:val="00C2445E"/>
    <w:rsid w:val="00C24912"/>
    <w:rsid w:val="00C24D6A"/>
    <w:rsid w:val="00C24DDF"/>
    <w:rsid w:val="00C24E33"/>
    <w:rsid w:val="00C25003"/>
    <w:rsid w:val="00C25191"/>
    <w:rsid w:val="00C25381"/>
    <w:rsid w:val="00C25B7B"/>
    <w:rsid w:val="00C26188"/>
    <w:rsid w:val="00C2678B"/>
    <w:rsid w:val="00C268FB"/>
    <w:rsid w:val="00C27123"/>
    <w:rsid w:val="00C2727C"/>
    <w:rsid w:val="00C30789"/>
    <w:rsid w:val="00C30B98"/>
    <w:rsid w:val="00C3113C"/>
    <w:rsid w:val="00C313C4"/>
    <w:rsid w:val="00C31562"/>
    <w:rsid w:val="00C31CFF"/>
    <w:rsid w:val="00C320E1"/>
    <w:rsid w:val="00C32282"/>
    <w:rsid w:val="00C3236E"/>
    <w:rsid w:val="00C324A1"/>
    <w:rsid w:val="00C3263C"/>
    <w:rsid w:val="00C32C9B"/>
    <w:rsid w:val="00C32CEF"/>
    <w:rsid w:val="00C330B4"/>
    <w:rsid w:val="00C330FE"/>
    <w:rsid w:val="00C3315A"/>
    <w:rsid w:val="00C3333C"/>
    <w:rsid w:val="00C33540"/>
    <w:rsid w:val="00C33556"/>
    <w:rsid w:val="00C3384C"/>
    <w:rsid w:val="00C3386D"/>
    <w:rsid w:val="00C339C0"/>
    <w:rsid w:val="00C33A0F"/>
    <w:rsid w:val="00C33B3F"/>
    <w:rsid w:val="00C3428D"/>
    <w:rsid w:val="00C345A8"/>
    <w:rsid w:val="00C346FB"/>
    <w:rsid w:val="00C34874"/>
    <w:rsid w:val="00C34F2D"/>
    <w:rsid w:val="00C35373"/>
    <w:rsid w:val="00C35DD2"/>
    <w:rsid w:val="00C369BF"/>
    <w:rsid w:val="00C37A32"/>
    <w:rsid w:val="00C37AE7"/>
    <w:rsid w:val="00C37F72"/>
    <w:rsid w:val="00C40887"/>
    <w:rsid w:val="00C409E5"/>
    <w:rsid w:val="00C40CA0"/>
    <w:rsid w:val="00C40E8D"/>
    <w:rsid w:val="00C412D9"/>
    <w:rsid w:val="00C413D0"/>
    <w:rsid w:val="00C41C1F"/>
    <w:rsid w:val="00C425DF"/>
    <w:rsid w:val="00C42C19"/>
    <w:rsid w:val="00C42DF6"/>
    <w:rsid w:val="00C43846"/>
    <w:rsid w:val="00C440EB"/>
    <w:rsid w:val="00C4480C"/>
    <w:rsid w:val="00C4481A"/>
    <w:rsid w:val="00C44BED"/>
    <w:rsid w:val="00C4527D"/>
    <w:rsid w:val="00C45303"/>
    <w:rsid w:val="00C45636"/>
    <w:rsid w:val="00C463D6"/>
    <w:rsid w:val="00C46744"/>
    <w:rsid w:val="00C46943"/>
    <w:rsid w:val="00C469FC"/>
    <w:rsid w:val="00C46B0B"/>
    <w:rsid w:val="00C4706F"/>
    <w:rsid w:val="00C470C7"/>
    <w:rsid w:val="00C474AE"/>
    <w:rsid w:val="00C4760F"/>
    <w:rsid w:val="00C47C5D"/>
    <w:rsid w:val="00C47DD4"/>
    <w:rsid w:val="00C502E1"/>
    <w:rsid w:val="00C50D1C"/>
    <w:rsid w:val="00C50E28"/>
    <w:rsid w:val="00C51D91"/>
    <w:rsid w:val="00C51ED1"/>
    <w:rsid w:val="00C529EA"/>
    <w:rsid w:val="00C52F33"/>
    <w:rsid w:val="00C534F3"/>
    <w:rsid w:val="00C53550"/>
    <w:rsid w:val="00C5357D"/>
    <w:rsid w:val="00C5359B"/>
    <w:rsid w:val="00C536EA"/>
    <w:rsid w:val="00C53BA1"/>
    <w:rsid w:val="00C540E5"/>
    <w:rsid w:val="00C545DA"/>
    <w:rsid w:val="00C5525B"/>
    <w:rsid w:val="00C556E4"/>
    <w:rsid w:val="00C5592A"/>
    <w:rsid w:val="00C55F90"/>
    <w:rsid w:val="00C55FEE"/>
    <w:rsid w:val="00C56137"/>
    <w:rsid w:val="00C5615B"/>
    <w:rsid w:val="00C563C1"/>
    <w:rsid w:val="00C56C07"/>
    <w:rsid w:val="00C57073"/>
    <w:rsid w:val="00C60008"/>
    <w:rsid w:val="00C618F9"/>
    <w:rsid w:val="00C61BAA"/>
    <w:rsid w:val="00C6230B"/>
    <w:rsid w:val="00C6300D"/>
    <w:rsid w:val="00C630CA"/>
    <w:rsid w:val="00C6368A"/>
    <w:rsid w:val="00C63AD6"/>
    <w:rsid w:val="00C64370"/>
    <w:rsid w:val="00C646EB"/>
    <w:rsid w:val="00C64B0F"/>
    <w:rsid w:val="00C6505D"/>
    <w:rsid w:val="00C6528E"/>
    <w:rsid w:val="00C659A8"/>
    <w:rsid w:val="00C65B79"/>
    <w:rsid w:val="00C65C02"/>
    <w:rsid w:val="00C65D05"/>
    <w:rsid w:val="00C661D7"/>
    <w:rsid w:val="00C662F0"/>
    <w:rsid w:val="00C663F0"/>
    <w:rsid w:val="00C66B59"/>
    <w:rsid w:val="00C675C6"/>
    <w:rsid w:val="00C67632"/>
    <w:rsid w:val="00C67D27"/>
    <w:rsid w:val="00C67FB0"/>
    <w:rsid w:val="00C70B4E"/>
    <w:rsid w:val="00C70D22"/>
    <w:rsid w:val="00C70F74"/>
    <w:rsid w:val="00C70FE8"/>
    <w:rsid w:val="00C71412"/>
    <w:rsid w:val="00C715AF"/>
    <w:rsid w:val="00C71A51"/>
    <w:rsid w:val="00C71C7F"/>
    <w:rsid w:val="00C71FC3"/>
    <w:rsid w:val="00C7212A"/>
    <w:rsid w:val="00C72405"/>
    <w:rsid w:val="00C72AEB"/>
    <w:rsid w:val="00C73332"/>
    <w:rsid w:val="00C733D5"/>
    <w:rsid w:val="00C73A78"/>
    <w:rsid w:val="00C73A89"/>
    <w:rsid w:val="00C73E43"/>
    <w:rsid w:val="00C744B4"/>
    <w:rsid w:val="00C74A95"/>
    <w:rsid w:val="00C75338"/>
    <w:rsid w:val="00C758C8"/>
    <w:rsid w:val="00C75A92"/>
    <w:rsid w:val="00C75DFC"/>
    <w:rsid w:val="00C760BE"/>
    <w:rsid w:val="00C767BD"/>
    <w:rsid w:val="00C76CE5"/>
    <w:rsid w:val="00C7713E"/>
    <w:rsid w:val="00C774BF"/>
    <w:rsid w:val="00C774FB"/>
    <w:rsid w:val="00C779EC"/>
    <w:rsid w:val="00C802E0"/>
    <w:rsid w:val="00C807EE"/>
    <w:rsid w:val="00C808D3"/>
    <w:rsid w:val="00C80BFD"/>
    <w:rsid w:val="00C81441"/>
    <w:rsid w:val="00C814F9"/>
    <w:rsid w:val="00C815F2"/>
    <w:rsid w:val="00C819C5"/>
    <w:rsid w:val="00C82BFF"/>
    <w:rsid w:val="00C82E98"/>
    <w:rsid w:val="00C82F88"/>
    <w:rsid w:val="00C8334C"/>
    <w:rsid w:val="00C8375A"/>
    <w:rsid w:val="00C8380E"/>
    <w:rsid w:val="00C838B4"/>
    <w:rsid w:val="00C83B57"/>
    <w:rsid w:val="00C8402F"/>
    <w:rsid w:val="00C8483D"/>
    <w:rsid w:val="00C84DCF"/>
    <w:rsid w:val="00C8534C"/>
    <w:rsid w:val="00C85637"/>
    <w:rsid w:val="00C85CC6"/>
    <w:rsid w:val="00C85CF9"/>
    <w:rsid w:val="00C85E85"/>
    <w:rsid w:val="00C8613B"/>
    <w:rsid w:val="00C86A42"/>
    <w:rsid w:val="00C86E11"/>
    <w:rsid w:val="00C870FE"/>
    <w:rsid w:val="00C8719D"/>
    <w:rsid w:val="00C871FB"/>
    <w:rsid w:val="00C87303"/>
    <w:rsid w:val="00C877FA"/>
    <w:rsid w:val="00C879C6"/>
    <w:rsid w:val="00C87C7F"/>
    <w:rsid w:val="00C87D04"/>
    <w:rsid w:val="00C904FC"/>
    <w:rsid w:val="00C90F20"/>
    <w:rsid w:val="00C913DE"/>
    <w:rsid w:val="00C91449"/>
    <w:rsid w:val="00C914D6"/>
    <w:rsid w:val="00C91C55"/>
    <w:rsid w:val="00C91D0D"/>
    <w:rsid w:val="00C92105"/>
    <w:rsid w:val="00C92423"/>
    <w:rsid w:val="00C928AA"/>
    <w:rsid w:val="00C92A47"/>
    <w:rsid w:val="00C93635"/>
    <w:rsid w:val="00C93D34"/>
    <w:rsid w:val="00C940C9"/>
    <w:rsid w:val="00C941B7"/>
    <w:rsid w:val="00C942D9"/>
    <w:rsid w:val="00C94876"/>
    <w:rsid w:val="00C94D5C"/>
    <w:rsid w:val="00C94E20"/>
    <w:rsid w:val="00C95486"/>
    <w:rsid w:val="00C95686"/>
    <w:rsid w:val="00C957D2"/>
    <w:rsid w:val="00C95BF8"/>
    <w:rsid w:val="00C95CBC"/>
    <w:rsid w:val="00C960C7"/>
    <w:rsid w:val="00C96E57"/>
    <w:rsid w:val="00C971C9"/>
    <w:rsid w:val="00C972A1"/>
    <w:rsid w:val="00C9732A"/>
    <w:rsid w:val="00C9768F"/>
    <w:rsid w:val="00C97C1C"/>
    <w:rsid w:val="00C97F3B"/>
    <w:rsid w:val="00CA00FB"/>
    <w:rsid w:val="00CA025C"/>
    <w:rsid w:val="00CA0D49"/>
    <w:rsid w:val="00CA0F5E"/>
    <w:rsid w:val="00CA1884"/>
    <w:rsid w:val="00CA19D3"/>
    <w:rsid w:val="00CA20D7"/>
    <w:rsid w:val="00CA268F"/>
    <w:rsid w:val="00CA29E6"/>
    <w:rsid w:val="00CA2EA9"/>
    <w:rsid w:val="00CA31DE"/>
    <w:rsid w:val="00CA4512"/>
    <w:rsid w:val="00CA45E0"/>
    <w:rsid w:val="00CA4CAD"/>
    <w:rsid w:val="00CA4E63"/>
    <w:rsid w:val="00CA5164"/>
    <w:rsid w:val="00CA51D5"/>
    <w:rsid w:val="00CA5396"/>
    <w:rsid w:val="00CA5421"/>
    <w:rsid w:val="00CA542E"/>
    <w:rsid w:val="00CA589D"/>
    <w:rsid w:val="00CA5C15"/>
    <w:rsid w:val="00CA618B"/>
    <w:rsid w:val="00CA661C"/>
    <w:rsid w:val="00CA68C2"/>
    <w:rsid w:val="00CA6E9C"/>
    <w:rsid w:val="00CA6F36"/>
    <w:rsid w:val="00CA7142"/>
    <w:rsid w:val="00CA74C7"/>
    <w:rsid w:val="00CA75E4"/>
    <w:rsid w:val="00CA7709"/>
    <w:rsid w:val="00CA7880"/>
    <w:rsid w:val="00CA7BBD"/>
    <w:rsid w:val="00CA7C72"/>
    <w:rsid w:val="00CB0273"/>
    <w:rsid w:val="00CB05F5"/>
    <w:rsid w:val="00CB0A48"/>
    <w:rsid w:val="00CB0B84"/>
    <w:rsid w:val="00CB10F9"/>
    <w:rsid w:val="00CB1694"/>
    <w:rsid w:val="00CB1793"/>
    <w:rsid w:val="00CB1B2F"/>
    <w:rsid w:val="00CB2668"/>
    <w:rsid w:val="00CB2827"/>
    <w:rsid w:val="00CB29EF"/>
    <w:rsid w:val="00CB2FE9"/>
    <w:rsid w:val="00CB33CA"/>
    <w:rsid w:val="00CB3439"/>
    <w:rsid w:val="00CB407B"/>
    <w:rsid w:val="00CB44B7"/>
    <w:rsid w:val="00CB450F"/>
    <w:rsid w:val="00CB605A"/>
    <w:rsid w:val="00CB62D0"/>
    <w:rsid w:val="00CB6704"/>
    <w:rsid w:val="00CB6EF0"/>
    <w:rsid w:val="00CB6F76"/>
    <w:rsid w:val="00CB747C"/>
    <w:rsid w:val="00CB7720"/>
    <w:rsid w:val="00CB7A54"/>
    <w:rsid w:val="00CB7D31"/>
    <w:rsid w:val="00CC0A9C"/>
    <w:rsid w:val="00CC134F"/>
    <w:rsid w:val="00CC1645"/>
    <w:rsid w:val="00CC1A77"/>
    <w:rsid w:val="00CC1C13"/>
    <w:rsid w:val="00CC1F96"/>
    <w:rsid w:val="00CC201B"/>
    <w:rsid w:val="00CC258D"/>
    <w:rsid w:val="00CC278B"/>
    <w:rsid w:val="00CC28E8"/>
    <w:rsid w:val="00CC2EB6"/>
    <w:rsid w:val="00CC2FE1"/>
    <w:rsid w:val="00CC317E"/>
    <w:rsid w:val="00CC388A"/>
    <w:rsid w:val="00CC3AB5"/>
    <w:rsid w:val="00CC413C"/>
    <w:rsid w:val="00CC415B"/>
    <w:rsid w:val="00CC480D"/>
    <w:rsid w:val="00CC4B43"/>
    <w:rsid w:val="00CC5773"/>
    <w:rsid w:val="00CC58EB"/>
    <w:rsid w:val="00CC59CF"/>
    <w:rsid w:val="00CC5D6F"/>
    <w:rsid w:val="00CC6619"/>
    <w:rsid w:val="00CC6761"/>
    <w:rsid w:val="00CC6DF1"/>
    <w:rsid w:val="00CC7CB8"/>
    <w:rsid w:val="00CC7DA8"/>
    <w:rsid w:val="00CC7DE7"/>
    <w:rsid w:val="00CD01B3"/>
    <w:rsid w:val="00CD08A9"/>
    <w:rsid w:val="00CD0A80"/>
    <w:rsid w:val="00CD0C8B"/>
    <w:rsid w:val="00CD0FEA"/>
    <w:rsid w:val="00CD16EA"/>
    <w:rsid w:val="00CD19E4"/>
    <w:rsid w:val="00CD1E5C"/>
    <w:rsid w:val="00CD2027"/>
    <w:rsid w:val="00CD2831"/>
    <w:rsid w:val="00CD2DA6"/>
    <w:rsid w:val="00CD33A1"/>
    <w:rsid w:val="00CD36B5"/>
    <w:rsid w:val="00CD38BB"/>
    <w:rsid w:val="00CD4228"/>
    <w:rsid w:val="00CD4488"/>
    <w:rsid w:val="00CD519A"/>
    <w:rsid w:val="00CD566E"/>
    <w:rsid w:val="00CD5830"/>
    <w:rsid w:val="00CD586B"/>
    <w:rsid w:val="00CD5AE8"/>
    <w:rsid w:val="00CD5F72"/>
    <w:rsid w:val="00CD63A4"/>
    <w:rsid w:val="00CD6A34"/>
    <w:rsid w:val="00CD6F41"/>
    <w:rsid w:val="00CD7534"/>
    <w:rsid w:val="00CD793A"/>
    <w:rsid w:val="00CE026E"/>
    <w:rsid w:val="00CE08D0"/>
    <w:rsid w:val="00CE0C3E"/>
    <w:rsid w:val="00CE120F"/>
    <w:rsid w:val="00CE1211"/>
    <w:rsid w:val="00CE14B3"/>
    <w:rsid w:val="00CE1688"/>
    <w:rsid w:val="00CE17D2"/>
    <w:rsid w:val="00CE17E3"/>
    <w:rsid w:val="00CE1983"/>
    <w:rsid w:val="00CE226E"/>
    <w:rsid w:val="00CE2620"/>
    <w:rsid w:val="00CE3176"/>
    <w:rsid w:val="00CE3E44"/>
    <w:rsid w:val="00CE3F0E"/>
    <w:rsid w:val="00CE40BE"/>
    <w:rsid w:val="00CE40EF"/>
    <w:rsid w:val="00CE458D"/>
    <w:rsid w:val="00CE473E"/>
    <w:rsid w:val="00CE4D2D"/>
    <w:rsid w:val="00CE4DBB"/>
    <w:rsid w:val="00CE4E50"/>
    <w:rsid w:val="00CE5428"/>
    <w:rsid w:val="00CE56B3"/>
    <w:rsid w:val="00CE5BFF"/>
    <w:rsid w:val="00CE5C1E"/>
    <w:rsid w:val="00CE5F42"/>
    <w:rsid w:val="00CE6286"/>
    <w:rsid w:val="00CE6881"/>
    <w:rsid w:val="00CE6E1D"/>
    <w:rsid w:val="00CE6F08"/>
    <w:rsid w:val="00CE6F37"/>
    <w:rsid w:val="00CE76EB"/>
    <w:rsid w:val="00CF0033"/>
    <w:rsid w:val="00CF08A9"/>
    <w:rsid w:val="00CF09C3"/>
    <w:rsid w:val="00CF0A33"/>
    <w:rsid w:val="00CF0A43"/>
    <w:rsid w:val="00CF0E99"/>
    <w:rsid w:val="00CF0F3C"/>
    <w:rsid w:val="00CF2329"/>
    <w:rsid w:val="00CF253E"/>
    <w:rsid w:val="00CF257B"/>
    <w:rsid w:val="00CF2620"/>
    <w:rsid w:val="00CF2A40"/>
    <w:rsid w:val="00CF2A4A"/>
    <w:rsid w:val="00CF2BC3"/>
    <w:rsid w:val="00CF2DB0"/>
    <w:rsid w:val="00CF2E43"/>
    <w:rsid w:val="00CF3A4C"/>
    <w:rsid w:val="00CF4198"/>
    <w:rsid w:val="00CF4377"/>
    <w:rsid w:val="00CF465E"/>
    <w:rsid w:val="00CF4694"/>
    <w:rsid w:val="00CF470A"/>
    <w:rsid w:val="00CF4B98"/>
    <w:rsid w:val="00CF4C98"/>
    <w:rsid w:val="00CF4E83"/>
    <w:rsid w:val="00CF5442"/>
    <w:rsid w:val="00CF5491"/>
    <w:rsid w:val="00CF5641"/>
    <w:rsid w:val="00CF58F6"/>
    <w:rsid w:val="00CF5F91"/>
    <w:rsid w:val="00CF61ED"/>
    <w:rsid w:val="00CF6467"/>
    <w:rsid w:val="00CF68BB"/>
    <w:rsid w:val="00CF6CFB"/>
    <w:rsid w:val="00CF6ED9"/>
    <w:rsid w:val="00CF760D"/>
    <w:rsid w:val="00CF7BE1"/>
    <w:rsid w:val="00CF7EE5"/>
    <w:rsid w:val="00D00293"/>
    <w:rsid w:val="00D005D9"/>
    <w:rsid w:val="00D00860"/>
    <w:rsid w:val="00D01DDE"/>
    <w:rsid w:val="00D020B8"/>
    <w:rsid w:val="00D02149"/>
    <w:rsid w:val="00D023A6"/>
    <w:rsid w:val="00D02650"/>
    <w:rsid w:val="00D026D2"/>
    <w:rsid w:val="00D027BE"/>
    <w:rsid w:val="00D0293E"/>
    <w:rsid w:val="00D0293F"/>
    <w:rsid w:val="00D0328D"/>
    <w:rsid w:val="00D033B4"/>
    <w:rsid w:val="00D0341D"/>
    <w:rsid w:val="00D03F15"/>
    <w:rsid w:val="00D03FCC"/>
    <w:rsid w:val="00D03FE0"/>
    <w:rsid w:val="00D03FEE"/>
    <w:rsid w:val="00D0427E"/>
    <w:rsid w:val="00D042C2"/>
    <w:rsid w:val="00D042E8"/>
    <w:rsid w:val="00D04617"/>
    <w:rsid w:val="00D047D7"/>
    <w:rsid w:val="00D04A1B"/>
    <w:rsid w:val="00D04B2B"/>
    <w:rsid w:val="00D04FDA"/>
    <w:rsid w:val="00D052D2"/>
    <w:rsid w:val="00D0566F"/>
    <w:rsid w:val="00D05830"/>
    <w:rsid w:val="00D05AAD"/>
    <w:rsid w:val="00D05E80"/>
    <w:rsid w:val="00D06368"/>
    <w:rsid w:val="00D06601"/>
    <w:rsid w:val="00D06BF9"/>
    <w:rsid w:val="00D06CB9"/>
    <w:rsid w:val="00D0708D"/>
    <w:rsid w:val="00D070B2"/>
    <w:rsid w:val="00D077D9"/>
    <w:rsid w:val="00D1065D"/>
    <w:rsid w:val="00D106C6"/>
    <w:rsid w:val="00D10E08"/>
    <w:rsid w:val="00D10EE4"/>
    <w:rsid w:val="00D10FDA"/>
    <w:rsid w:val="00D11EBE"/>
    <w:rsid w:val="00D1200B"/>
    <w:rsid w:val="00D12133"/>
    <w:rsid w:val="00D12753"/>
    <w:rsid w:val="00D12CD3"/>
    <w:rsid w:val="00D12E3E"/>
    <w:rsid w:val="00D13422"/>
    <w:rsid w:val="00D138DA"/>
    <w:rsid w:val="00D139B2"/>
    <w:rsid w:val="00D13AC1"/>
    <w:rsid w:val="00D14263"/>
    <w:rsid w:val="00D147A4"/>
    <w:rsid w:val="00D147C9"/>
    <w:rsid w:val="00D14CCB"/>
    <w:rsid w:val="00D15035"/>
    <w:rsid w:val="00D15917"/>
    <w:rsid w:val="00D160AA"/>
    <w:rsid w:val="00D169D5"/>
    <w:rsid w:val="00D175BD"/>
    <w:rsid w:val="00D178ED"/>
    <w:rsid w:val="00D17D56"/>
    <w:rsid w:val="00D17ED0"/>
    <w:rsid w:val="00D203FE"/>
    <w:rsid w:val="00D2064B"/>
    <w:rsid w:val="00D208E6"/>
    <w:rsid w:val="00D20AAB"/>
    <w:rsid w:val="00D2130C"/>
    <w:rsid w:val="00D214C3"/>
    <w:rsid w:val="00D21736"/>
    <w:rsid w:val="00D2179F"/>
    <w:rsid w:val="00D21914"/>
    <w:rsid w:val="00D21D6D"/>
    <w:rsid w:val="00D21F15"/>
    <w:rsid w:val="00D21FEC"/>
    <w:rsid w:val="00D2245A"/>
    <w:rsid w:val="00D23149"/>
    <w:rsid w:val="00D234AA"/>
    <w:rsid w:val="00D23791"/>
    <w:rsid w:val="00D23E19"/>
    <w:rsid w:val="00D24001"/>
    <w:rsid w:val="00D24141"/>
    <w:rsid w:val="00D2556D"/>
    <w:rsid w:val="00D2625F"/>
    <w:rsid w:val="00D26AE2"/>
    <w:rsid w:val="00D26B80"/>
    <w:rsid w:val="00D26ED6"/>
    <w:rsid w:val="00D273FD"/>
    <w:rsid w:val="00D275F3"/>
    <w:rsid w:val="00D278A4"/>
    <w:rsid w:val="00D30291"/>
    <w:rsid w:val="00D30327"/>
    <w:rsid w:val="00D30BB1"/>
    <w:rsid w:val="00D30F2A"/>
    <w:rsid w:val="00D31048"/>
    <w:rsid w:val="00D3171F"/>
    <w:rsid w:val="00D31981"/>
    <w:rsid w:val="00D31A9A"/>
    <w:rsid w:val="00D31D9E"/>
    <w:rsid w:val="00D320DD"/>
    <w:rsid w:val="00D32135"/>
    <w:rsid w:val="00D32911"/>
    <w:rsid w:val="00D32BE6"/>
    <w:rsid w:val="00D334E4"/>
    <w:rsid w:val="00D33503"/>
    <w:rsid w:val="00D336EE"/>
    <w:rsid w:val="00D339D1"/>
    <w:rsid w:val="00D33C9F"/>
    <w:rsid w:val="00D34380"/>
    <w:rsid w:val="00D348AA"/>
    <w:rsid w:val="00D34AD7"/>
    <w:rsid w:val="00D34FF2"/>
    <w:rsid w:val="00D35135"/>
    <w:rsid w:val="00D35E0D"/>
    <w:rsid w:val="00D3645C"/>
    <w:rsid w:val="00D36B68"/>
    <w:rsid w:val="00D36E4F"/>
    <w:rsid w:val="00D36EC8"/>
    <w:rsid w:val="00D371D5"/>
    <w:rsid w:val="00D37435"/>
    <w:rsid w:val="00D37680"/>
    <w:rsid w:val="00D37F89"/>
    <w:rsid w:val="00D400C9"/>
    <w:rsid w:val="00D40267"/>
    <w:rsid w:val="00D4054C"/>
    <w:rsid w:val="00D40DC3"/>
    <w:rsid w:val="00D40E52"/>
    <w:rsid w:val="00D41143"/>
    <w:rsid w:val="00D4133D"/>
    <w:rsid w:val="00D41C90"/>
    <w:rsid w:val="00D420B2"/>
    <w:rsid w:val="00D42145"/>
    <w:rsid w:val="00D42E11"/>
    <w:rsid w:val="00D432A5"/>
    <w:rsid w:val="00D43564"/>
    <w:rsid w:val="00D4371B"/>
    <w:rsid w:val="00D439E8"/>
    <w:rsid w:val="00D43E18"/>
    <w:rsid w:val="00D443FA"/>
    <w:rsid w:val="00D44473"/>
    <w:rsid w:val="00D44E83"/>
    <w:rsid w:val="00D456CD"/>
    <w:rsid w:val="00D45CF4"/>
    <w:rsid w:val="00D45D16"/>
    <w:rsid w:val="00D45E05"/>
    <w:rsid w:val="00D46028"/>
    <w:rsid w:val="00D46D04"/>
    <w:rsid w:val="00D46E64"/>
    <w:rsid w:val="00D472A3"/>
    <w:rsid w:val="00D50371"/>
    <w:rsid w:val="00D50CF1"/>
    <w:rsid w:val="00D51305"/>
    <w:rsid w:val="00D5134B"/>
    <w:rsid w:val="00D519E9"/>
    <w:rsid w:val="00D5275F"/>
    <w:rsid w:val="00D53068"/>
    <w:rsid w:val="00D533B1"/>
    <w:rsid w:val="00D53569"/>
    <w:rsid w:val="00D5394F"/>
    <w:rsid w:val="00D53E1D"/>
    <w:rsid w:val="00D54525"/>
    <w:rsid w:val="00D55055"/>
    <w:rsid w:val="00D556C6"/>
    <w:rsid w:val="00D558EF"/>
    <w:rsid w:val="00D55925"/>
    <w:rsid w:val="00D5621B"/>
    <w:rsid w:val="00D5634F"/>
    <w:rsid w:val="00D563FD"/>
    <w:rsid w:val="00D56BEB"/>
    <w:rsid w:val="00D56E13"/>
    <w:rsid w:val="00D56F1A"/>
    <w:rsid w:val="00D56F98"/>
    <w:rsid w:val="00D573FA"/>
    <w:rsid w:val="00D57789"/>
    <w:rsid w:val="00D57D50"/>
    <w:rsid w:val="00D60104"/>
    <w:rsid w:val="00D605BD"/>
    <w:rsid w:val="00D605E9"/>
    <w:rsid w:val="00D607A6"/>
    <w:rsid w:val="00D609F0"/>
    <w:rsid w:val="00D60BCC"/>
    <w:rsid w:val="00D61120"/>
    <w:rsid w:val="00D61603"/>
    <w:rsid w:val="00D61723"/>
    <w:rsid w:val="00D62771"/>
    <w:rsid w:val="00D629D1"/>
    <w:rsid w:val="00D62B99"/>
    <w:rsid w:val="00D62CD1"/>
    <w:rsid w:val="00D62D85"/>
    <w:rsid w:val="00D63171"/>
    <w:rsid w:val="00D63355"/>
    <w:rsid w:val="00D63C0E"/>
    <w:rsid w:val="00D63D8D"/>
    <w:rsid w:val="00D641A7"/>
    <w:rsid w:val="00D648A1"/>
    <w:rsid w:val="00D64971"/>
    <w:rsid w:val="00D64ADC"/>
    <w:rsid w:val="00D650F8"/>
    <w:rsid w:val="00D65351"/>
    <w:rsid w:val="00D654A1"/>
    <w:rsid w:val="00D66713"/>
    <w:rsid w:val="00D66827"/>
    <w:rsid w:val="00D66EDA"/>
    <w:rsid w:val="00D67372"/>
    <w:rsid w:val="00D673E5"/>
    <w:rsid w:val="00D6747E"/>
    <w:rsid w:val="00D67CFF"/>
    <w:rsid w:val="00D67D7A"/>
    <w:rsid w:val="00D67E8C"/>
    <w:rsid w:val="00D67EFF"/>
    <w:rsid w:val="00D70047"/>
    <w:rsid w:val="00D7101E"/>
    <w:rsid w:val="00D711A5"/>
    <w:rsid w:val="00D711FE"/>
    <w:rsid w:val="00D712EF"/>
    <w:rsid w:val="00D71302"/>
    <w:rsid w:val="00D71803"/>
    <w:rsid w:val="00D71F53"/>
    <w:rsid w:val="00D728DF"/>
    <w:rsid w:val="00D72D6C"/>
    <w:rsid w:val="00D72E13"/>
    <w:rsid w:val="00D73753"/>
    <w:rsid w:val="00D73B6C"/>
    <w:rsid w:val="00D742A4"/>
    <w:rsid w:val="00D7499F"/>
    <w:rsid w:val="00D74BBF"/>
    <w:rsid w:val="00D74BFF"/>
    <w:rsid w:val="00D74E8F"/>
    <w:rsid w:val="00D74E9A"/>
    <w:rsid w:val="00D75756"/>
    <w:rsid w:val="00D76A30"/>
    <w:rsid w:val="00D76D71"/>
    <w:rsid w:val="00D770DD"/>
    <w:rsid w:val="00D77320"/>
    <w:rsid w:val="00D801DF"/>
    <w:rsid w:val="00D80545"/>
    <w:rsid w:val="00D80AB4"/>
    <w:rsid w:val="00D80DC5"/>
    <w:rsid w:val="00D81579"/>
    <w:rsid w:val="00D81D0E"/>
    <w:rsid w:val="00D829FB"/>
    <w:rsid w:val="00D82C13"/>
    <w:rsid w:val="00D82C6B"/>
    <w:rsid w:val="00D82CD9"/>
    <w:rsid w:val="00D8315F"/>
    <w:rsid w:val="00D84128"/>
    <w:rsid w:val="00D845A2"/>
    <w:rsid w:val="00D84662"/>
    <w:rsid w:val="00D856C0"/>
    <w:rsid w:val="00D85F37"/>
    <w:rsid w:val="00D85F67"/>
    <w:rsid w:val="00D86455"/>
    <w:rsid w:val="00D86881"/>
    <w:rsid w:val="00D86AC1"/>
    <w:rsid w:val="00D87251"/>
    <w:rsid w:val="00D8751F"/>
    <w:rsid w:val="00D8758A"/>
    <w:rsid w:val="00D87B09"/>
    <w:rsid w:val="00D87F66"/>
    <w:rsid w:val="00D87FD6"/>
    <w:rsid w:val="00D87FE4"/>
    <w:rsid w:val="00D90ADB"/>
    <w:rsid w:val="00D90C50"/>
    <w:rsid w:val="00D912DC"/>
    <w:rsid w:val="00D91460"/>
    <w:rsid w:val="00D914DB"/>
    <w:rsid w:val="00D91C14"/>
    <w:rsid w:val="00D91C41"/>
    <w:rsid w:val="00D91ED7"/>
    <w:rsid w:val="00D9267C"/>
    <w:rsid w:val="00D9324C"/>
    <w:rsid w:val="00D93375"/>
    <w:rsid w:val="00D93880"/>
    <w:rsid w:val="00D93D59"/>
    <w:rsid w:val="00D93EFF"/>
    <w:rsid w:val="00D93F72"/>
    <w:rsid w:val="00D9460D"/>
    <w:rsid w:val="00D956EF"/>
    <w:rsid w:val="00D96313"/>
    <w:rsid w:val="00D9676F"/>
    <w:rsid w:val="00D96A0F"/>
    <w:rsid w:val="00D96CB4"/>
    <w:rsid w:val="00D9711B"/>
    <w:rsid w:val="00D97CAE"/>
    <w:rsid w:val="00DA0552"/>
    <w:rsid w:val="00DA0B8A"/>
    <w:rsid w:val="00DA10D0"/>
    <w:rsid w:val="00DA11B2"/>
    <w:rsid w:val="00DA1AD0"/>
    <w:rsid w:val="00DA1BA7"/>
    <w:rsid w:val="00DA20B5"/>
    <w:rsid w:val="00DA22DA"/>
    <w:rsid w:val="00DA23DD"/>
    <w:rsid w:val="00DA2423"/>
    <w:rsid w:val="00DA287B"/>
    <w:rsid w:val="00DA2A96"/>
    <w:rsid w:val="00DA3080"/>
    <w:rsid w:val="00DA30A2"/>
    <w:rsid w:val="00DA337B"/>
    <w:rsid w:val="00DA390D"/>
    <w:rsid w:val="00DA3961"/>
    <w:rsid w:val="00DA436C"/>
    <w:rsid w:val="00DA44A8"/>
    <w:rsid w:val="00DA44CF"/>
    <w:rsid w:val="00DA5076"/>
    <w:rsid w:val="00DA5D0B"/>
    <w:rsid w:val="00DA5F76"/>
    <w:rsid w:val="00DA60A5"/>
    <w:rsid w:val="00DA60F5"/>
    <w:rsid w:val="00DA76EE"/>
    <w:rsid w:val="00DA79C8"/>
    <w:rsid w:val="00DB01EA"/>
    <w:rsid w:val="00DB03AE"/>
    <w:rsid w:val="00DB03F6"/>
    <w:rsid w:val="00DB08CB"/>
    <w:rsid w:val="00DB0963"/>
    <w:rsid w:val="00DB0B52"/>
    <w:rsid w:val="00DB0FA3"/>
    <w:rsid w:val="00DB16C1"/>
    <w:rsid w:val="00DB1D88"/>
    <w:rsid w:val="00DB2595"/>
    <w:rsid w:val="00DB303F"/>
    <w:rsid w:val="00DB321D"/>
    <w:rsid w:val="00DB3421"/>
    <w:rsid w:val="00DB3635"/>
    <w:rsid w:val="00DB3C08"/>
    <w:rsid w:val="00DB4006"/>
    <w:rsid w:val="00DB42EF"/>
    <w:rsid w:val="00DB462A"/>
    <w:rsid w:val="00DB4B61"/>
    <w:rsid w:val="00DB55CE"/>
    <w:rsid w:val="00DB55F6"/>
    <w:rsid w:val="00DB5FF8"/>
    <w:rsid w:val="00DB64F5"/>
    <w:rsid w:val="00DB6CAF"/>
    <w:rsid w:val="00DB7164"/>
    <w:rsid w:val="00DB729B"/>
    <w:rsid w:val="00DB72CE"/>
    <w:rsid w:val="00DB7400"/>
    <w:rsid w:val="00DB7EB1"/>
    <w:rsid w:val="00DC02FC"/>
    <w:rsid w:val="00DC0347"/>
    <w:rsid w:val="00DC0ADA"/>
    <w:rsid w:val="00DC0CF6"/>
    <w:rsid w:val="00DC0FE9"/>
    <w:rsid w:val="00DC13C3"/>
    <w:rsid w:val="00DC1C03"/>
    <w:rsid w:val="00DC2212"/>
    <w:rsid w:val="00DC252D"/>
    <w:rsid w:val="00DC2595"/>
    <w:rsid w:val="00DC2823"/>
    <w:rsid w:val="00DC2C47"/>
    <w:rsid w:val="00DC2DF4"/>
    <w:rsid w:val="00DC30E1"/>
    <w:rsid w:val="00DC31F2"/>
    <w:rsid w:val="00DC35F6"/>
    <w:rsid w:val="00DC3752"/>
    <w:rsid w:val="00DC3898"/>
    <w:rsid w:val="00DC4083"/>
    <w:rsid w:val="00DC48DF"/>
    <w:rsid w:val="00DC5D8A"/>
    <w:rsid w:val="00DC6572"/>
    <w:rsid w:val="00DC6E4A"/>
    <w:rsid w:val="00DC7650"/>
    <w:rsid w:val="00DC789A"/>
    <w:rsid w:val="00DC7912"/>
    <w:rsid w:val="00DC7AEF"/>
    <w:rsid w:val="00DD0D38"/>
    <w:rsid w:val="00DD0D67"/>
    <w:rsid w:val="00DD0D77"/>
    <w:rsid w:val="00DD0E2A"/>
    <w:rsid w:val="00DD15E7"/>
    <w:rsid w:val="00DD16E2"/>
    <w:rsid w:val="00DD1A0F"/>
    <w:rsid w:val="00DD1C3A"/>
    <w:rsid w:val="00DD2514"/>
    <w:rsid w:val="00DD25D6"/>
    <w:rsid w:val="00DD3364"/>
    <w:rsid w:val="00DD3CA2"/>
    <w:rsid w:val="00DD3E8E"/>
    <w:rsid w:val="00DD4038"/>
    <w:rsid w:val="00DD40B6"/>
    <w:rsid w:val="00DD426B"/>
    <w:rsid w:val="00DD42C3"/>
    <w:rsid w:val="00DD46E2"/>
    <w:rsid w:val="00DD485A"/>
    <w:rsid w:val="00DD4F01"/>
    <w:rsid w:val="00DD51F6"/>
    <w:rsid w:val="00DD595A"/>
    <w:rsid w:val="00DD5BB8"/>
    <w:rsid w:val="00DD685B"/>
    <w:rsid w:val="00DD6A64"/>
    <w:rsid w:val="00DD6C94"/>
    <w:rsid w:val="00DD711F"/>
    <w:rsid w:val="00DD7703"/>
    <w:rsid w:val="00DE1838"/>
    <w:rsid w:val="00DE1CB1"/>
    <w:rsid w:val="00DE1E5B"/>
    <w:rsid w:val="00DE2409"/>
    <w:rsid w:val="00DE339D"/>
    <w:rsid w:val="00DE3621"/>
    <w:rsid w:val="00DE3788"/>
    <w:rsid w:val="00DE3F28"/>
    <w:rsid w:val="00DE41A5"/>
    <w:rsid w:val="00DE44B4"/>
    <w:rsid w:val="00DE588F"/>
    <w:rsid w:val="00DE5E98"/>
    <w:rsid w:val="00DE63D0"/>
    <w:rsid w:val="00DE67D6"/>
    <w:rsid w:val="00DE67EC"/>
    <w:rsid w:val="00DE69D3"/>
    <w:rsid w:val="00DE6A43"/>
    <w:rsid w:val="00DE6D32"/>
    <w:rsid w:val="00DE6DF3"/>
    <w:rsid w:val="00DE7542"/>
    <w:rsid w:val="00DE77A1"/>
    <w:rsid w:val="00DE77C6"/>
    <w:rsid w:val="00DE79D6"/>
    <w:rsid w:val="00DF0045"/>
    <w:rsid w:val="00DF03B1"/>
    <w:rsid w:val="00DF04D2"/>
    <w:rsid w:val="00DF0775"/>
    <w:rsid w:val="00DF083E"/>
    <w:rsid w:val="00DF0AD2"/>
    <w:rsid w:val="00DF11E3"/>
    <w:rsid w:val="00DF13B9"/>
    <w:rsid w:val="00DF192E"/>
    <w:rsid w:val="00DF1D0B"/>
    <w:rsid w:val="00DF1FD5"/>
    <w:rsid w:val="00DF22CE"/>
    <w:rsid w:val="00DF29F8"/>
    <w:rsid w:val="00DF3641"/>
    <w:rsid w:val="00DF366D"/>
    <w:rsid w:val="00DF37D4"/>
    <w:rsid w:val="00DF38AD"/>
    <w:rsid w:val="00DF3917"/>
    <w:rsid w:val="00DF3D97"/>
    <w:rsid w:val="00DF3F0D"/>
    <w:rsid w:val="00DF4271"/>
    <w:rsid w:val="00DF4521"/>
    <w:rsid w:val="00DF45B7"/>
    <w:rsid w:val="00DF497D"/>
    <w:rsid w:val="00DF4C0F"/>
    <w:rsid w:val="00DF5008"/>
    <w:rsid w:val="00DF50ED"/>
    <w:rsid w:val="00DF60B0"/>
    <w:rsid w:val="00DF61F5"/>
    <w:rsid w:val="00DF66C8"/>
    <w:rsid w:val="00DF6C17"/>
    <w:rsid w:val="00DF707F"/>
    <w:rsid w:val="00DF75EA"/>
    <w:rsid w:val="00DF785E"/>
    <w:rsid w:val="00DF7966"/>
    <w:rsid w:val="00DF7B53"/>
    <w:rsid w:val="00DF7F08"/>
    <w:rsid w:val="00E002A8"/>
    <w:rsid w:val="00E00F89"/>
    <w:rsid w:val="00E015E4"/>
    <w:rsid w:val="00E01F35"/>
    <w:rsid w:val="00E022E5"/>
    <w:rsid w:val="00E026D3"/>
    <w:rsid w:val="00E02A18"/>
    <w:rsid w:val="00E02E9C"/>
    <w:rsid w:val="00E02FD4"/>
    <w:rsid w:val="00E03BC7"/>
    <w:rsid w:val="00E04230"/>
    <w:rsid w:val="00E04676"/>
    <w:rsid w:val="00E04D1A"/>
    <w:rsid w:val="00E051E0"/>
    <w:rsid w:val="00E05662"/>
    <w:rsid w:val="00E0571C"/>
    <w:rsid w:val="00E062CB"/>
    <w:rsid w:val="00E063FD"/>
    <w:rsid w:val="00E065B4"/>
    <w:rsid w:val="00E0674D"/>
    <w:rsid w:val="00E06835"/>
    <w:rsid w:val="00E07183"/>
    <w:rsid w:val="00E071DA"/>
    <w:rsid w:val="00E07776"/>
    <w:rsid w:val="00E07E8B"/>
    <w:rsid w:val="00E1026F"/>
    <w:rsid w:val="00E1047C"/>
    <w:rsid w:val="00E10699"/>
    <w:rsid w:val="00E10812"/>
    <w:rsid w:val="00E11421"/>
    <w:rsid w:val="00E11FFD"/>
    <w:rsid w:val="00E1228F"/>
    <w:rsid w:val="00E12A15"/>
    <w:rsid w:val="00E135D6"/>
    <w:rsid w:val="00E1369C"/>
    <w:rsid w:val="00E13807"/>
    <w:rsid w:val="00E13B1D"/>
    <w:rsid w:val="00E13D11"/>
    <w:rsid w:val="00E14011"/>
    <w:rsid w:val="00E14176"/>
    <w:rsid w:val="00E144AC"/>
    <w:rsid w:val="00E14E05"/>
    <w:rsid w:val="00E1539A"/>
    <w:rsid w:val="00E1592F"/>
    <w:rsid w:val="00E15B70"/>
    <w:rsid w:val="00E15C72"/>
    <w:rsid w:val="00E1606C"/>
    <w:rsid w:val="00E16ABA"/>
    <w:rsid w:val="00E16E41"/>
    <w:rsid w:val="00E20246"/>
    <w:rsid w:val="00E2024A"/>
    <w:rsid w:val="00E20B38"/>
    <w:rsid w:val="00E20C45"/>
    <w:rsid w:val="00E2103F"/>
    <w:rsid w:val="00E2132A"/>
    <w:rsid w:val="00E21484"/>
    <w:rsid w:val="00E21AA0"/>
    <w:rsid w:val="00E21C0D"/>
    <w:rsid w:val="00E223F5"/>
    <w:rsid w:val="00E224BF"/>
    <w:rsid w:val="00E22686"/>
    <w:rsid w:val="00E22708"/>
    <w:rsid w:val="00E22D70"/>
    <w:rsid w:val="00E23C85"/>
    <w:rsid w:val="00E23D60"/>
    <w:rsid w:val="00E23E5D"/>
    <w:rsid w:val="00E23F4C"/>
    <w:rsid w:val="00E24D8A"/>
    <w:rsid w:val="00E24F38"/>
    <w:rsid w:val="00E24F54"/>
    <w:rsid w:val="00E2516F"/>
    <w:rsid w:val="00E25B4D"/>
    <w:rsid w:val="00E25BB7"/>
    <w:rsid w:val="00E261B9"/>
    <w:rsid w:val="00E263E0"/>
    <w:rsid w:val="00E26ABB"/>
    <w:rsid w:val="00E26CC1"/>
    <w:rsid w:val="00E27589"/>
    <w:rsid w:val="00E27F3C"/>
    <w:rsid w:val="00E30084"/>
    <w:rsid w:val="00E30488"/>
    <w:rsid w:val="00E3049E"/>
    <w:rsid w:val="00E30B31"/>
    <w:rsid w:val="00E320D0"/>
    <w:rsid w:val="00E322C9"/>
    <w:rsid w:val="00E3241F"/>
    <w:rsid w:val="00E32A87"/>
    <w:rsid w:val="00E3369A"/>
    <w:rsid w:val="00E338C8"/>
    <w:rsid w:val="00E33F38"/>
    <w:rsid w:val="00E349A4"/>
    <w:rsid w:val="00E3565C"/>
    <w:rsid w:val="00E3565D"/>
    <w:rsid w:val="00E35B26"/>
    <w:rsid w:val="00E35B99"/>
    <w:rsid w:val="00E35EEE"/>
    <w:rsid w:val="00E35F79"/>
    <w:rsid w:val="00E36F91"/>
    <w:rsid w:val="00E37058"/>
    <w:rsid w:val="00E3706C"/>
    <w:rsid w:val="00E37635"/>
    <w:rsid w:val="00E37E56"/>
    <w:rsid w:val="00E37E6C"/>
    <w:rsid w:val="00E37E6F"/>
    <w:rsid w:val="00E4049E"/>
    <w:rsid w:val="00E407DD"/>
    <w:rsid w:val="00E408E3"/>
    <w:rsid w:val="00E40B5B"/>
    <w:rsid w:val="00E419AE"/>
    <w:rsid w:val="00E41B74"/>
    <w:rsid w:val="00E41E7E"/>
    <w:rsid w:val="00E41FCB"/>
    <w:rsid w:val="00E4268B"/>
    <w:rsid w:val="00E426DF"/>
    <w:rsid w:val="00E428C0"/>
    <w:rsid w:val="00E42B80"/>
    <w:rsid w:val="00E43152"/>
    <w:rsid w:val="00E434DF"/>
    <w:rsid w:val="00E437C3"/>
    <w:rsid w:val="00E439D0"/>
    <w:rsid w:val="00E43AB5"/>
    <w:rsid w:val="00E44055"/>
    <w:rsid w:val="00E449C2"/>
    <w:rsid w:val="00E44BE3"/>
    <w:rsid w:val="00E44ED4"/>
    <w:rsid w:val="00E45058"/>
    <w:rsid w:val="00E4511B"/>
    <w:rsid w:val="00E455F3"/>
    <w:rsid w:val="00E45D71"/>
    <w:rsid w:val="00E45E18"/>
    <w:rsid w:val="00E463DA"/>
    <w:rsid w:val="00E46DC7"/>
    <w:rsid w:val="00E47164"/>
    <w:rsid w:val="00E4733A"/>
    <w:rsid w:val="00E47789"/>
    <w:rsid w:val="00E47B32"/>
    <w:rsid w:val="00E509B9"/>
    <w:rsid w:val="00E5153C"/>
    <w:rsid w:val="00E5191C"/>
    <w:rsid w:val="00E51D90"/>
    <w:rsid w:val="00E52A6D"/>
    <w:rsid w:val="00E52BAA"/>
    <w:rsid w:val="00E530B3"/>
    <w:rsid w:val="00E531F6"/>
    <w:rsid w:val="00E53746"/>
    <w:rsid w:val="00E537A4"/>
    <w:rsid w:val="00E53836"/>
    <w:rsid w:val="00E53B79"/>
    <w:rsid w:val="00E54441"/>
    <w:rsid w:val="00E55B2B"/>
    <w:rsid w:val="00E55DFF"/>
    <w:rsid w:val="00E560B2"/>
    <w:rsid w:val="00E56AC0"/>
    <w:rsid w:val="00E56B77"/>
    <w:rsid w:val="00E57273"/>
    <w:rsid w:val="00E6064A"/>
    <w:rsid w:val="00E607E0"/>
    <w:rsid w:val="00E60CD8"/>
    <w:rsid w:val="00E60D1A"/>
    <w:rsid w:val="00E60EA0"/>
    <w:rsid w:val="00E60FC7"/>
    <w:rsid w:val="00E6149B"/>
    <w:rsid w:val="00E61515"/>
    <w:rsid w:val="00E6151D"/>
    <w:rsid w:val="00E617F8"/>
    <w:rsid w:val="00E619A3"/>
    <w:rsid w:val="00E622A8"/>
    <w:rsid w:val="00E628CC"/>
    <w:rsid w:val="00E62926"/>
    <w:rsid w:val="00E62927"/>
    <w:rsid w:val="00E62DC6"/>
    <w:rsid w:val="00E637B9"/>
    <w:rsid w:val="00E638B3"/>
    <w:rsid w:val="00E6484D"/>
    <w:rsid w:val="00E64965"/>
    <w:rsid w:val="00E6509F"/>
    <w:rsid w:val="00E65133"/>
    <w:rsid w:val="00E652D5"/>
    <w:rsid w:val="00E659DE"/>
    <w:rsid w:val="00E65A20"/>
    <w:rsid w:val="00E66062"/>
    <w:rsid w:val="00E6619D"/>
    <w:rsid w:val="00E662A0"/>
    <w:rsid w:val="00E6659E"/>
    <w:rsid w:val="00E666A6"/>
    <w:rsid w:val="00E6684C"/>
    <w:rsid w:val="00E668C9"/>
    <w:rsid w:val="00E67841"/>
    <w:rsid w:val="00E67FD8"/>
    <w:rsid w:val="00E70614"/>
    <w:rsid w:val="00E7067A"/>
    <w:rsid w:val="00E7069F"/>
    <w:rsid w:val="00E70EF9"/>
    <w:rsid w:val="00E71B3C"/>
    <w:rsid w:val="00E71CE6"/>
    <w:rsid w:val="00E72BFE"/>
    <w:rsid w:val="00E7413E"/>
    <w:rsid w:val="00E74797"/>
    <w:rsid w:val="00E74812"/>
    <w:rsid w:val="00E74B4E"/>
    <w:rsid w:val="00E74E4C"/>
    <w:rsid w:val="00E74F22"/>
    <w:rsid w:val="00E74F9D"/>
    <w:rsid w:val="00E75009"/>
    <w:rsid w:val="00E76D59"/>
    <w:rsid w:val="00E76DC9"/>
    <w:rsid w:val="00E771C7"/>
    <w:rsid w:val="00E77537"/>
    <w:rsid w:val="00E775CE"/>
    <w:rsid w:val="00E77BB8"/>
    <w:rsid w:val="00E77D3B"/>
    <w:rsid w:val="00E803E8"/>
    <w:rsid w:val="00E80A1D"/>
    <w:rsid w:val="00E80A39"/>
    <w:rsid w:val="00E80C56"/>
    <w:rsid w:val="00E81AE7"/>
    <w:rsid w:val="00E81B71"/>
    <w:rsid w:val="00E81C52"/>
    <w:rsid w:val="00E82574"/>
    <w:rsid w:val="00E82DA4"/>
    <w:rsid w:val="00E832E5"/>
    <w:rsid w:val="00E83961"/>
    <w:rsid w:val="00E83AF3"/>
    <w:rsid w:val="00E83C11"/>
    <w:rsid w:val="00E84B5E"/>
    <w:rsid w:val="00E850CB"/>
    <w:rsid w:val="00E857B8"/>
    <w:rsid w:val="00E857CA"/>
    <w:rsid w:val="00E857D5"/>
    <w:rsid w:val="00E85E41"/>
    <w:rsid w:val="00E86143"/>
    <w:rsid w:val="00E8628F"/>
    <w:rsid w:val="00E867B0"/>
    <w:rsid w:val="00E86BE8"/>
    <w:rsid w:val="00E86CF3"/>
    <w:rsid w:val="00E86D30"/>
    <w:rsid w:val="00E8711A"/>
    <w:rsid w:val="00E8736B"/>
    <w:rsid w:val="00E87723"/>
    <w:rsid w:val="00E87731"/>
    <w:rsid w:val="00E903B8"/>
    <w:rsid w:val="00E904FD"/>
    <w:rsid w:val="00E90B67"/>
    <w:rsid w:val="00E90F78"/>
    <w:rsid w:val="00E913B9"/>
    <w:rsid w:val="00E914AE"/>
    <w:rsid w:val="00E92A47"/>
    <w:rsid w:val="00E92ABD"/>
    <w:rsid w:val="00E92C6C"/>
    <w:rsid w:val="00E9374F"/>
    <w:rsid w:val="00E9376F"/>
    <w:rsid w:val="00E938A4"/>
    <w:rsid w:val="00E93982"/>
    <w:rsid w:val="00E93F0E"/>
    <w:rsid w:val="00E940C7"/>
    <w:rsid w:val="00E94809"/>
    <w:rsid w:val="00E95001"/>
    <w:rsid w:val="00E9546D"/>
    <w:rsid w:val="00E95549"/>
    <w:rsid w:val="00E95C8E"/>
    <w:rsid w:val="00E95D30"/>
    <w:rsid w:val="00E95FB3"/>
    <w:rsid w:val="00E95FDF"/>
    <w:rsid w:val="00E9626E"/>
    <w:rsid w:val="00E964E7"/>
    <w:rsid w:val="00E96825"/>
    <w:rsid w:val="00E969FB"/>
    <w:rsid w:val="00E96A96"/>
    <w:rsid w:val="00E96B9E"/>
    <w:rsid w:val="00E977BC"/>
    <w:rsid w:val="00E978C5"/>
    <w:rsid w:val="00E9799F"/>
    <w:rsid w:val="00E97AF9"/>
    <w:rsid w:val="00E97E73"/>
    <w:rsid w:val="00EA066A"/>
    <w:rsid w:val="00EA0C7F"/>
    <w:rsid w:val="00EA0D31"/>
    <w:rsid w:val="00EA0DAD"/>
    <w:rsid w:val="00EA1186"/>
    <w:rsid w:val="00EA1680"/>
    <w:rsid w:val="00EA183B"/>
    <w:rsid w:val="00EA2393"/>
    <w:rsid w:val="00EA2EEA"/>
    <w:rsid w:val="00EA2F66"/>
    <w:rsid w:val="00EA434B"/>
    <w:rsid w:val="00EA481C"/>
    <w:rsid w:val="00EA4941"/>
    <w:rsid w:val="00EA4D30"/>
    <w:rsid w:val="00EA500C"/>
    <w:rsid w:val="00EA58FA"/>
    <w:rsid w:val="00EA5EF9"/>
    <w:rsid w:val="00EA6927"/>
    <w:rsid w:val="00EA69BF"/>
    <w:rsid w:val="00EA6C58"/>
    <w:rsid w:val="00EA6DC0"/>
    <w:rsid w:val="00EA7048"/>
    <w:rsid w:val="00EA7395"/>
    <w:rsid w:val="00EA7A42"/>
    <w:rsid w:val="00EA7B4E"/>
    <w:rsid w:val="00EA7E88"/>
    <w:rsid w:val="00EB00B9"/>
    <w:rsid w:val="00EB0319"/>
    <w:rsid w:val="00EB04DA"/>
    <w:rsid w:val="00EB0755"/>
    <w:rsid w:val="00EB07C1"/>
    <w:rsid w:val="00EB0885"/>
    <w:rsid w:val="00EB0AC1"/>
    <w:rsid w:val="00EB14CF"/>
    <w:rsid w:val="00EB1DC5"/>
    <w:rsid w:val="00EB229C"/>
    <w:rsid w:val="00EB237F"/>
    <w:rsid w:val="00EB2481"/>
    <w:rsid w:val="00EB271B"/>
    <w:rsid w:val="00EB2832"/>
    <w:rsid w:val="00EB29E1"/>
    <w:rsid w:val="00EB37D4"/>
    <w:rsid w:val="00EB3EF5"/>
    <w:rsid w:val="00EB4734"/>
    <w:rsid w:val="00EB4ACF"/>
    <w:rsid w:val="00EB5300"/>
    <w:rsid w:val="00EB614B"/>
    <w:rsid w:val="00EB614D"/>
    <w:rsid w:val="00EB617D"/>
    <w:rsid w:val="00EB625F"/>
    <w:rsid w:val="00EB6482"/>
    <w:rsid w:val="00EB6614"/>
    <w:rsid w:val="00EB676A"/>
    <w:rsid w:val="00EB6D92"/>
    <w:rsid w:val="00EB72DF"/>
    <w:rsid w:val="00EB7794"/>
    <w:rsid w:val="00EB7E0B"/>
    <w:rsid w:val="00EB7E6D"/>
    <w:rsid w:val="00EC015F"/>
    <w:rsid w:val="00EC0184"/>
    <w:rsid w:val="00EC0243"/>
    <w:rsid w:val="00EC0D5D"/>
    <w:rsid w:val="00EC0ECF"/>
    <w:rsid w:val="00EC1506"/>
    <w:rsid w:val="00EC170B"/>
    <w:rsid w:val="00EC1C2C"/>
    <w:rsid w:val="00EC1E41"/>
    <w:rsid w:val="00EC1FEB"/>
    <w:rsid w:val="00EC2670"/>
    <w:rsid w:val="00EC2AC8"/>
    <w:rsid w:val="00EC2F83"/>
    <w:rsid w:val="00EC3215"/>
    <w:rsid w:val="00EC323A"/>
    <w:rsid w:val="00EC3438"/>
    <w:rsid w:val="00EC34F3"/>
    <w:rsid w:val="00EC43FB"/>
    <w:rsid w:val="00EC604E"/>
    <w:rsid w:val="00EC640B"/>
    <w:rsid w:val="00EC6760"/>
    <w:rsid w:val="00EC686B"/>
    <w:rsid w:val="00EC699C"/>
    <w:rsid w:val="00EC6CB8"/>
    <w:rsid w:val="00EC6EDD"/>
    <w:rsid w:val="00EC706B"/>
    <w:rsid w:val="00EC712E"/>
    <w:rsid w:val="00EC7384"/>
    <w:rsid w:val="00EC7473"/>
    <w:rsid w:val="00EC754B"/>
    <w:rsid w:val="00ED0702"/>
    <w:rsid w:val="00ED0998"/>
    <w:rsid w:val="00ED0A64"/>
    <w:rsid w:val="00ED0C89"/>
    <w:rsid w:val="00ED0E87"/>
    <w:rsid w:val="00ED1382"/>
    <w:rsid w:val="00ED1CD0"/>
    <w:rsid w:val="00ED1D38"/>
    <w:rsid w:val="00ED2504"/>
    <w:rsid w:val="00ED294F"/>
    <w:rsid w:val="00ED2A18"/>
    <w:rsid w:val="00ED311E"/>
    <w:rsid w:val="00ED3561"/>
    <w:rsid w:val="00ED48B7"/>
    <w:rsid w:val="00ED5091"/>
    <w:rsid w:val="00ED51C6"/>
    <w:rsid w:val="00ED51E1"/>
    <w:rsid w:val="00ED550D"/>
    <w:rsid w:val="00ED5738"/>
    <w:rsid w:val="00ED5DDE"/>
    <w:rsid w:val="00ED62E3"/>
    <w:rsid w:val="00ED631F"/>
    <w:rsid w:val="00ED6839"/>
    <w:rsid w:val="00ED6A84"/>
    <w:rsid w:val="00ED6BF7"/>
    <w:rsid w:val="00ED724E"/>
    <w:rsid w:val="00ED7299"/>
    <w:rsid w:val="00ED731D"/>
    <w:rsid w:val="00ED7733"/>
    <w:rsid w:val="00EE0161"/>
    <w:rsid w:val="00EE1028"/>
    <w:rsid w:val="00EE1AB2"/>
    <w:rsid w:val="00EE1D2F"/>
    <w:rsid w:val="00EE1E29"/>
    <w:rsid w:val="00EE1F6F"/>
    <w:rsid w:val="00EE202C"/>
    <w:rsid w:val="00EE21ED"/>
    <w:rsid w:val="00EE2260"/>
    <w:rsid w:val="00EE25F8"/>
    <w:rsid w:val="00EE2CD7"/>
    <w:rsid w:val="00EE3096"/>
    <w:rsid w:val="00EE3257"/>
    <w:rsid w:val="00EE3966"/>
    <w:rsid w:val="00EE3C33"/>
    <w:rsid w:val="00EE3E73"/>
    <w:rsid w:val="00EE404E"/>
    <w:rsid w:val="00EE42DB"/>
    <w:rsid w:val="00EE43A2"/>
    <w:rsid w:val="00EE47B1"/>
    <w:rsid w:val="00EE4AD9"/>
    <w:rsid w:val="00EE4F4E"/>
    <w:rsid w:val="00EE54A6"/>
    <w:rsid w:val="00EE5A5B"/>
    <w:rsid w:val="00EE5FB3"/>
    <w:rsid w:val="00EE613D"/>
    <w:rsid w:val="00EE61F7"/>
    <w:rsid w:val="00EE6240"/>
    <w:rsid w:val="00EE694F"/>
    <w:rsid w:val="00EE69A6"/>
    <w:rsid w:val="00EE7214"/>
    <w:rsid w:val="00EE7881"/>
    <w:rsid w:val="00EE78D6"/>
    <w:rsid w:val="00EE7967"/>
    <w:rsid w:val="00EE7D68"/>
    <w:rsid w:val="00EF013D"/>
    <w:rsid w:val="00EF0E51"/>
    <w:rsid w:val="00EF0E5D"/>
    <w:rsid w:val="00EF1608"/>
    <w:rsid w:val="00EF1A22"/>
    <w:rsid w:val="00EF1C38"/>
    <w:rsid w:val="00EF3CC3"/>
    <w:rsid w:val="00EF3F84"/>
    <w:rsid w:val="00EF4219"/>
    <w:rsid w:val="00EF42EF"/>
    <w:rsid w:val="00EF47D9"/>
    <w:rsid w:val="00EF4C13"/>
    <w:rsid w:val="00EF5EBC"/>
    <w:rsid w:val="00EF634B"/>
    <w:rsid w:val="00EF6605"/>
    <w:rsid w:val="00EF6C7F"/>
    <w:rsid w:val="00EF6EE0"/>
    <w:rsid w:val="00EF75EA"/>
    <w:rsid w:val="00EF7BCF"/>
    <w:rsid w:val="00EF7E31"/>
    <w:rsid w:val="00F0009E"/>
    <w:rsid w:val="00F00771"/>
    <w:rsid w:val="00F00FB3"/>
    <w:rsid w:val="00F010F1"/>
    <w:rsid w:val="00F01340"/>
    <w:rsid w:val="00F019E5"/>
    <w:rsid w:val="00F01A09"/>
    <w:rsid w:val="00F01A4E"/>
    <w:rsid w:val="00F02504"/>
    <w:rsid w:val="00F02872"/>
    <w:rsid w:val="00F03044"/>
    <w:rsid w:val="00F03393"/>
    <w:rsid w:val="00F03FDA"/>
    <w:rsid w:val="00F04410"/>
    <w:rsid w:val="00F04AC3"/>
    <w:rsid w:val="00F04BDE"/>
    <w:rsid w:val="00F05B4C"/>
    <w:rsid w:val="00F05D30"/>
    <w:rsid w:val="00F06266"/>
    <w:rsid w:val="00F0672B"/>
    <w:rsid w:val="00F06E5D"/>
    <w:rsid w:val="00F074E2"/>
    <w:rsid w:val="00F0768C"/>
    <w:rsid w:val="00F102B2"/>
    <w:rsid w:val="00F10896"/>
    <w:rsid w:val="00F109F5"/>
    <w:rsid w:val="00F10AC3"/>
    <w:rsid w:val="00F10F3F"/>
    <w:rsid w:val="00F114AC"/>
    <w:rsid w:val="00F11EEA"/>
    <w:rsid w:val="00F1254A"/>
    <w:rsid w:val="00F12D5D"/>
    <w:rsid w:val="00F13545"/>
    <w:rsid w:val="00F13F6D"/>
    <w:rsid w:val="00F14F2A"/>
    <w:rsid w:val="00F15167"/>
    <w:rsid w:val="00F158C0"/>
    <w:rsid w:val="00F15E4E"/>
    <w:rsid w:val="00F161FA"/>
    <w:rsid w:val="00F16255"/>
    <w:rsid w:val="00F1654F"/>
    <w:rsid w:val="00F167BF"/>
    <w:rsid w:val="00F16C8E"/>
    <w:rsid w:val="00F16EF9"/>
    <w:rsid w:val="00F16F07"/>
    <w:rsid w:val="00F1719A"/>
    <w:rsid w:val="00F179C7"/>
    <w:rsid w:val="00F17DAA"/>
    <w:rsid w:val="00F17F1E"/>
    <w:rsid w:val="00F2038B"/>
    <w:rsid w:val="00F209AB"/>
    <w:rsid w:val="00F20DB6"/>
    <w:rsid w:val="00F20F65"/>
    <w:rsid w:val="00F20FC5"/>
    <w:rsid w:val="00F21343"/>
    <w:rsid w:val="00F2172B"/>
    <w:rsid w:val="00F21CF9"/>
    <w:rsid w:val="00F21DD0"/>
    <w:rsid w:val="00F22393"/>
    <w:rsid w:val="00F223EE"/>
    <w:rsid w:val="00F22AF2"/>
    <w:rsid w:val="00F22D51"/>
    <w:rsid w:val="00F2306B"/>
    <w:rsid w:val="00F2338B"/>
    <w:rsid w:val="00F2362D"/>
    <w:rsid w:val="00F23A95"/>
    <w:rsid w:val="00F23ACF"/>
    <w:rsid w:val="00F23D3F"/>
    <w:rsid w:val="00F23EB0"/>
    <w:rsid w:val="00F24808"/>
    <w:rsid w:val="00F24EAE"/>
    <w:rsid w:val="00F2515E"/>
    <w:rsid w:val="00F2543C"/>
    <w:rsid w:val="00F25B8B"/>
    <w:rsid w:val="00F25EA9"/>
    <w:rsid w:val="00F27094"/>
    <w:rsid w:val="00F27299"/>
    <w:rsid w:val="00F2756F"/>
    <w:rsid w:val="00F275DF"/>
    <w:rsid w:val="00F276AE"/>
    <w:rsid w:val="00F278E3"/>
    <w:rsid w:val="00F27A6B"/>
    <w:rsid w:val="00F27C71"/>
    <w:rsid w:val="00F27D67"/>
    <w:rsid w:val="00F3065F"/>
    <w:rsid w:val="00F30699"/>
    <w:rsid w:val="00F30902"/>
    <w:rsid w:val="00F3092B"/>
    <w:rsid w:val="00F312BB"/>
    <w:rsid w:val="00F318F0"/>
    <w:rsid w:val="00F31ACE"/>
    <w:rsid w:val="00F31B62"/>
    <w:rsid w:val="00F31FA6"/>
    <w:rsid w:val="00F32BE4"/>
    <w:rsid w:val="00F32C7E"/>
    <w:rsid w:val="00F32E03"/>
    <w:rsid w:val="00F331EE"/>
    <w:rsid w:val="00F33698"/>
    <w:rsid w:val="00F33794"/>
    <w:rsid w:val="00F339D9"/>
    <w:rsid w:val="00F33B83"/>
    <w:rsid w:val="00F33CCB"/>
    <w:rsid w:val="00F33CFD"/>
    <w:rsid w:val="00F33F31"/>
    <w:rsid w:val="00F33FD6"/>
    <w:rsid w:val="00F3400E"/>
    <w:rsid w:val="00F348D0"/>
    <w:rsid w:val="00F349C9"/>
    <w:rsid w:val="00F34EFF"/>
    <w:rsid w:val="00F35DCC"/>
    <w:rsid w:val="00F362DF"/>
    <w:rsid w:val="00F36A74"/>
    <w:rsid w:val="00F36BC0"/>
    <w:rsid w:val="00F37053"/>
    <w:rsid w:val="00F372E2"/>
    <w:rsid w:val="00F3776E"/>
    <w:rsid w:val="00F37782"/>
    <w:rsid w:val="00F37947"/>
    <w:rsid w:val="00F37A3D"/>
    <w:rsid w:val="00F37F6D"/>
    <w:rsid w:val="00F4012B"/>
    <w:rsid w:val="00F4055C"/>
    <w:rsid w:val="00F40754"/>
    <w:rsid w:val="00F40A86"/>
    <w:rsid w:val="00F40C40"/>
    <w:rsid w:val="00F40D46"/>
    <w:rsid w:val="00F40ED6"/>
    <w:rsid w:val="00F40FF8"/>
    <w:rsid w:val="00F41006"/>
    <w:rsid w:val="00F4114A"/>
    <w:rsid w:val="00F411CD"/>
    <w:rsid w:val="00F413DD"/>
    <w:rsid w:val="00F417EF"/>
    <w:rsid w:val="00F4188F"/>
    <w:rsid w:val="00F41CE4"/>
    <w:rsid w:val="00F41E1C"/>
    <w:rsid w:val="00F41E95"/>
    <w:rsid w:val="00F41ECF"/>
    <w:rsid w:val="00F4212D"/>
    <w:rsid w:val="00F4226F"/>
    <w:rsid w:val="00F42337"/>
    <w:rsid w:val="00F426E2"/>
    <w:rsid w:val="00F427D4"/>
    <w:rsid w:val="00F428C0"/>
    <w:rsid w:val="00F42A57"/>
    <w:rsid w:val="00F42FB7"/>
    <w:rsid w:val="00F432EA"/>
    <w:rsid w:val="00F43634"/>
    <w:rsid w:val="00F439EF"/>
    <w:rsid w:val="00F44151"/>
    <w:rsid w:val="00F443CA"/>
    <w:rsid w:val="00F4478C"/>
    <w:rsid w:val="00F447C8"/>
    <w:rsid w:val="00F44D08"/>
    <w:rsid w:val="00F44E6B"/>
    <w:rsid w:val="00F453ED"/>
    <w:rsid w:val="00F45807"/>
    <w:rsid w:val="00F45903"/>
    <w:rsid w:val="00F45AB4"/>
    <w:rsid w:val="00F45ABF"/>
    <w:rsid w:val="00F45B05"/>
    <w:rsid w:val="00F45FAA"/>
    <w:rsid w:val="00F46332"/>
    <w:rsid w:val="00F463EE"/>
    <w:rsid w:val="00F47072"/>
    <w:rsid w:val="00F477B9"/>
    <w:rsid w:val="00F47DE5"/>
    <w:rsid w:val="00F50283"/>
    <w:rsid w:val="00F50318"/>
    <w:rsid w:val="00F50637"/>
    <w:rsid w:val="00F506B3"/>
    <w:rsid w:val="00F50738"/>
    <w:rsid w:val="00F509C3"/>
    <w:rsid w:val="00F50B4A"/>
    <w:rsid w:val="00F50E1A"/>
    <w:rsid w:val="00F51486"/>
    <w:rsid w:val="00F51531"/>
    <w:rsid w:val="00F51632"/>
    <w:rsid w:val="00F521FD"/>
    <w:rsid w:val="00F52558"/>
    <w:rsid w:val="00F52691"/>
    <w:rsid w:val="00F52E30"/>
    <w:rsid w:val="00F52E92"/>
    <w:rsid w:val="00F53135"/>
    <w:rsid w:val="00F535CC"/>
    <w:rsid w:val="00F53EBA"/>
    <w:rsid w:val="00F53F2D"/>
    <w:rsid w:val="00F54156"/>
    <w:rsid w:val="00F542C1"/>
    <w:rsid w:val="00F54302"/>
    <w:rsid w:val="00F5473B"/>
    <w:rsid w:val="00F54D6D"/>
    <w:rsid w:val="00F555F0"/>
    <w:rsid w:val="00F5565E"/>
    <w:rsid w:val="00F56279"/>
    <w:rsid w:val="00F56336"/>
    <w:rsid w:val="00F563D6"/>
    <w:rsid w:val="00F566E0"/>
    <w:rsid w:val="00F5677D"/>
    <w:rsid w:val="00F56B85"/>
    <w:rsid w:val="00F56E0B"/>
    <w:rsid w:val="00F57717"/>
    <w:rsid w:val="00F6010F"/>
    <w:rsid w:val="00F60788"/>
    <w:rsid w:val="00F608B9"/>
    <w:rsid w:val="00F60A2D"/>
    <w:rsid w:val="00F60E13"/>
    <w:rsid w:val="00F60EB2"/>
    <w:rsid w:val="00F610AD"/>
    <w:rsid w:val="00F615DC"/>
    <w:rsid w:val="00F6193C"/>
    <w:rsid w:val="00F61A8C"/>
    <w:rsid w:val="00F61BBA"/>
    <w:rsid w:val="00F62099"/>
    <w:rsid w:val="00F6214C"/>
    <w:rsid w:val="00F62477"/>
    <w:rsid w:val="00F625EC"/>
    <w:rsid w:val="00F6291C"/>
    <w:rsid w:val="00F6345A"/>
    <w:rsid w:val="00F63464"/>
    <w:rsid w:val="00F637BB"/>
    <w:rsid w:val="00F6497B"/>
    <w:rsid w:val="00F64B34"/>
    <w:rsid w:val="00F64C09"/>
    <w:rsid w:val="00F6507E"/>
    <w:rsid w:val="00F650A5"/>
    <w:rsid w:val="00F651EC"/>
    <w:rsid w:val="00F656DB"/>
    <w:rsid w:val="00F658CC"/>
    <w:rsid w:val="00F6615B"/>
    <w:rsid w:val="00F668B7"/>
    <w:rsid w:val="00F66CB0"/>
    <w:rsid w:val="00F67775"/>
    <w:rsid w:val="00F679F2"/>
    <w:rsid w:val="00F67B0E"/>
    <w:rsid w:val="00F67E49"/>
    <w:rsid w:val="00F701CA"/>
    <w:rsid w:val="00F7088E"/>
    <w:rsid w:val="00F722A3"/>
    <w:rsid w:val="00F72EAA"/>
    <w:rsid w:val="00F7301E"/>
    <w:rsid w:val="00F7367E"/>
    <w:rsid w:val="00F73F12"/>
    <w:rsid w:val="00F741A7"/>
    <w:rsid w:val="00F742F8"/>
    <w:rsid w:val="00F748EA"/>
    <w:rsid w:val="00F74F7D"/>
    <w:rsid w:val="00F75065"/>
    <w:rsid w:val="00F75095"/>
    <w:rsid w:val="00F75737"/>
    <w:rsid w:val="00F757AF"/>
    <w:rsid w:val="00F75ADC"/>
    <w:rsid w:val="00F76408"/>
    <w:rsid w:val="00F7716E"/>
    <w:rsid w:val="00F7741E"/>
    <w:rsid w:val="00F77932"/>
    <w:rsid w:val="00F77ED9"/>
    <w:rsid w:val="00F801DB"/>
    <w:rsid w:val="00F806A0"/>
    <w:rsid w:val="00F80AEA"/>
    <w:rsid w:val="00F811DB"/>
    <w:rsid w:val="00F81D31"/>
    <w:rsid w:val="00F82763"/>
    <w:rsid w:val="00F82F24"/>
    <w:rsid w:val="00F8314A"/>
    <w:rsid w:val="00F8406A"/>
    <w:rsid w:val="00F84103"/>
    <w:rsid w:val="00F845C6"/>
    <w:rsid w:val="00F84A0B"/>
    <w:rsid w:val="00F84E22"/>
    <w:rsid w:val="00F84FCB"/>
    <w:rsid w:val="00F8563D"/>
    <w:rsid w:val="00F85F25"/>
    <w:rsid w:val="00F865E8"/>
    <w:rsid w:val="00F86DCE"/>
    <w:rsid w:val="00F87CFF"/>
    <w:rsid w:val="00F903BE"/>
    <w:rsid w:val="00F907A8"/>
    <w:rsid w:val="00F907E5"/>
    <w:rsid w:val="00F90CF2"/>
    <w:rsid w:val="00F910D2"/>
    <w:rsid w:val="00F91E1D"/>
    <w:rsid w:val="00F91F0C"/>
    <w:rsid w:val="00F92250"/>
    <w:rsid w:val="00F928A8"/>
    <w:rsid w:val="00F92ADD"/>
    <w:rsid w:val="00F92C05"/>
    <w:rsid w:val="00F92C7C"/>
    <w:rsid w:val="00F92D63"/>
    <w:rsid w:val="00F93010"/>
    <w:rsid w:val="00F934FD"/>
    <w:rsid w:val="00F93CDA"/>
    <w:rsid w:val="00F93ED7"/>
    <w:rsid w:val="00F93FC9"/>
    <w:rsid w:val="00F941F2"/>
    <w:rsid w:val="00F94534"/>
    <w:rsid w:val="00F94744"/>
    <w:rsid w:val="00F94CE4"/>
    <w:rsid w:val="00F94DD3"/>
    <w:rsid w:val="00F951A9"/>
    <w:rsid w:val="00F952E3"/>
    <w:rsid w:val="00F9554F"/>
    <w:rsid w:val="00F95E69"/>
    <w:rsid w:val="00F9680E"/>
    <w:rsid w:val="00F96D0D"/>
    <w:rsid w:val="00F96ECE"/>
    <w:rsid w:val="00F972E0"/>
    <w:rsid w:val="00F9757F"/>
    <w:rsid w:val="00F979C4"/>
    <w:rsid w:val="00FA028E"/>
    <w:rsid w:val="00FA0BBC"/>
    <w:rsid w:val="00FA0D03"/>
    <w:rsid w:val="00FA1250"/>
    <w:rsid w:val="00FA166F"/>
    <w:rsid w:val="00FA1898"/>
    <w:rsid w:val="00FA19C2"/>
    <w:rsid w:val="00FA1FDE"/>
    <w:rsid w:val="00FA246F"/>
    <w:rsid w:val="00FA26D3"/>
    <w:rsid w:val="00FA2779"/>
    <w:rsid w:val="00FA2866"/>
    <w:rsid w:val="00FA2B05"/>
    <w:rsid w:val="00FA2EEB"/>
    <w:rsid w:val="00FA3BCB"/>
    <w:rsid w:val="00FA3DAE"/>
    <w:rsid w:val="00FA4124"/>
    <w:rsid w:val="00FA45D6"/>
    <w:rsid w:val="00FA4D9A"/>
    <w:rsid w:val="00FA5B63"/>
    <w:rsid w:val="00FA5C13"/>
    <w:rsid w:val="00FA6518"/>
    <w:rsid w:val="00FA699D"/>
    <w:rsid w:val="00FA718D"/>
    <w:rsid w:val="00FA71CF"/>
    <w:rsid w:val="00FB064C"/>
    <w:rsid w:val="00FB0999"/>
    <w:rsid w:val="00FB0DF1"/>
    <w:rsid w:val="00FB11D0"/>
    <w:rsid w:val="00FB278F"/>
    <w:rsid w:val="00FB3860"/>
    <w:rsid w:val="00FB4124"/>
    <w:rsid w:val="00FB41EA"/>
    <w:rsid w:val="00FB4505"/>
    <w:rsid w:val="00FB458E"/>
    <w:rsid w:val="00FB4E26"/>
    <w:rsid w:val="00FB4F97"/>
    <w:rsid w:val="00FB5520"/>
    <w:rsid w:val="00FB581D"/>
    <w:rsid w:val="00FB5FA6"/>
    <w:rsid w:val="00FB6278"/>
    <w:rsid w:val="00FB6606"/>
    <w:rsid w:val="00FB691E"/>
    <w:rsid w:val="00FB6C43"/>
    <w:rsid w:val="00FB7491"/>
    <w:rsid w:val="00FB74EE"/>
    <w:rsid w:val="00FB7AE4"/>
    <w:rsid w:val="00FC0422"/>
    <w:rsid w:val="00FC0F41"/>
    <w:rsid w:val="00FC10AB"/>
    <w:rsid w:val="00FC1204"/>
    <w:rsid w:val="00FC1857"/>
    <w:rsid w:val="00FC1C68"/>
    <w:rsid w:val="00FC1EC4"/>
    <w:rsid w:val="00FC1ECF"/>
    <w:rsid w:val="00FC2237"/>
    <w:rsid w:val="00FC2360"/>
    <w:rsid w:val="00FC2511"/>
    <w:rsid w:val="00FC292E"/>
    <w:rsid w:val="00FC2C44"/>
    <w:rsid w:val="00FC2CAA"/>
    <w:rsid w:val="00FC2D3D"/>
    <w:rsid w:val="00FC2F33"/>
    <w:rsid w:val="00FC3717"/>
    <w:rsid w:val="00FC39AA"/>
    <w:rsid w:val="00FC3ECC"/>
    <w:rsid w:val="00FC416F"/>
    <w:rsid w:val="00FC4480"/>
    <w:rsid w:val="00FC48E4"/>
    <w:rsid w:val="00FC51D0"/>
    <w:rsid w:val="00FC521F"/>
    <w:rsid w:val="00FC5490"/>
    <w:rsid w:val="00FC6FC5"/>
    <w:rsid w:val="00FC70F5"/>
    <w:rsid w:val="00FC7830"/>
    <w:rsid w:val="00FC794E"/>
    <w:rsid w:val="00FD0472"/>
    <w:rsid w:val="00FD065E"/>
    <w:rsid w:val="00FD07C3"/>
    <w:rsid w:val="00FD08ED"/>
    <w:rsid w:val="00FD0989"/>
    <w:rsid w:val="00FD0A83"/>
    <w:rsid w:val="00FD0AE7"/>
    <w:rsid w:val="00FD0CDD"/>
    <w:rsid w:val="00FD0D3E"/>
    <w:rsid w:val="00FD133A"/>
    <w:rsid w:val="00FD168D"/>
    <w:rsid w:val="00FD1691"/>
    <w:rsid w:val="00FD2648"/>
    <w:rsid w:val="00FD26E5"/>
    <w:rsid w:val="00FD2792"/>
    <w:rsid w:val="00FD336B"/>
    <w:rsid w:val="00FD4095"/>
    <w:rsid w:val="00FD43E0"/>
    <w:rsid w:val="00FD468D"/>
    <w:rsid w:val="00FD48E7"/>
    <w:rsid w:val="00FD4BE0"/>
    <w:rsid w:val="00FD4DC7"/>
    <w:rsid w:val="00FD4EC5"/>
    <w:rsid w:val="00FD5303"/>
    <w:rsid w:val="00FD59A1"/>
    <w:rsid w:val="00FD628F"/>
    <w:rsid w:val="00FD64E1"/>
    <w:rsid w:val="00FD66FF"/>
    <w:rsid w:val="00FD6A9B"/>
    <w:rsid w:val="00FD70C3"/>
    <w:rsid w:val="00FD7353"/>
    <w:rsid w:val="00FD7BED"/>
    <w:rsid w:val="00FE0772"/>
    <w:rsid w:val="00FE07BB"/>
    <w:rsid w:val="00FE0A69"/>
    <w:rsid w:val="00FE10CA"/>
    <w:rsid w:val="00FE146F"/>
    <w:rsid w:val="00FE1BD8"/>
    <w:rsid w:val="00FE21CE"/>
    <w:rsid w:val="00FE2660"/>
    <w:rsid w:val="00FE2D84"/>
    <w:rsid w:val="00FE2E29"/>
    <w:rsid w:val="00FE3921"/>
    <w:rsid w:val="00FE3954"/>
    <w:rsid w:val="00FE3A51"/>
    <w:rsid w:val="00FE3C08"/>
    <w:rsid w:val="00FE3E6A"/>
    <w:rsid w:val="00FE4165"/>
    <w:rsid w:val="00FE4299"/>
    <w:rsid w:val="00FE4F49"/>
    <w:rsid w:val="00FE4FB6"/>
    <w:rsid w:val="00FE5068"/>
    <w:rsid w:val="00FE57F9"/>
    <w:rsid w:val="00FE60C9"/>
    <w:rsid w:val="00FE66B3"/>
    <w:rsid w:val="00FE6A9C"/>
    <w:rsid w:val="00FE7079"/>
    <w:rsid w:val="00FE723F"/>
    <w:rsid w:val="00FE7374"/>
    <w:rsid w:val="00FE75DA"/>
    <w:rsid w:val="00FE795F"/>
    <w:rsid w:val="00FE7A65"/>
    <w:rsid w:val="00FF0245"/>
    <w:rsid w:val="00FF046F"/>
    <w:rsid w:val="00FF0899"/>
    <w:rsid w:val="00FF1A6D"/>
    <w:rsid w:val="00FF20B9"/>
    <w:rsid w:val="00FF36AF"/>
    <w:rsid w:val="00FF3898"/>
    <w:rsid w:val="00FF3A16"/>
    <w:rsid w:val="00FF3E53"/>
    <w:rsid w:val="00FF407A"/>
    <w:rsid w:val="00FF4E65"/>
    <w:rsid w:val="00FF5B46"/>
    <w:rsid w:val="00FF5D58"/>
    <w:rsid w:val="00FF6B01"/>
    <w:rsid w:val="00FF6C35"/>
    <w:rsid w:val="00FF6D58"/>
    <w:rsid w:val="00FF6ED4"/>
    <w:rsid w:val="00FF703B"/>
    <w:rsid w:val="00FF7085"/>
    <w:rsid w:val="00FF7444"/>
    <w:rsid w:val="00FF7630"/>
    <w:rsid w:val="00FF7646"/>
    <w:rsid w:val="00FF7A90"/>
    <w:rsid w:val="00FF7BB0"/>
    <w:rsid w:val="00FF7CDC"/>
    <w:rsid w:val="00FF7F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C18CA29"/>
  <w15:docId w15:val="{7FC832A0-08DE-41F1-94EE-E31BA53CF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998"/>
    <w:pPr>
      <w:jc w:val="both"/>
    </w:pPr>
    <w:rPr>
      <w:rFonts w:ascii="ZapfCalligr BT" w:hAnsi="ZapfCalligr BT" w:cs="ZapfCalligr BT"/>
    </w:rPr>
  </w:style>
  <w:style w:type="paragraph" w:styleId="Heading1">
    <w:name w:val="heading 1"/>
    <w:basedOn w:val="Normal"/>
    <w:next w:val="Normal"/>
    <w:link w:val="Heading1Char"/>
    <w:uiPriority w:val="99"/>
    <w:qFormat/>
    <w:rsid w:val="00866ADF"/>
    <w:pPr>
      <w:keepNext/>
      <w:shd w:val="clear" w:color="auto" w:fill="3366FF"/>
      <w:outlineLvl w:val="0"/>
    </w:pPr>
    <w:rPr>
      <w:rFonts w:ascii="Arial" w:hAnsi="Arial" w:cs="Arial"/>
      <w:b/>
      <w:bCs/>
      <w:color w:val="FFCC00"/>
      <w:sz w:val="28"/>
      <w:szCs w:val="28"/>
      <w:lang w:eastAsia="en-US"/>
    </w:rPr>
  </w:style>
  <w:style w:type="paragraph" w:styleId="Heading2">
    <w:name w:val="heading 2"/>
    <w:basedOn w:val="Normal"/>
    <w:next w:val="Normal"/>
    <w:link w:val="Heading2Char"/>
    <w:uiPriority w:val="99"/>
    <w:qFormat/>
    <w:rsid w:val="00866ADF"/>
    <w:pPr>
      <w:keepNext/>
      <w:shd w:val="clear" w:color="auto" w:fill="99CCFF"/>
      <w:outlineLvl w:val="1"/>
    </w:pPr>
    <w:rPr>
      <w:rFonts w:ascii="Arial" w:hAnsi="Arial" w:cs="Arial"/>
      <w:b/>
      <w:bCs/>
      <w:sz w:val="24"/>
      <w:szCs w:val="24"/>
      <w:lang w:eastAsia="en-US"/>
    </w:rPr>
  </w:style>
  <w:style w:type="paragraph" w:styleId="Heading3">
    <w:name w:val="heading 3"/>
    <w:basedOn w:val="Normal"/>
    <w:next w:val="Normal"/>
    <w:link w:val="Heading3Char"/>
    <w:uiPriority w:val="99"/>
    <w:qFormat/>
    <w:rsid w:val="00866ADF"/>
    <w:pPr>
      <w:keepNext/>
      <w:tabs>
        <w:tab w:val="left" w:pos="1560"/>
        <w:tab w:val="left" w:pos="2410"/>
        <w:tab w:val="decimal" w:leader="dot" w:pos="8732"/>
      </w:tabs>
      <w:jc w:val="center"/>
      <w:outlineLvl w:val="2"/>
    </w:pPr>
    <w:rPr>
      <w:b/>
      <w:bCs/>
      <w:sz w:val="28"/>
      <w:szCs w:val="28"/>
      <w:u w:val="single"/>
      <w:lang w:eastAsia="en-US"/>
    </w:rPr>
  </w:style>
  <w:style w:type="paragraph" w:styleId="Heading4">
    <w:name w:val="heading 4"/>
    <w:basedOn w:val="Normal"/>
    <w:next w:val="Normal"/>
    <w:link w:val="Heading4Char"/>
    <w:uiPriority w:val="99"/>
    <w:qFormat/>
    <w:rsid w:val="00866ADF"/>
    <w:pPr>
      <w:keepNext/>
      <w:tabs>
        <w:tab w:val="left" w:pos="1560"/>
        <w:tab w:val="left" w:pos="2410"/>
        <w:tab w:val="decimal" w:leader="dot" w:pos="8732"/>
      </w:tabs>
      <w:jc w:val="center"/>
      <w:outlineLvl w:val="3"/>
    </w:pPr>
    <w:rPr>
      <w:b/>
      <w:bCs/>
      <w:sz w:val="26"/>
      <w:szCs w:val="26"/>
      <w:u w:val="single"/>
      <w:lang w:eastAsia="en-US"/>
    </w:rPr>
  </w:style>
  <w:style w:type="paragraph" w:styleId="Heading5">
    <w:name w:val="heading 5"/>
    <w:basedOn w:val="Normal"/>
    <w:next w:val="Normal"/>
    <w:link w:val="Heading5Char"/>
    <w:uiPriority w:val="99"/>
    <w:qFormat/>
    <w:rsid w:val="00866ADF"/>
    <w:pPr>
      <w:keepNext/>
      <w:tabs>
        <w:tab w:val="left" w:pos="1560"/>
        <w:tab w:val="left" w:pos="2410"/>
        <w:tab w:val="decimal" w:leader="dot" w:pos="8732"/>
      </w:tabs>
      <w:outlineLvl w:val="4"/>
    </w:pPr>
    <w:rPr>
      <w:b/>
      <w:bCs/>
      <w:sz w:val="28"/>
      <w:szCs w:val="28"/>
      <w:u w:val="single"/>
      <w:lang w:eastAsia="en-US"/>
    </w:rPr>
  </w:style>
  <w:style w:type="paragraph" w:styleId="Heading6">
    <w:name w:val="heading 6"/>
    <w:basedOn w:val="Normal"/>
    <w:next w:val="Normal"/>
    <w:link w:val="Heading6Char"/>
    <w:uiPriority w:val="99"/>
    <w:qFormat/>
    <w:rsid w:val="00866ADF"/>
    <w:pPr>
      <w:spacing w:before="240" w:after="60"/>
      <w:outlineLvl w:val="5"/>
    </w:pPr>
    <w:rPr>
      <w:rFonts w:ascii="Arial" w:hAnsi="Arial" w:cs="Arial"/>
      <w:b/>
      <w:bCs/>
    </w:rPr>
  </w:style>
  <w:style w:type="paragraph" w:styleId="Heading7">
    <w:name w:val="heading 7"/>
    <w:basedOn w:val="Normal"/>
    <w:next w:val="Normal"/>
    <w:link w:val="Heading7Char"/>
    <w:uiPriority w:val="99"/>
    <w:qFormat/>
    <w:rsid w:val="00866ADF"/>
    <w:p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uiPriority w:val="99"/>
    <w:qFormat/>
    <w:rsid w:val="00866ADF"/>
    <w:pPr>
      <w:keepNext/>
      <w:outlineLvl w:val="7"/>
    </w:pPr>
    <w:rPr>
      <w:sz w:val="26"/>
      <w:szCs w:val="26"/>
      <w:u w:val="single"/>
      <w:lang w:eastAsia="en-US"/>
    </w:rPr>
  </w:style>
  <w:style w:type="paragraph" w:styleId="Heading9">
    <w:name w:val="heading 9"/>
    <w:basedOn w:val="Normal"/>
    <w:next w:val="Normal"/>
    <w:link w:val="Heading9Char"/>
    <w:uiPriority w:val="99"/>
    <w:qFormat/>
    <w:rsid w:val="00866ADF"/>
    <w:pPr>
      <w:keepNext/>
      <w:outlineLvl w:val="8"/>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2A1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12A1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E12A15"/>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E12A15"/>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E12A15"/>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E12A15"/>
    <w:rPr>
      <w:rFonts w:ascii="Calibri" w:hAnsi="Calibri" w:cs="Calibri"/>
      <w:b/>
      <w:bCs/>
    </w:rPr>
  </w:style>
  <w:style w:type="character" w:customStyle="1" w:styleId="Heading7Char">
    <w:name w:val="Heading 7 Char"/>
    <w:basedOn w:val="DefaultParagraphFont"/>
    <w:link w:val="Heading7"/>
    <w:uiPriority w:val="99"/>
    <w:semiHidden/>
    <w:locked/>
    <w:rsid w:val="00E12A15"/>
    <w:rPr>
      <w:rFonts w:ascii="Calibri" w:hAnsi="Calibri" w:cs="Calibri"/>
      <w:sz w:val="24"/>
      <w:szCs w:val="24"/>
    </w:rPr>
  </w:style>
  <w:style w:type="character" w:customStyle="1" w:styleId="Heading8Char">
    <w:name w:val="Heading 8 Char"/>
    <w:basedOn w:val="DefaultParagraphFont"/>
    <w:link w:val="Heading8"/>
    <w:uiPriority w:val="99"/>
    <w:semiHidden/>
    <w:locked/>
    <w:rsid w:val="00E12A15"/>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E12A15"/>
    <w:rPr>
      <w:rFonts w:ascii="Cambria" w:hAnsi="Cambria" w:cs="Cambria"/>
    </w:rPr>
  </w:style>
  <w:style w:type="table" w:styleId="TableGrid">
    <w:name w:val="Table Grid"/>
    <w:basedOn w:val="TableNormal"/>
    <w:uiPriority w:val="59"/>
    <w:rsid w:val="00ED0998"/>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D0998"/>
    <w:rPr>
      <w:rFonts w:cs="Times New Roman"/>
      <w:color w:val="0000FF"/>
      <w:u w:val="single"/>
    </w:rPr>
  </w:style>
  <w:style w:type="paragraph" w:styleId="Footer">
    <w:name w:val="footer"/>
    <w:basedOn w:val="Normal"/>
    <w:link w:val="FooterChar"/>
    <w:uiPriority w:val="99"/>
    <w:rsid w:val="00ED0998"/>
    <w:pPr>
      <w:tabs>
        <w:tab w:val="center" w:pos="4153"/>
        <w:tab w:val="right" w:pos="8306"/>
      </w:tabs>
    </w:pPr>
  </w:style>
  <w:style w:type="character" w:customStyle="1" w:styleId="FooterChar">
    <w:name w:val="Footer Char"/>
    <w:basedOn w:val="DefaultParagraphFont"/>
    <w:link w:val="Footer"/>
    <w:uiPriority w:val="99"/>
    <w:locked/>
    <w:rsid w:val="00E12A15"/>
    <w:rPr>
      <w:rFonts w:ascii="ZapfCalligr BT" w:hAnsi="ZapfCalligr BT" w:cs="ZapfCalligr BT"/>
      <w:sz w:val="20"/>
      <w:szCs w:val="20"/>
    </w:rPr>
  </w:style>
  <w:style w:type="character" w:styleId="PageNumber">
    <w:name w:val="page number"/>
    <w:basedOn w:val="DefaultParagraphFont"/>
    <w:uiPriority w:val="99"/>
    <w:rsid w:val="00ED0998"/>
    <w:rPr>
      <w:rFonts w:cs="Times New Roman"/>
    </w:rPr>
  </w:style>
  <w:style w:type="paragraph" w:styleId="Header">
    <w:name w:val="header"/>
    <w:basedOn w:val="Normal"/>
    <w:link w:val="HeaderChar"/>
    <w:uiPriority w:val="99"/>
    <w:rsid w:val="00ED0998"/>
    <w:pPr>
      <w:tabs>
        <w:tab w:val="center" w:pos="4153"/>
        <w:tab w:val="right" w:pos="8306"/>
      </w:tabs>
    </w:pPr>
  </w:style>
  <w:style w:type="character" w:customStyle="1" w:styleId="HeaderChar">
    <w:name w:val="Header Char"/>
    <w:basedOn w:val="DefaultParagraphFont"/>
    <w:link w:val="Header"/>
    <w:uiPriority w:val="99"/>
    <w:locked/>
    <w:rsid w:val="00E12A15"/>
    <w:rPr>
      <w:rFonts w:ascii="ZapfCalligr BT" w:hAnsi="ZapfCalligr BT" w:cs="ZapfCalligr BT"/>
      <w:sz w:val="20"/>
      <w:szCs w:val="20"/>
    </w:rPr>
  </w:style>
  <w:style w:type="paragraph" w:styleId="BalloonText">
    <w:name w:val="Balloon Text"/>
    <w:basedOn w:val="Normal"/>
    <w:link w:val="BalloonTextChar"/>
    <w:uiPriority w:val="99"/>
    <w:semiHidden/>
    <w:rsid w:val="00672D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A15"/>
    <w:rPr>
      <w:rFonts w:cs="Times New Roman"/>
      <w:sz w:val="2"/>
      <w:szCs w:val="2"/>
    </w:rPr>
  </w:style>
  <w:style w:type="paragraph" w:styleId="BodyText">
    <w:name w:val="Body Text"/>
    <w:basedOn w:val="Normal"/>
    <w:link w:val="BodyTextChar"/>
    <w:uiPriority w:val="99"/>
    <w:rsid w:val="00866ADF"/>
    <w:rPr>
      <w:sz w:val="28"/>
      <w:szCs w:val="28"/>
      <w:lang w:eastAsia="en-US"/>
    </w:rPr>
  </w:style>
  <w:style w:type="character" w:customStyle="1" w:styleId="BodyTextChar">
    <w:name w:val="Body Text Char"/>
    <w:basedOn w:val="DefaultParagraphFont"/>
    <w:link w:val="BodyText"/>
    <w:uiPriority w:val="99"/>
    <w:semiHidden/>
    <w:locked/>
    <w:rsid w:val="00E12A15"/>
    <w:rPr>
      <w:rFonts w:ascii="ZapfCalligr BT" w:hAnsi="ZapfCalligr BT" w:cs="ZapfCalligr BT"/>
      <w:sz w:val="20"/>
      <w:szCs w:val="20"/>
    </w:rPr>
  </w:style>
  <w:style w:type="paragraph" w:styleId="BodyTextIndent2">
    <w:name w:val="Body Text Indent 2"/>
    <w:basedOn w:val="Normal"/>
    <w:link w:val="BodyTextIndent2Char"/>
    <w:uiPriority w:val="99"/>
    <w:rsid w:val="00866ADF"/>
    <w:pPr>
      <w:spacing w:after="120" w:line="480" w:lineRule="auto"/>
      <w:ind w:left="283"/>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E12A15"/>
    <w:rPr>
      <w:rFonts w:ascii="ZapfCalligr BT" w:hAnsi="ZapfCalligr BT" w:cs="ZapfCalligr BT"/>
      <w:sz w:val="20"/>
      <w:szCs w:val="20"/>
    </w:rPr>
  </w:style>
  <w:style w:type="paragraph" w:styleId="BodyText2">
    <w:name w:val="Body Text 2"/>
    <w:basedOn w:val="Normal"/>
    <w:link w:val="BodyText2Char"/>
    <w:uiPriority w:val="99"/>
    <w:rsid w:val="00866ADF"/>
    <w:pPr>
      <w:spacing w:after="120" w:line="480" w:lineRule="auto"/>
    </w:pPr>
    <w:rPr>
      <w:rFonts w:ascii="Arial" w:hAnsi="Arial" w:cs="Arial"/>
      <w:sz w:val="24"/>
      <w:szCs w:val="24"/>
    </w:rPr>
  </w:style>
  <w:style w:type="character" w:customStyle="1" w:styleId="BodyText2Char">
    <w:name w:val="Body Text 2 Char"/>
    <w:basedOn w:val="DefaultParagraphFont"/>
    <w:link w:val="BodyText2"/>
    <w:uiPriority w:val="99"/>
    <w:semiHidden/>
    <w:locked/>
    <w:rsid w:val="00E12A15"/>
    <w:rPr>
      <w:rFonts w:ascii="ZapfCalligr BT" w:hAnsi="ZapfCalligr BT" w:cs="ZapfCalligr BT"/>
      <w:sz w:val="20"/>
      <w:szCs w:val="20"/>
    </w:rPr>
  </w:style>
  <w:style w:type="paragraph" w:styleId="BodyText3">
    <w:name w:val="Body Text 3"/>
    <w:basedOn w:val="Normal"/>
    <w:link w:val="BodyText3Char"/>
    <w:uiPriority w:val="99"/>
    <w:rsid w:val="00866ADF"/>
    <w:pPr>
      <w:spacing w:after="120"/>
    </w:pPr>
    <w:rPr>
      <w:rFonts w:ascii="Arial" w:hAnsi="Arial" w:cs="Arial"/>
      <w:sz w:val="16"/>
      <w:szCs w:val="16"/>
    </w:rPr>
  </w:style>
  <w:style w:type="character" w:customStyle="1" w:styleId="BodyText3Char">
    <w:name w:val="Body Text 3 Char"/>
    <w:basedOn w:val="DefaultParagraphFont"/>
    <w:link w:val="BodyText3"/>
    <w:uiPriority w:val="99"/>
    <w:semiHidden/>
    <w:locked/>
    <w:rsid w:val="00E12A15"/>
    <w:rPr>
      <w:rFonts w:ascii="ZapfCalligr BT" w:hAnsi="ZapfCalligr BT" w:cs="ZapfCalligr BT"/>
      <w:sz w:val="16"/>
      <w:szCs w:val="16"/>
    </w:rPr>
  </w:style>
  <w:style w:type="character" w:styleId="FollowedHyperlink">
    <w:name w:val="FollowedHyperlink"/>
    <w:basedOn w:val="DefaultParagraphFont"/>
    <w:uiPriority w:val="99"/>
    <w:rsid w:val="00866ADF"/>
    <w:rPr>
      <w:rFonts w:cs="Times New Roman"/>
      <w:color w:val="800080"/>
      <w:u w:val="single"/>
    </w:rPr>
  </w:style>
  <w:style w:type="paragraph" w:styleId="BodyTextIndent">
    <w:name w:val="Body Text Indent"/>
    <w:basedOn w:val="Normal"/>
    <w:link w:val="BodyTextIndentChar"/>
    <w:uiPriority w:val="99"/>
    <w:rsid w:val="00866ADF"/>
    <w:pPr>
      <w:tabs>
        <w:tab w:val="left" w:pos="567"/>
        <w:tab w:val="decimal" w:pos="4537"/>
        <w:tab w:val="left" w:pos="5245"/>
        <w:tab w:val="left" w:pos="6804"/>
      </w:tabs>
      <w:ind w:left="540" w:hanging="540"/>
    </w:pPr>
    <w:rPr>
      <w:sz w:val="24"/>
      <w:szCs w:val="24"/>
      <w:lang w:eastAsia="en-US"/>
    </w:rPr>
  </w:style>
  <w:style w:type="character" w:customStyle="1" w:styleId="BodyTextIndentChar">
    <w:name w:val="Body Text Indent Char"/>
    <w:basedOn w:val="DefaultParagraphFont"/>
    <w:link w:val="BodyTextIndent"/>
    <w:uiPriority w:val="99"/>
    <w:semiHidden/>
    <w:locked/>
    <w:rsid w:val="00E12A15"/>
    <w:rPr>
      <w:rFonts w:ascii="ZapfCalligr BT" w:hAnsi="ZapfCalligr BT" w:cs="ZapfCalligr BT"/>
      <w:sz w:val="20"/>
      <w:szCs w:val="20"/>
    </w:rPr>
  </w:style>
  <w:style w:type="paragraph" w:styleId="BodyTextIndent3">
    <w:name w:val="Body Text Indent 3"/>
    <w:basedOn w:val="Normal"/>
    <w:link w:val="BodyTextIndent3Char"/>
    <w:uiPriority w:val="99"/>
    <w:rsid w:val="00866ADF"/>
    <w:pPr>
      <w:ind w:left="180" w:hanging="180"/>
    </w:pPr>
    <w:rPr>
      <w:sz w:val="26"/>
      <w:szCs w:val="26"/>
      <w:lang w:eastAsia="en-US"/>
    </w:rPr>
  </w:style>
  <w:style w:type="character" w:customStyle="1" w:styleId="BodyTextIndent3Char">
    <w:name w:val="Body Text Indent 3 Char"/>
    <w:basedOn w:val="DefaultParagraphFont"/>
    <w:link w:val="BodyTextIndent3"/>
    <w:uiPriority w:val="99"/>
    <w:semiHidden/>
    <w:locked/>
    <w:rsid w:val="00E12A15"/>
    <w:rPr>
      <w:rFonts w:ascii="ZapfCalligr BT" w:hAnsi="ZapfCalligr BT" w:cs="ZapfCalligr BT"/>
      <w:sz w:val="16"/>
      <w:szCs w:val="16"/>
    </w:rPr>
  </w:style>
  <w:style w:type="paragraph" w:styleId="NoSpacing">
    <w:name w:val="No Spacing"/>
    <w:uiPriority w:val="99"/>
    <w:qFormat/>
    <w:rsid w:val="008A2104"/>
    <w:rPr>
      <w:rFonts w:ascii="Calibri" w:hAnsi="Calibri" w:cs="Calibri"/>
      <w:lang w:eastAsia="en-US"/>
    </w:rPr>
  </w:style>
  <w:style w:type="paragraph" w:styleId="PlainText">
    <w:name w:val="Plain Text"/>
    <w:basedOn w:val="Normal"/>
    <w:link w:val="PlainTextChar"/>
    <w:uiPriority w:val="99"/>
    <w:rsid w:val="00647960"/>
    <w:pPr>
      <w:jc w:val="left"/>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E12A15"/>
    <w:rPr>
      <w:rFonts w:ascii="Courier New" w:hAnsi="Courier New" w:cs="Courier New"/>
      <w:sz w:val="20"/>
      <w:szCs w:val="20"/>
    </w:rPr>
  </w:style>
  <w:style w:type="character" w:customStyle="1" w:styleId="n66611listyle">
    <w:name w:val="n66611 listyle"/>
    <w:basedOn w:val="DefaultParagraphFont"/>
    <w:uiPriority w:val="99"/>
    <w:rsid w:val="00523F9C"/>
    <w:rPr>
      <w:rFonts w:cs="Times New Roman"/>
    </w:rPr>
  </w:style>
  <w:style w:type="paragraph" w:styleId="NormalWeb">
    <w:name w:val="Normal (Web)"/>
    <w:basedOn w:val="Normal"/>
    <w:uiPriority w:val="99"/>
    <w:rsid w:val="008C0BC2"/>
    <w:pPr>
      <w:spacing w:before="100" w:beforeAutospacing="1" w:after="100" w:afterAutospacing="1"/>
      <w:jc w:val="left"/>
    </w:pPr>
    <w:rPr>
      <w:rFonts w:ascii="Times New Roman" w:hAnsi="Times New Roman" w:cs="Times New Roman"/>
      <w:sz w:val="24"/>
      <w:szCs w:val="24"/>
    </w:rPr>
  </w:style>
  <w:style w:type="paragraph" w:customStyle="1" w:styleId="Default">
    <w:name w:val="Default"/>
    <w:rsid w:val="00E92C6C"/>
    <w:pPr>
      <w:autoSpaceDE w:val="0"/>
      <w:autoSpaceDN w:val="0"/>
      <w:adjustRightInd w:val="0"/>
    </w:pPr>
    <w:rPr>
      <w:rFonts w:ascii="Avenir 35" w:hAnsi="Avenir 35" w:cs="Avenir 35"/>
      <w:color w:val="000000"/>
      <w:sz w:val="24"/>
      <w:szCs w:val="24"/>
    </w:rPr>
  </w:style>
  <w:style w:type="character" w:customStyle="1" w:styleId="EmailStyle52">
    <w:name w:val="EmailStyle52"/>
    <w:basedOn w:val="DefaultParagraphFont"/>
    <w:uiPriority w:val="99"/>
    <w:semiHidden/>
    <w:rsid w:val="000D21AF"/>
    <w:rPr>
      <w:rFonts w:ascii="Arial" w:hAnsi="Arial" w:cs="Arial"/>
      <w:color w:val="auto"/>
      <w:sz w:val="20"/>
      <w:szCs w:val="20"/>
    </w:rPr>
  </w:style>
  <w:style w:type="paragraph" w:styleId="Revision">
    <w:name w:val="Revision"/>
    <w:hidden/>
    <w:uiPriority w:val="99"/>
    <w:semiHidden/>
    <w:rsid w:val="003B0D78"/>
    <w:rPr>
      <w:rFonts w:ascii="ZapfCalligr BT" w:hAnsi="ZapfCalligr BT" w:cs="ZapfCalligr BT"/>
    </w:rPr>
  </w:style>
  <w:style w:type="paragraph" w:customStyle="1" w:styleId="smalltext">
    <w:name w:val="smalltext"/>
    <w:basedOn w:val="Normal"/>
    <w:uiPriority w:val="99"/>
    <w:rsid w:val="008D399A"/>
    <w:pPr>
      <w:spacing w:before="100" w:beforeAutospacing="1" w:after="100" w:afterAutospacing="1"/>
      <w:jc w:val="left"/>
    </w:pPr>
    <w:rPr>
      <w:rFonts w:ascii="Times New Roman" w:hAnsi="Times New Roman" w:cs="Times New Roman"/>
      <w:sz w:val="24"/>
      <w:szCs w:val="24"/>
    </w:rPr>
  </w:style>
  <w:style w:type="character" w:styleId="Emphasis">
    <w:name w:val="Emphasis"/>
    <w:basedOn w:val="DefaultParagraphFont"/>
    <w:uiPriority w:val="99"/>
    <w:qFormat/>
    <w:rsid w:val="008D399A"/>
    <w:rPr>
      <w:rFonts w:cs="Times New Roman"/>
      <w:i/>
      <w:iCs/>
    </w:rPr>
  </w:style>
  <w:style w:type="paragraph" w:styleId="ListParagraph">
    <w:name w:val="List Paragraph"/>
    <w:basedOn w:val="Normal"/>
    <w:uiPriority w:val="34"/>
    <w:qFormat/>
    <w:rsid w:val="00D027BE"/>
    <w:pPr>
      <w:ind w:left="720"/>
    </w:pPr>
  </w:style>
  <w:style w:type="character" w:styleId="SubtleEmphasis">
    <w:name w:val="Subtle Emphasis"/>
    <w:basedOn w:val="DefaultParagraphFont"/>
    <w:uiPriority w:val="19"/>
    <w:qFormat/>
    <w:rsid w:val="00BC7D0A"/>
    <w:rPr>
      <w:i/>
      <w:iCs/>
      <w:color w:val="808080" w:themeColor="text1" w:themeTint="7F"/>
    </w:rPr>
  </w:style>
  <w:style w:type="character" w:customStyle="1" w:styleId="gerrans">
    <w:name w:val="gerrans"/>
    <w:basedOn w:val="DefaultParagraphFont"/>
    <w:semiHidden/>
    <w:rsid w:val="000D30A7"/>
    <w:rPr>
      <w:rFonts w:ascii="Arial" w:hAnsi="Arial" w:cs="Arial"/>
      <w:color w:val="auto"/>
      <w:sz w:val="20"/>
      <w:szCs w:val="20"/>
    </w:rPr>
  </w:style>
  <w:style w:type="character" w:styleId="CommentReference">
    <w:name w:val="annotation reference"/>
    <w:basedOn w:val="DefaultParagraphFont"/>
    <w:uiPriority w:val="99"/>
    <w:semiHidden/>
    <w:locked/>
    <w:rsid w:val="000D30A7"/>
    <w:rPr>
      <w:sz w:val="16"/>
      <w:szCs w:val="16"/>
    </w:rPr>
  </w:style>
  <w:style w:type="paragraph" w:styleId="CommentText">
    <w:name w:val="annotation text"/>
    <w:basedOn w:val="Normal"/>
    <w:link w:val="CommentTextChar"/>
    <w:uiPriority w:val="99"/>
    <w:semiHidden/>
    <w:locked/>
    <w:rsid w:val="000D30A7"/>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0D30A7"/>
    <w:rPr>
      <w:rFonts w:ascii="ZapfCalligr BT" w:eastAsia="Times New Roman" w:hAnsi="ZapfCalligr BT"/>
      <w:sz w:val="20"/>
      <w:szCs w:val="20"/>
    </w:rPr>
  </w:style>
  <w:style w:type="table" w:styleId="LightShading">
    <w:name w:val="Light Shading"/>
    <w:basedOn w:val="TableNormal"/>
    <w:uiPriority w:val="60"/>
    <w:rsid w:val="00CA6F3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A6F3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F5148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odytextAfterTables">
    <w:name w:val="Bodytext AfterTables"/>
    <w:basedOn w:val="Normal"/>
    <w:rsid w:val="00C050BA"/>
    <w:pPr>
      <w:spacing w:before="120" w:after="105" w:line="210" w:lineRule="exact"/>
      <w:jc w:val="left"/>
    </w:pPr>
    <w:rPr>
      <w:rFonts w:ascii="Trade Gothic LT Std Light" w:eastAsia="Times New Roman" w:hAnsi="Trade Gothic LT Std Light" w:cs="Times New Roman"/>
      <w:spacing w:val="-3"/>
      <w:sz w:val="18"/>
      <w:szCs w:val="24"/>
    </w:rPr>
  </w:style>
  <w:style w:type="paragraph" w:customStyle="1" w:styleId="Tabletext">
    <w:name w:val="Tabletext"/>
    <w:basedOn w:val="Normal"/>
    <w:rsid w:val="00C050BA"/>
    <w:pPr>
      <w:tabs>
        <w:tab w:val="left" w:pos="284"/>
      </w:tabs>
      <w:spacing w:before="20" w:after="20" w:line="180" w:lineRule="exact"/>
      <w:jc w:val="left"/>
    </w:pPr>
    <w:rPr>
      <w:rFonts w:ascii="Trade Gothic LT Std Light" w:eastAsia="Times New Roman" w:hAnsi="Trade Gothic LT Std Light" w:cs="Times New Roman"/>
      <w:spacing w:val="-3"/>
      <w:sz w:val="16"/>
      <w:szCs w:val="20"/>
    </w:rPr>
  </w:style>
  <w:style w:type="paragraph" w:customStyle="1" w:styleId="TableColHeads">
    <w:name w:val="TableColHeads"/>
    <w:basedOn w:val="Tabletext"/>
    <w:rsid w:val="00C050BA"/>
    <w:pPr>
      <w:spacing w:before="40" w:after="40" w:line="160" w:lineRule="exact"/>
      <w:ind w:right="57"/>
      <w:jc w:val="right"/>
    </w:pPr>
    <w:rPr>
      <w:sz w:val="14"/>
    </w:rPr>
  </w:style>
  <w:style w:type="paragraph" w:customStyle="1" w:styleId="TableFigures">
    <w:name w:val="TableFigures"/>
    <w:basedOn w:val="Tabletext"/>
    <w:rsid w:val="00C050BA"/>
    <w:pPr>
      <w:ind w:right="57"/>
      <w:jc w:val="right"/>
    </w:pPr>
  </w:style>
  <w:style w:type="paragraph" w:customStyle="1" w:styleId="TableFiguresBold">
    <w:name w:val="TableFigures Bold"/>
    <w:basedOn w:val="TableFigures"/>
    <w:rsid w:val="00C050BA"/>
    <w:rPr>
      <w:rFonts w:ascii="Trade Gothic LT Std Bold" w:hAnsi="Trade Gothic LT Std Bold"/>
      <w:bCs/>
    </w:rPr>
  </w:style>
  <w:style w:type="paragraph" w:customStyle="1" w:styleId="Footnotes">
    <w:name w:val="Footnotes"/>
    <w:basedOn w:val="Normal"/>
    <w:rsid w:val="00EE1AB2"/>
    <w:pPr>
      <w:spacing w:before="85" w:line="170" w:lineRule="exact"/>
      <w:ind w:left="170" w:hanging="170"/>
      <w:jc w:val="left"/>
    </w:pPr>
    <w:rPr>
      <w:rFonts w:ascii="Trade Gothic LT Std Light" w:eastAsia="Times New Roman" w:hAnsi="Trade Gothic LT Std Light" w:cs="Times New Roman"/>
      <w:spacing w:val="-3"/>
      <w:sz w:val="15"/>
      <w:szCs w:val="24"/>
    </w:rPr>
  </w:style>
  <w:style w:type="paragraph" w:customStyle="1" w:styleId="TableColHeadsLeft">
    <w:name w:val="TableColHeads Left"/>
    <w:basedOn w:val="TableColHeads"/>
    <w:rsid w:val="00793F84"/>
    <w:pPr>
      <w:jc w:val="left"/>
    </w:pPr>
  </w:style>
  <w:style w:type="paragraph" w:customStyle="1" w:styleId="TableFiguresBrackets">
    <w:name w:val="TableFigures Brackets"/>
    <w:basedOn w:val="TableFigures"/>
    <w:rsid w:val="005F309B"/>
    <w:pPr>
      <w:ind w:right="17"/>
    </w:pPr>
  </w:style>
  <w:style w:type="paragraph" w:customStyle="1" w:styleId="Bullets">
    <w:name w:val="Bullets"/>
    <w:basedOn w:val="Normal"/>
    <w:rsid w:val="00C659A8"/>
    <w:pPr>
      <w:numPr>
        <w:numId w:val="2"/>
      </w:numPr>
      <w:spacing w:after="105" w:line="210" w:lineRule="exact"/>
      <w:jc w:val="left"/>
    </w:pPr>
    <w:rPr>
      <w:rFonts w:ascii="Trade Gothic LT Std Light" w:eastAsia="Times New Roman" w:hAnsi="Trade Gothic LT Std Light" w:cs="Times New Roman"/>
      <w:spacing w:val="-3"/>
      <w:sz w:val="18"/>
      <w:szCs w:val="24"/>
    </w:rPr>
  </w:style>
  <w:style w:type="paragraph" w:styleId="ListBullet4">
    <w:name w:val="List Bullet 4"/>
    <w:basedOn w:val="Normal"/>
    <w:uiPriority w:val="99"/>
    <w:semiHidden/>
    <w:unhideWhenUsed/>
    <w:locked/>
    <w:rsid w:val="000A761B"/>
    <w:pPr>
      <w:numPr>
        <w:numId w:val="3"/>
      </w:numPr>
      <w:spacing w:after="80" w:line="210" w:lineRule="exact"/>
      <w:jc w:val="left"/>
    </w:pPr>
    <w:rPr>
      <w:rFonts w:ascii="Trade Gothic LT Std Light" w:eastAsiaTheme="minorHAnsi" w:hAnsi="Trade Gothic LT Std Light" w:cs="Times New Roman"/>
      <w:spacing w:val="-4"/>
      <w:sz w:val="18"/>
      <w:szCs w:val="18"/>
    </w:rPr>
  </w:style>
  <w:style w:type="paragraph" w:styleId="CommentSubject">
    <w:name w:val="annotation subject"/>
    <w:basedOn w:val="CommentText"/>
    <w:next w:val="CommentText"/>
    <w:link w:val="CommentSubjectChar"/>
    <w:uiPriority w:val="99"/>
    <w:semiHidden/>
    <w:unhideWhenUsed/>
    <w:locked/>
    <w:rsid w:val="00A7352B"/>
    <w:rPr>
      <w:rFonts w:eastAsia="Batang" w:cs="ZapfCalligr BT"/>
      <w:b/>
      <w:bCs/>
    </w:rPr>
  </w:style>
  <w:style w:type="character" w:customStyle="1" w:styleId="CommentSubjectChar">
    <w:name w:val="Comment Subject Char"/>
    <w:basedOn w:val="CommentTextChar"/>
    <w:link w:val="CommentSubject"/>
    <w:uiPriority w:val="99"/>
    <w:semiHidden/>
    <w:rsid w:val="00A7352B"/>
    <w:rPr>
      <w:rFonts w:ascii="ZapfCalligr BT" w:eastAsia="Times New Roman" w:hAnsi="ZapfCalligr BT" w:cs="ZapfCalligr BT"/>
      <w:b/>
      <w:bCs/>
      <w:sz w:val="20"/>
      <w:szCs w:val="20"/>
    </w:rPr>
  </w:style>
  <w:style w:type="paragraph" w:customStyle="1" w:styleId="Heading1NoSpace">
    <w:name w:val="Heading 1 NoSpace"/>
    <w:basedOn w:val="Heading1"/>
    <w:rsid w:val="00104D21"/>
    <w:pPr>
      <w:pBdr>
        <w:bottom w:val="single" w:sz="8" w:space="4" w:color="auto"/>
      </w:pBdr>
      <w:shd w:val="clear" w:color="auto" w:fill="auto"/>
      <w:tabs>
        <w:tab w:val="left" w:pos="284"/>
        <w:tab w:val="left" w:pos="340"/>
      </w:tabs>
      <w:spacing w:after="60" w:line="280" w:lineRule="exact"/>
      <w:jc w:val="left"/>
    </w:pPr>
    <w:rPr>
      <w:rFonts w:ascii="Trade Gothic LT Std Bold" w:eastAsia="Times New Roman" w:hAnsi="Trade Gothic LT Std Bold" w:cs="Times New Roman"/>
      <w:bCs w:val="0"/>
      <w:color w:val="auto"/>
      <w:spacing w:val="-3"/>
      <w:kern w:val="32"/>
      <w:sz w:val="24"/>
      <w:szCs w:val="20"/>
      <w:lang w:eastAsia="en-GB"/>
    </w:rPr>
  </w:style>
  <w:style w:type="character" w:customStyle="1" w:styleId="Bold">
    <w:name w:val="Bold"/>
    <w:rsid w:val="00104D21"/>
    <w:rPr>
      <w:rFonts w:ascii="Trade Gothic LT Std Bold" w:hAnsi="Trade Gothic LT Std 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1328">
      <w:bodyDiv w:val="1"/>
      <w:marLeft w:val="0"/>
      <w:marRight w:val="0"/>
      <w:marTop w:val="0"/>
      <w:marBottom w:val="0"/>
      <w:divBdr>
        <w:top w:val="none" w:sz="0" w:space="0" w:color="auto"/>
        <w:left w:val="none" w:sz="0" w:space="0" w:color="auto"/>
        <w:bottom w:val="none" w:sz="0" w:space="0" w:color="auto"/>
        <w:right w:val="none" w:sz="0" w:space="0" w:color="auto"/>
      </w:divBdr>
      <w:divsChild>
        <w:div w:id="1093934589">
          <w:marLeft w:val="547"/>
          <w:marRight w:val="0"/>
          <w:marTop w:val="0"/>
          <w:marBottom w:val="0"/>
          <w:divBdr>
            <w:top w:val="none" w:sz="0" w:space="0" w:color="auto"/>
            <w:left w:val="none" w:sz="0" w:space="0" w:color="auto"/>
            <w:bottom w:val="none" w:sz="0" w:space="0" w:color="auto"/>
            <w:right w:val="none" w:sz="0" w:space="0" w:color="auto"/>
          </w:divBdr>
        </w:div>
      </w:divsChild>
    </w:div>
    <w:div w:id="67116346">
      <w:bodyDiv w:val="1"/>
      <w:marLeft w:val="0"/>
      <w:marRight w:val="0"/>
      <w:marTop w:val="0"/>
      <w:marBottom w:val="0"/>
      <w:divBdr>
        <w:top w:val="none" w:sz="0" w:space="0" w:color="auto"/>
        <w:left w:val="none" w:sz="0" w:space="0" w:color="auto"/>
        <w:bottom w:val="none" w:sz="0" w:space="0" w:color="auto"/>
        <w:right w:val="none" w:sz="0" w:space="0" w:color="auto"/>
      </w:divBdr>
      <w:divsChild>
        <w:div w:id="29301691">
          <w:marLeft w:val="562"/>
          <w:marRight w:val="0"/>
          <w:marTop w:val="67"/>
          <w:marBottom w:val="0"/>
          <w:divBdr>
            <w:top w:val="none" w:sz="0" w:space="0" w:color="auto"/>
            <w:left w:val="none" w:sz="0" w:space="0" w:color="auto"/>
            <w:bottom w:val="none" w:sz="0" w:space="0" w:color="auto"/>
            <w:right w:val="none" w:sz="0" w:space="0" w:color="auto"/>
          </w:divBdr>
        </w:div>
        <w:div w:id="159661310">
          <w:marLeft w:val="562"/>
          <w:marRight w:val="0"/>
          <w:marTop w:val="67"/>
          <w:marBottom w:val="0"/>
          <w:divBdr>
            <w:top w:val="none" w:sz="0" w:space="0" w:color="auto"/>
            <w:left w:val="none" w:sz="0" w:space="0" w:color="auto"/>
            <w:bottom w:val="none" w:sz="0" w:space="0" w:color="auto"/>
            <w:right w:val="none" w:sz="0" w:space="0" w:color="auto"/>
          </w:divBdr>
        </w:div>
        <w:div w:id="397900498">
          <w:marLeft w:val="274"/>
          <w:marRight w:val="0"/>
          <w:marTop w:val="120"/>
          <w:marBottom w:val="0"/>
          <w:divBdr>
            <w:top w:val="none" w:sz="0" w:space="0" w:color="auto"/>
            <w:left w:val="none" w:sz="0" w:space="0" w:color="auto"/>
            <w:bottom w:val="none" w:sz="0" w:space="0" w:color="auto"/>
            <w:right w:val="none" w:sz="0" w:space="0" w:color="auto"/>
          </w:divBdr>
        </w:div>
        <w:div w:id="1118914631">
          <w:marLeft w:val="562"/>
          <w:marRight w:val="0"/>
          <w:marTop w:val="67"/>
          <w:marBottom w:val="0"/>
          <w:divBdr>
            <w:top w:val="none" w:sz="0" w:space="0" w:color="auto"/>
            <w:left w:val="none" w:sz="0" w:space="0" w:color="auto"/>
            <w:bottom w:val="none" w:sz="0" w:space="0" w:color="auto"/>
            <w:right w:val="none" w:sz="0" w:space="0" w:color="auto"/>
          </w:divBdr>
        </w:div>
        <w:div w:id="1152479381">
          <w:marLeft w:val="274"/>
          <w:marRight w:val="0"/>
          <w:marTop w:val="120"/>
          <w:marBottom w:val="0"/>
          <w:divBdr>
            <w:top w:val="none" w:sz="0" w:space="0" w:color="auto"/>
            <w:left w:val="none" w:sz="0" w:space="0" w:color="auto"/>
            <w:bottom w:val="none" w:sz="0" w:space="0" w:color="auto"/>
            <w:right w:val="none" w:sz="0" w:space="0" w:color="auto"/>
          </w:divBdr>
        </w:div>
        <w:div w:id="1446121874">
          <w:marLeft w:val="274"/>
          <w:marRight w:val="0"/>
          <w:marTop w:val="120"/>
          <w:marBottom w:val="0"/>
          <w:divBdr>
            <w:top w:val="none" w:sz="0" w:space="0" w:color="auto"/>
            <w:left w:val="none" w:sz="0" w:space="0" w:color="auto"/>
            <w:bottom w:val="none" w:sz="0" w:space="0" w:color="auto"/>
            <w:right w:val="none" w:sz="0" w:space="0" w:color="auto"/>
          </w:divBdr>
        </w:div>
      </w:divsChild>
    </w:div>
    <w:div w:id="93670323">
      <w:bodyDiv w:val="1"/>
      <w:marLeft w:val="0"/>
      <w:marRight w:val="0"/>
      <w:marTop w:val="0"/>
      <w:marBottom w:val="0"/>
      <w:divBdr>
        <w:top w:val="none" w:sz="0" w:space="0" w:color="auto"/>
        <w:left w:val="none" w:sz="0" w:space="0" w:color="auto"/>
        <w:bottom w:val="none" w:sz="0" w:space="0" w:color="auto"/>
        <w:right w:val="none" w:sz="0" w:space="0" w:color="auto"/>
      </w:divBdr>
    </w:div>
    <w:div w:id="97062309">
      <w:bodyDiv w:val="1"/>
      <w:marLeft w:val="0"/>
      <w:marRight w:val="0"/>
      <w:marTop w:val="0"/>
      <w:marBottom w:val="0"/>
      <w:divBdr>
        <w:top w:val="none" w:sz="0" w:space="0" w:color="auto"/>
        <w:left w:val="none" w:sz="0" w:space="0" w:color="auto"/>
        <w:bottom w:val="none" w:sz="0" w:space="0" w:color="auto"/>
        <w:right w:val="none" w:sz="0" w:space="0" w:color="auto"/>
      </w:divBdr>
    </w:div>
    <w:div w:id="109907516">
      <w:bodyDiv w:val="1"/>
      <w:marLeft w:val="0"/>
      <w:marRight w:val="0"/>
      <w:marTop w:val="0"/>
      <w:marBottom w:val="0"/>
      <w:divBdr>
        <w:top w:val="none" w:sz="0" w:space="0" w:color="auto"/>
        <w:left w:val="none" w:sz="0" w:space="0" w:color="auto"/>
        <w:bottom w:val="none" w:sz="0" w:space="0" w:color="auto"/>
        <w:right w:val="none" w:sz="0" w:space="0" w:color="auto"/>
      </w:divBdr>
    </w:div>
    <w:div w:id="116529282">
      <w:bodyDiv w:val="1"/>
      <w:marLeft w:val="0"/>
      <w:marRight w:val="0"/>
      <w:marTop w:val="0"/>
      <w:marBottom w:val="0"/>
      <w:divBdr>
        <w:top w:val="none" w:sz="0" w:space="0" w:color="auto"/>
        <w:left w:val="none" w:sz="0" w:space="0" w:color="auto"/>
        <w:bottom w:val="none" w:sz="0" w:space="0" w:color="auto"/>
        <w:right w:val="none" w:sz="0" w:space="0" w:color="auto"/>
      </w:divBdr>
    </w:div>
    <w:div w:id="141505133">
      <w:bodyDiv w:val="1"/>
      <w:marLeft w:val="0"/>
      <w:marRight w:val="0"/>
      <w:marTop w:val="0"/>
      <w:marBottom w:val="0"/>
      <w:divBdr>
        <w:top w:val="none" w:sz="0" w:space="0" w:color="auto"/>
        <w:left w:val="none" w:sz="0" w:space="0" w:color="auto"/>
        <w:bottom w:val="none" w:sz="0" w:space="0" w:color="auto"/>
        <w:right w:val="none" w:sz="0" w:space="0" w:color="auto"/>
      </w:divBdr>
    </w:div>
    <w:div w:id="150146212">
      <w:bodyDiv w:val="1"/>
      <w:marLeft w:val="0"/>
      <w:marRight w:val="0"/>
      <w:marTop w:val="0"/>
      <w:marBottom w:val="0"/>
      <w:divBdr>
        <w:top w:val="none" w:sz="0" w:space="0" w:color="auto"/>
        <w:left w:val="none" w:sz="0" w:space="0" w:color="auto"/>
        <w:bottom w:val="none" w:sz="0" w:space="0" w:color="auto"/>
        <w:right w:val="none" w:sz="0" w:space="0" w:color="auto"/>
      </w:divBdr>
    </w:div>
    <w:div w:id="214003881">
      <w:bodyDiv w:val="1"/>
      <w:marLeft w:val="0"/>
      <w:marRight w:val="0"/>
      <w:marTop w:val="0"/>
      <w:marBottom w:val="0"/>
      <w:divBdr>
        <w:top w:val="none" w:sz="0" w:space="0" w:color="auto"/>
        <w:left w:val="none" w:sz="0" w:space="0" w:color="auto"/>
        <w:bottom w:val="none" w:sz="0" w:space="0" w:color="auto"/>
        <w:right w:val="none" w:sz="0" w:space="0" w:color="auto"/>
      </w:divBdr>
    </w:div>
    <w:div w:id="222567162">
      <w:bodyDiv w:val="1"/>
      <w:marLeft w:val="0"/>
      <w:marRight w:val="0"/>
      <w:marTop w:val="0"/>
      <w:marBottom w:val="0"/>
      <w:divBdr>
        <w:top w:val="none" w:sz="0" w:space="0" w:color="auto"/>
        <w:left w:val="none" w:sz="0" w:space="0" w:color="auto"/>
        <w:bottom w:val="none" w:sz="0" w:space="0" w:color="auto"/>
        <w:right w:val="none" w:sz="0" w:space="0" w:color="auto"/>
      </w:divBdr>
      <w:divsChild>
        <w:div w:id="1934627304">
          <w:marLeft w:val="547"/>
          <w:marRight w:val="0"/>
          <w:marTop w:val="0"/>
          <w:marBottom w:val="0"/>
          <w:divBdr>
            <w:top w:val="none" w:sz="0" w:space="0" w:color="auto"/>
            <w:left w:val="none" w:sz="0" w:space="0" w:color="auto"/>
            <w:bottom w:val="none" w:sz="0" w:space="0" w:color="auto"/>
            <w:right w:val="none" w:sz="0" w:space="0" w:color="auto"/>
          </w:divBdr>
        </w:div>
      </w:divsChild>
    </w:div>
    <w:div w:id="255134714">
      <w:bodyDiv w:val="1"/>
      <w:marLeft w:val="0"/>
      <w:marRight w:val="0"/>
      <w:marTop w:val="0"/>
      <w:marBottom w:val="0"/>
      <w:divBdr>
        <w:top w:val="none" w:sz="0" w:space="0" w:color="auto"/>
        <w:left w:val="none" w:sz="0" w:space="0" w:color="auto"/>
        <w:bottom w:val="none" w:sz="0" w:space="0" w:color="auto"/>
        <w:right w:val="none" w:sz="0" w:space="0" w:color="auto"/>
      </w:divBdr>
    </w:div>
    <w:div w:id="312831615">
      <w:bodyDiv w:val="1"/>
      <w:marLeft w:val="0"/>
      <w:marRight w:val="0"/>
      <w:marTop w:val="0"/>
      <w:marBottom w:val="0"/>
      <w:divBdr>
        <w:top w:val="none" w:sz="0" w:space="0" w:color="auto"/>
        <w:left w:val="none" w:sz="0" w:space="0" w:color="auto"/>
        <w:bottom w:val="none" w:sz="0" w:space="0" w:color="auto"/>
        <w:right w:val="none" w:sz="0" w:space="0" w:color="auto"/>
      </w:divBdr>
    </w:div>
    <w:div w:id="318655922">
      <w:bodyDiv w:val="1"/>
      <w:marLeft w:val="0"/>
      <w:marRight w:val="0"/>
      <w:marTop w:val="0"/>
      <w:marBottom w:val="0"/>
      <w:divBdr>
        <w:top w:val="none" w:sz="0" w:space="0" w:color="auto"/>
        <w:left w:val="none" w:sz="0" w:space="0" w:color="auto"/>
        <w:bottom w:val="none" w:sz="0" w:space="0" w:color="auto"/>
        <w:right w:val="none" w:sz="0" w:space="0" w:color="auto"/>
      </w:divBdr>
    </w:div>
    <w:div w:id="321088581">
      <w:bodyDiv w:val="1"/>
      <w:marLeft w:val="0"/>
      <w:marRight w:val="0"/>
      <w:marTop w:val="0"/>
      <w:marBottom w:val="0"/>
      <w:divBdr>
        <w:top w:val="none" w:sz="0" w:space="0" w:color="auto"/>
        <w:left w:val="none" w:sz="0" w:space="0" w:color="auto"/>
        <w:bottom w:val="none" w:sz="0" w:space="0" w:color="auto"/>
        <w:right w:val="none" w:sz="0" w:space="0" w:color="auto"/>
      </w:divBdr>
    </w:div>
    <w:div w:id="323168312">
      <w:bodyDiv w:val="1"/>
      <w:marLeft w:val="0"/>
      <w:marRight w:val="0"/>
      <w:marTop w:val="0"/>
      <w:marBottom w:val="0"/>
      <w:divBdr>
        <w:top w:val="none" w:sz="0" w:space="0" w:color="auto"/>
        <w:left w:val="none" w:sz="0" w:space="0" w:color="auto"/>
        <w:bottom w:val="none" w:sz="0" w:space="0" w:color="auto"/>
        <w:right w:val="none" w:sz="0" w:space="0" w:color="auto"/>
      </w:divBdr>
      <w:divsChild>
        <w:div w:id="323438993">
          <w:marLeft w:val="274"/>
          <w:marRight w:val="0"/>
          <w:marTop w:val="120"/>
          <w:marBottom w:val="0"/>
          <w:divBdr>
            <w:top w:val="none" w:sz="0" w:space="0" w:color="auto"/>
            <w:left w:val="none" w:sz="0" w:space="0" w:color="auto"/>
            <w:bottom w:val="none" w:sz="0" w:space="0" w:color="auto"/>
            <w:right w:val="none" w:sz="0" w:space="0" w:color="auto"/>
          </w:divBdr>
        </w:div>
        <w:div w:id="605891898">
          <w:marLeft w:val="274"/>
          <w:marRight w:val="0"/>
          <w:marTop w:val="120"/>
          <w:marBottom w:val="0"/>
          <w:divBdr>
            <w:top w:val="none" w:sz="0" w:space="0" w:color="auto"/>
            <w:left w:val="none" w:sz="0" w:space="0" w:color="auto"/>
            <w:bottom w:val="none" w:sz="0" w:space="0" w:color="auto"/>
            <w:right w:val="none" w:sz="0" w:space="0" w:color="auto"/>
          </w:divBdr>
        </w:div>
        <w:div w:id="642319462">
          <w:marLeft w:val="562"/>
          <w:marRight w:val="0"/>
          <w:marTop w:val="67"/>
          <w:marBottom w:val="0"/>
          <w:divBdr>
            <w:top w:val="none" w:sz="0" w:space="0" w:color="auto"/>
            <w:left w:val="none" w:sz="0" w:space="0" w:color="auto"/>
            <w:bottom w:val="none" w:sz="0" w:space="0" w:color="auto"/>
            <w:right w:val="none" w:sz="0" w:space="0" w:color="auto"/>
          </w:divBdr>
        </w:div>
        <w:div w:id="1587494853">
          <w:marLeft w:val="274"/>
          <w:marRight w:val="0"/>
          <w:marTop w:val="120"/>
          <w:marBottom w:val="0"/>
          <w:divBdr>
            <w:top w:val="none" w:sz="0" w:space="0" w:color="auto"/>
            <w:left w:val="none" w:sz="0" w:space="0" w:color="auto"/>
            <w:bottom w:val="none" w:sz="0" w:space="0" w:color="auto"/>
            <w:right w:val="none" w:sz="0" w:space="0" w:color="auto"/>
          </w:divBdr>
        </w:div>
      </w:divsChild>
    </w:div>
    <w:div w:id="414211730">
      <w:bodyDiv w:val="1"/>
      <w:marLeft w:val="0"/>
      <w:marRight w:val="0"/>
      <w:marTop w:val="0"/>
      <w:marBottom w:val="0"/>
      <w:divBdr>
        <w:top w:val="none" w:sz="0" w:space="0" w:color="auto"/>
        <w:left w:val="none" w:sz="0" w:space="0" w:color="auto"/>
        <w:bottom w:val="none" w:sz="0" w:space="0" w:color="auto"/>
        <w:right w:val="none" w:sz="0" w:space="0" w:color="auto"/>
      </w:divBdr>
    </w:div>
    <w:div w:id="438180496">
      <w:bodyDiv w:val="1"/>
      <w:marLeft w:val="0"/>
      <w:marRight w:val="0"/>
      <w:marTop w:val="0"/>
      <w:marBottom w:val="0"/>
      <w:divBdr>
        <w:top w:val="none" w:sz="0" w:space="0" w:color="auto"/>
        <w:left w:val="none" w:sz="0" w:space="0" w:color="auto"/>
        <w:bottom w:val="none" w:sz="0" w:space="0" w:color="auto"/>
        <w:right w:val="none" w:sz="0" w:space="0" w:color="auto"/>
      </w:divBdr>
      <w:divsChild>
        <w:div w:id="706806148">
          <w:marLeft w:val="288"/>
          <w:marRight w:val="0"/>
          <w:marTop w:val="240"/>
          <w:marBottom w:val="0"/>
          <w:divBdr>
            <w:top w:val="none" w:sz="0" w:space="0" w:color="auto"/>
            <w:left w:val="none" w:sz="0" w:space="0" w:color="auto"/>
            <w:bottom w:val="none" w:sz="0" w:space="0" w:color="auto"/>
            <w:right w:val="none" w:sz="0" w:space="0" w:color="auto"/>
          </w:divBdr>
        </w:div>
      </w:divsChild>
    </w:div>
    <w:div w:id="461965951">
      <w:bodyDiv w:val="1"/>
      <w:marLeft w:val="0"/>
      <w:marRight w:val="0"/>
      <w:marTop w:val="0"/>
      <w:marBottom w:val="0"/>
      <w:divBdr>
        <w:top w:val="none" w:sz="0" w:space="0" w:color="auto"/>
        <w:left w:val="none" w:sz="0" w:space="0" w:color="auto"/>
        <w:bottom w:val="none" w:sz="0" w:space="0" w:color="auto"/>
        <w:right w:val="none" w:sz="0" w:space="0" w:color="auto"/>
      </w:divBdr>
    </w:div>
    <w:div w:id="480465209">
      <w:bodyDiv w:val="1"/>
      <w:marLeft w:val="0"/>
      <w:marRight w:val="0"/>
      <w:marTop w:val="0"/>
      <w:marBottom w:val="0"/>
      <w:divBdr>
        <w:top w:val="none" w:sz="0" w:space="0" w:color="auto"/>
        <w:left w:val="none" w:sz="0" w:space="0" w:color="auto"/>
        <w:bottom w:val="none" w:sz="0" w:space="0" w:color="auto"/>
        <w:right w:val="none" w:sz="0" w:space="0" w:color="auto"/>
      </w:divBdr>
      <w:divsChild>
        <w:div w:id="742414970">
          <w:marLeft w:val="446"/>
          <w:marRight w:val="0"/>
          <w:marTop w:val="0"/>
          <w:marBottom w:val="0"/>
          <w:divBdr>
            <w:top w:val="none" w:sz="0" w:space="0" w:color="auto"/>
            <w:left w:val="none" w:sz="0" w:space="0" w:color="auto"/>
            <w:bottom w:val="none" w:sz="0" w:space="0" w:color="auto"/>
            <w:right w:val="none" w:sz="0" w:space="0" w:color="auto"/>
          </w:divBdr>
        </w:div>
      </w:divsChild>
    </w:div>
    <w:div w:id="524948146">
      <w:bodyDiv w:val="1"/>
      <w:marLeft w:val="0"/>
      <w:marRight w:val="0"/>
      <w:marTop w:val="0"/>
      <w:marBottom w:val="0"/>
      <w:divBdr>
        <w:top w:val="none" w:sz="0" w:space="0" w:color="auto"/>
        <w:left w:val="none" w:sz="0" w:space="0" w:color="auto"/>
        <w:bottom w:val="none" w:sz="0" w:space="0" w:color="auto"/>
        <w:right w:val="none" w:sz="0" w:space="0" w:color="auto"/>
      </w:divBdr>
      <w:divsChild>
        <w:div w:id="186917274">
          <w:marLeft w:val="288"/>
          <w:marRight w:val="0"/>
          <w:marTop w:val="240"/>
          <w:marBottom w:val="0"/>
          <w:divBdr>
            <w:top w:val="none" w:sz="0" w:space="0" w:color="auto"/>
            <w:left w:val="none" w:sz="0" w:space="0" w:color="auto"/>
            <w:bottom w:val="none" w:sz="0" w:space="0" w:color="auto"/>
            <w:right w:val="none" w:sz="0" w:space="0" w:color="auto"/>
          </w:divBdr>
        </w:div>
      </w:divsChild>
    </w:div>
    <w:div w:id="551311544">
      <w:bodyDiv w:val="1"/>
      <w:marLeft w:val="0"/>
      <w:marRight w:val="0"/>
      <w:marTop w:val="0"/>
      <w:marBottom w:val="0"/>
      <w:divBdr>
        <w:top w:val="none" w:sz="0" w:space="0" w:color="auto"/>
        <w:left w:val="none" w:sz="0" w:space="0" w:color="auto"/>
        <w:bottom w:val="none" w:sz="0" w:space="0" w:color="auto"/>
        <w:right w:val="none" w:sz="0" w:space="0" w:color="auto"/>
      </w:divBdr>
      <w:divsChild>
        <w:div w:id="1404110068">
          <w:marLeft w:val="806"/>
          <w:marRight w:val="0"/>
          <w:marTop w:val="240"/>
          <w:marBottom w:val="0"/>
          <w:divBdr>
            <w:top w:val="none" w:sz="0" w:space="0" w:color="auto"/>
            <w:left w:val="none" w:sz="0" w:space="0" w:color="auto"/>
            <w:bottom w:val="none" w:sz="0" w:space="0" w:color="auto"/>
            <w:right w:val="none" w:sz="0" w:space="0" w:color="auto"/>
          </w:divBdr>
        </w:div>
        <w:div w:id="1871721703">
          <w:marLeft w:val="806"/>
          <w:marRight w:val="0"/>
          <w:marTop w:val="240"/>
          <w:marBottom w:val="0"/>
          <w:divBdr>
            <w:top w:val="none" w:sz="0" w:space="0" w:color="auto"/>
            <w:left w:val="none" w:sz="0" w:space="0" w:color="auto"/>
            <w:bottom w:val="none" w:sz="0" w:space="0" w:color="auto"/>
            <w:right w:val="none" w:sz="0" w:space="0" w:color="auto"/>
          </w:divBdr>
        </w:div>
        <w:div w:id="1303192784">
          <w:marLeft w:val="806"/>
          <w:marRight w:val="0"/>
          <w:marTop w:val="240"/>
          <w:marBottom w:val="0"/>
          <w:divBdr>
            <w:top w:val="none" w:sz="0" w:space="0" w:color="auto"/>
            <w:left w:val="none" w:sz="0" w:space="0" w:color="auto"/>
            <w:bottom w:val="none" w:sz="0" w:space="0" w:color="auto"/>
            <w:right w:val="none" w:sz="0" w:space="0" w:color="auto"/>
          </w:divBdr>
        </w:div>
        <w:div w:id="307905858">
          <w:marLeft w:val="806"/>
          <w:marRight w:val="0"/>
          <w:marTop w:val="240"/>
          <w:marBottom w:val="0"/>
          <w:divBdr>
            <w:top w:val="none" w:sz="0" w:space="0" w:color="auto"/>
            <w:left w:val="none" w:sz="0" w:space="0" w:color="auto"/>
            <w:bottom w:val="none" w:sz="0" w:space="0" w:color="auto"/>
            <w:right w:val="none" w:sz="0" w:space="0" w:color="auto"/>
          </w:divBdr>
        </w:div>
        <w:div w:id="1045329015">
          <w:marLeft w:val="806"/>
          <w:marRight w:val="0"/>
          <w:marTop w:val="240"/>
          <w:marBottom w:val="0"/>
          <w:divBdr>
            <w:top w:val="none" w:sz="0" w:space="0" w:color="auto"/>
            <w:left w:val="none" w:sz="0" w:space="0" w:color="auto"/>
            <w:bottom w:val="none" w:sz="0" w:space="0" w:color="auto"/>
            <w:right w:val="none" w:sz="0" w:space="0" w:color="auto"/>
          </w:divBdr>
        </w:div>
      </w:divsChild>
    </w:div>
    <w:div w:id="569198612">
      <w:bodyDiv w:val="1"/>
      <w:marLeft w:val="0"/>
      <w:marRight w:val="0"/>
      <w:marTop w:val="0"/>
      <w:marBottom w:val="0"/>
      <w:divBdr>
        <w:top w:val="none" w:sz="0" w:space="0" w:color="auto"/>
        <w:left w:val="none" w:sz="0" w:space="0" w:color="auto"/>
        <w:bottom w:val="none" w:sz="0" w:space="0" w:color="auto"/>
        <w:right w:val="none" w:sz="0" w:space="0" w:color="auto"/>
      </w:divBdr>
    </w:div>
    <w:div w:id="589629252">
      <w:bodyDiv w:val="1"/>
      <w:marLeft w:val="0"/>
      <w:marRight w:val="0"/>
      <w:marTop w:val="0"/>
      <w:marBottom w:val="0"/>
      <w:divBdr>
        <w:top w:val="none" w:sz="0" w:space="0" w:color="auto"/>
        <w:left w:val="none" w:sz="0" w:space="0" w:color="auto"/>
        <w:bottom w:val="none" w:sz="0" w:space="0" w:color="auto"/>
        <w:right w:val="none" w:sz="0" w:space="0" w:color="auto"/>
      </w:divBdr>
    </w:div>
    <w:div w:id="653411491">
      <w:bodyDiv w:val="1"/>
      <w:marLeft w:val="0"/>
      <w:marRight w:val="0"/>
      <w:marTop w:val="0"/>
      <w:marBottom w:val="0"/>
      <w:divBdr>
        <w:top w:val="none" w:sz="0" w:space="0" w:color="auto"/>
        <w:left w:val="none" w:sz="0" w:space="0" w:color="auto"/>
        <w:bottom w:val="none" w:sz="0" w:space="0" w:color="auto"/>
        <w:right w:val="none" w:sz="0" w:space="0" w:color="auto"/>
      </w:divBdr>
    </w:div>
    <w:div w:id="656686122">
      <w:bodyDiv w:val="1"/>
      <w:marLeft w:val="0"/>
      <w:marRight w:val="0"/>
      <w:marTop w:val="0"/>
      <w:marBottom w:val="0"/>
      <w:divBdr>
        <w:top w:val="none" w:sz="0" w:space="0" w:color="auto"/>
        <w:left w:val="none" w:sz="0" w:space="0" w:color="auto"/>
        <w:bottom w:val="none" w:sz="0" w:space="0" w:color="auto"/>
        <w:right w:val="none" w:sz="0" w:space="0" w:color="auto"/>
      </w:divBdr>
    </w:div>
    <w:div w:id="662243667">
      <w:bodyDiv w:val="1"/>
      <w:marLeft w:val="0"/>
      <w:marRight w:val="0"/>
      <w:marTop w:val="0"/>
      <w:marBottom w:val="0"/>
      <w:divBdr>
        <w:top w:val="none" w:sz="0" w:space="0" w:color="auto"/>
        <w:left w:val="none" w:sz="0" w:space="0" w:color="auto"/>
        <w:bottom w:val="none" w:sz="0" w:space="0" w:color="auto"/>
        <w:right w:val="none" w:sz="0" w:space="0" w:color="auto"/>
      </w:divBdr>
      <w:divsChild>
        <w:div w:id="549420305">
          <w:marLeft w:val="547"/>
          <w:marRight w:val="0"/>
          <w:marTop w:val="0"/>
          <w:marBottom w:val="0"/>
          <w:divBdr>
            <w:top w:val="none" w:sz="0" w:space="0" w:color="auto"/>
            <w:left w:val="none" w:sz="0" w:space="0" w:color="auto"/>
            <w:bottom w:val="none" w:sz="0" w:space="0" w:color="auto"/>
            <w:right w:val="none" w:sz="0" w:space="0" w:color="auto"/>
          </w:divBdr>
        </w:div>
      </w:divsChild>
    </w:div>
    <w:div w:id="665861141">
      <w:bodyDiv w:val="1"/>
      <w:marLeft w:val="0"/>
      <w:marRight w:val="0"/>
      <w:marTop w:val="0"/>
      <w:marBottom w:val="0"/>
      <w:divBdr>
        <w:top w:val="none" w:sz="0" w:space="0" w:color="auto"/>
        <w:left w:val="none" w:sz="0" w:space="0" w:color="auto"/>
        <w:bottom w:val="none" w:sz="0" w:space="0" w:color="auto"/>
        <w:right w:val="none" w:sz="0" w:space="0" w:color="auto"/>
      </w:divBdr>
      <w:divsChild>
        <w:div w:id="278996889">
          <w:marLeft w:val="274"/>
          <w:marRight w:val="0"/>
          <w:marTop w:val="120"/>
          <w:marBottom w:val="0"/>
          <w:divBdr>
            <w:top w:val="none" w:sz="0" w:space="0" w:color="auto"/>
            <w:left w:val="none" w:sz="0" w:space="0" w:color="auto"/>
            <w:bottom w:val="none" w:sz="0" w:space="0" w:color="auto"/>
            <w:right w:val="none" w:sz="0" w:space="0" w:color="auto"/>
          </w:divBdr>
        </w:div>
        <w:div w:id="302740203">
          <w:marLeft w:val="274"/>
          <w:marRight w:val="0"/>
          <w:marTop w:val="120"/>
          <w:marBottom w:val="0"/>
          <w:divBdr>
            <w:top w:val="none" w:sz="0" w:space="0" w:color="auto"/>
            <w:left w:val="none" w:sz="0" w:space="0" w:color="auto"/>
            <w:bottom w:val="none" w:sz="0" w:space="0" w:color="auto"/>
            <w:right w:val="none" w:sz="0" w:space="0" w:color="auto"/>
          </w:divBdr>
        </w:div>
        <w:div w:id="356857712">
          <w:marLeft w:val="274"/>
          <w:marRight w:val="0"/>
          <w:marTop w:val="120"/>
          <w:marBottom w:val="0"/>
          <w:divBdr>
            <w:top w:val="none" w:sz="0" w:space="0" w:color="auto"/>
            <w:left w:val="none" w:sz="0" w:space="0" w:color="auto"/>
            <w:bottom w:val="none" w:sz="0" w:space="0" w:color="auto"/>
            <w:right w:val="none" w:sz="0" w:space="0" w:color="auto"/>
          </w:divBdr>
        </w:div>
        <w:div w:id="757946871">
          <w:marLeft w:val="562"/>
          <w:marRight w:val="0"/>
          <w:marTop w:val="67"/>
          <w:marBottom w:val="0"/>
          <w:divBdr>
            <w:top w:val="none" w:sz="0" w:space="0" w:color="auto"/>
            <w:left w:val="none" w:sz="0" w:space="0" w:color="auto"/>
            <w:bottom w:val="none" w:sz="0" w:space="0" w:color="auto"/>
            <w:right w:val="none" w:sz="0" w:space="0" w:color="auto"/>
          </w:divBdr>
        </w:div>
        <w:div w:id="800150805">
          <w:marLeft w:val="562"/>
          <w:marRight w:val="0"/>
          <w:marTop w:val="67"/>
          <w:marBottom w:val="0"/>
          <w:divBdr>
            <w:top w:val="none" w:sz="0" w:space="0" w:color="auto"/>
            <w:left w:val="none" w:sz="0" w:space="0" w:color="auto"/>
            <w:bottom w:val="none" w:sz="0" w:space="0" w:color="auto"/>
            <w:right w:val="none" w:sz="0" w:space="0" w:color="auto"/>
          </w:divBdr>
        </w:div>
        <w:div w:id="1099982681">
          <w:marLeft w:val="562"/>
          <w:marRight w:val="0"/>
          <w:marTop w:val="67"/>
          <w:marBottom w:val="0"/>
          <w:divBdr>
            <w:top w:val="none" w:sz="0" w:space="0" w:color="auto"/>
            <w:left w:val="none" w:sz="0" w:space="0" w:color="auto"/>
            <w:bottom w:val="none" w:sz="0" w:space="0" w:color="auto"/>
            <w:right w:val="none" w:sz="0" w:space="0" w:color="auto"/>
          </w:divBdr>
        </w:div>
        <w:div w:id="1689796635">
          <w:marLeft w:val="274"/>
          <w:marRight w:val="0"/>
          <w:marTop w:val="120"/>
          <w:marBottom w:val="0"/>
          <w:divBdr>
            <w:top w:val="none" w:sz="0" w:space="0" w:color="auto"/>
            <w:left w:val="none" w:sz="0" w:space="0" w:color="auto"/>
            <w:bottom w:val="none" w:sz="0" w:space="0" w:color="auto"/>
            <w:right w:val="none" w:sz="0" w:space="0" w:color="auto"/>
          </w:divBdr>
        </w:div>
        <w:div w:id="1814180657">
          <w:marLeft w:val="274"/>
          <w:marRight w:val="0"/>
          <w:marTop w:val="120"/>
          <w:marBottom w:val="0"/>
          <w:divBdr>
            <w:top w:val="none" w:sz="0" w:space="0" w:color="auto"/>
            <w:left w:val="none" w:sz="0" w:space="0" w:color="auto"/>
            <w:bottom w:val="none" w:sz="0" w:space="0" w:color="auto"/>
            <w:right w:val="none" w:sz="0" w:space="0" w:color="auto"/>
          </w:divBdr>
        </w:div>
        <w:div w:id="1912424526">
          <w:marLeft w:val="562"/>
          <w:marRight w:val="0"/>
          <w:marTop w:val="67"/>
          <w:marBottom w:val="0"/>
          <w:divBdr>
            <w:top w:val="none" w:sz="0" w:space="0" w:color="auto"/>
            <w:left w:val="none" w:sz="0" w:space="0" w:color="auto"/>
            <w:bottom w:val="none" w:sz="0" w:space="0" w:color="auto"/>
            <w:right w:val="none" w:sz="0" w:space="0" w:color="auto"/>
          </w:divBdr>
        </w:div>
      </w:divsChild>
    </w:div>
    <w:div w:id="686911115">
      <w:bodyDiv w:val="1"/>
      <w:marLeft w:val="0"/>
      <w:marRight w:val="0"/>
      <w:marTop w:val="0"/>
      <w:marBottom w:val="0"/>
      <w:divBdr>
        <w:top w:val="none" w:sz="0" w:space="0" w:color="auto"/>
        <w:left w:val="none" w:sz="0" w:space="0" w:color="auto"/>
        <w:bottom w:val="none" w:sz="0" w:space="0" w:color="auto"/>
        <w:right w:val="none" w:sz="0" w:space="0" w:color="auto"/>
      </w:divBdr>
    </w:div>
    <w:div w:id="708384256">
      <w:bodyDiv w:val="1"/>
      <w:marLeft w:val="0"/>
      <w:marRight w:val="0"/>
      <w:marTop w:val="0"/>
      <w:marBottom w:val="0"/>
      <w:divBdr>
        <w:top w:val="none" w:sz="0" w:space="0" w:color="auto"/>
        <w:left w:val="none" w:sz="0" w:space="0" w:color="auto"/>
        <w:bottom w:val="none" w:sz="0" w:space="0" w:color="auto"/>
        <w:right w:val="none" w:sz="0" w:space="0" w:color="auto"/>
      </w:divBdr>
      <w:divsChild>
        <w:div w:id="254361108">
          <w:marLeft w:val="547"/>
          <w:marRight w:val="0"/>
          <w:marTop w:val="0"/>
          <w:marBottom w:val="0"/>
          <w:divBdr>
            <w:top w:val="none" w:sz="0" w:space="0" w:color="auto"/>
            <w:left w:val="none" w:sz="0" w:space="0" w:color="auto"/>
            <w:bottom w:val="none" w:sz="0" w:space="0" w:color="auto"/>
            <w:right w:val="none" w:sz="0" w:space="0" w:color="auto"/>
          </w:divBdr>
        </w:div>
      </w:divsChild>
    </w:div>
    <w:div w:id="712270947">
      <w:bodyDiv w:val="1"/>
      <w:marLeft w:val="0"/>
      <w:marRight w:val="0"/>
      <w:marTop w:val="0"/>
      <w:marBottom w:val="0"/>
      <w:divBdr>
        <w:top w:val="none" w:sz="0" w:space="0" w:color="auto"/>
        <w:left w:val="none" w:sz="0" w:space="0" w:color="auto"/>
        <w:bottom w:val="none" w:sz="0" w:space="0" w:color="auto"/>
        <w:right w:val="none" w:sz="0" w:space="0" w:color="auto"/>
      </w:divBdr>
      <w:divsChild>
        <w:div w:id="1642929222">
          <w:marLeft w:val="1166"/>
          <w:marRight w:val="0"/>
          <w:marTop w:val="0"/>
          <w:marBottom w:val="0"/>
          <w:divBdr>
            <w:top w:val="none" w:sz="0" w:space="0" w:color="auto"/>
            <w:left w:val="none" w:sz="0" w:space="0" w:color="auto"/>
            <w:bottom w:val="none" w:sz="0" w:space="0" w:color="auto"/>
            <w:right w:val="none" w:sz="0" w:space="0" w:color="auto"/>
          </w:divBdr>
        </w:div>
      </w:divsChild>
    </w:div>
    <w:div w:id="746197572">
      <w:bodyDiv w:val="1"/>
      <w:marLeft w:val="0"/>
      <w:marRight w:val="0"/>
      <w:marTop w:val="0"/>
      <w:marBottom w:val="0"/>
      <w:divBdr>
        <w:top w:val="none" w:sz="0" w:space="0" w:color="auto"/>
        <w:left w:val="none" w:sz="0" w:space="0" w:color="auto"/>
        <w:bottom w:val="none" w:sz="0" w:space="0" w:color="auto"/>
        <w:right w:val="none" w:sz="0" w:space="0" w:color="auto"/>
      </w:divBdr>
      <w:divsChild>
        <w:div w:id="408842576">
          <w:marLeft w:val="274"/>
          <w:marRight w:val="0"/>
          <w:marTop w:val="120"/>
          <w:marBottom w:val="0"/>
          <w:divBdr>
            <w:top w:val="none" w:sz="0" w:space="0" w:color="auto"/>
            <w:left w:val="none" w:sz="0" w:space="0" w:color="auto"/>
            <w:bottom w:val="none" w:sz="0" w:space="0" w:color="auto"/>
            <w:right w:val="none" w:sz="0" w:space="0" w:color="auto"/>
          </w:divBdr>
        </w:div>
        <w:div w:id="528875964">
          <w:marLeft w:val="274"/>
          <w:marRight w:val="0"/>
          <w:marTop w:val="120"/>
          <w:marBottom w:val="0"/>
          <w:divBdr>
            <w:top w:val="none" w:sz="0" w:space="0" w:color="auto"/>
            <w:left w:val="none" w:sz="0" w:space="0" w:color="auto"/>
            <w:bottom w:val="none" w:sz="0" w:space="0" w:color="auto"/>
            <w:right w:val="none" w:sz="0" w:space="0" w:color="auto"/>
          </w:divBdr>
        </w:div>
        <w:div w:id="1909222634">
          <w:marLeft w:val="274"/>
          <w:marRight w:val="0"/>
          <w:marTop w:val="120"/>
          <w:marBottom w:val="0"/>
          <w:divBdr>
            <w:top w:val="none" w:sz="0" w:space="0" w:color="auto"/>
            <w:left w:val="none" w:sz="0" w:space="0" w:color="auto"/>
            <w:bottom w:val="none" w:sz="0" w:space="0" w:color="auto"/>
            <w:right w:val="none" w:sz="0" w:space="0" w:color="auto"/>
          </w:divBdr>
        </w:div>
      </w:divsChild>
    </w:div>
    <w:div w:id="750128101">
      <w:marLeft w:val="0"/>
      <w:marRight w:val="0"/>
      <w:marTop w:val="0"/>
      <w:marBottom w:val="0"/>
      <w:divBdr>
        <w:top w:val="none" w:sz="0" w:space="0" w:color="auto"/>
        <w:left w:val="none" w:sz="0" w:space="0" w:color="auto"/>
        <w:bottom w:val="none" w:sz="0" w:space="0" w:color="auto"/>
        <w:right w:val="none" w:sz="0" w:space="0" w:color="auto"/>
      </w:divBdr>
    </w:div>
    <w:div w:id="750128102">
      <w:marLeft w:val="0"/>
      <w:marRight w:val="0"/>
      <w:marTop w:val="0"/>
      <w:marBottom w:val="0"/>
      <w:divBdr>
        <w:top w:val="none" w:sz="0" w:space="0" w:color="auto"/>
        <w:left w:val="none" w:sz="0" w:space="0" w:color="auto"/>
        <w:bottom w:val="none" w:sz="0" w:space="0" w:color="auto"/>
        <w:right w:val="none" w:sz="0" w:space="0" w:color="auto"/>
      </w:divBdr>
    </w:div>
    <w:div w:id="750128103">
      <w:marLeft w:val="0"/>
      <w:marRight w:val="0"/>
      <w:marTop w:val="0"/>
      <w:marBottom w:val="0"/>
      <w:divBdr>
        <w:top w:val="none" w:sz="0" w:space="0" w:color="auto"/>
        <w:left w:val="none" w:sz="0" w:space="0" w:color="auto"/>
        <w:bottom w:val="none" w:sz="0" w:space="0" w:color="auto"/>
        <w:right w:val="none" w:sz="0" w:space="0" w:color="auto"/>
      </w:divBdr>
    </w:div>
    <w:div w:id="750128106">
      <w:marLeft w:val="0"/>
      <w:marRight w:val="0"/>
      <w:marTop w:val="0"/>
      <w:marBottom w:val="0"/>
      <w:divBdr>
        <w:top w:val="none" w:sz="0" w:space="0" w:color="auto"/>
        <w:left w:val="none" w:sz="0" w:space="0" w:color="auto"/>
        <w:bottom w:val="none" w:sz="0" w:space="0" w:color="auto"/>
        <w:right w:val="none" w:sz="0" w:space="0" w:color="auto"/>
      </w:divBdr>
    </w:div>
    <w:div w:id="750128107">
      <w:marLeft w:val="0"/>
      <w:marRight w:val="0"/>
      <w:marTop w:val="0"/>
      <w:marBottom w:val="0"/>
      <w:divBdr>
        <w:top w:val="none" w:sz="0" w:space="0" w:color="auto"/>
        <w:left w:val="none" w:sz="0" w:space="0" w:color="auto"/>
        <w:bottom w:val="none" w:sz="0" w:space="0" w:color="auto"/>
        <w:right w:val="none" w:sz="0" w:space="0" w:color="auto"/>
      </w:divBdr>
    </w:div>
    <w:div w:id="750128108">
      <w:marLeft w:val="0"/>
      <w:marRight w:val="0"/>
      <w:marTop w:val="0"/>
      <w:marBottom w:val="0"/>
      <w:divBdr>
        <w:top w:val="none" w:sz="0" w:space="0" w:color="auto"/>
        <w:left w:val="none" w:sz="0" w:space="0" w:color="auto"/>
        <w:bottom w:val="none" w:sz="0" w:space="0" w:color="auto"/>
        <w:right w:val="none" w:sz="0" w:space="0" w:color="auto"/>
      </w:divBdr>
    </w:div>
    <w:div w:id="750128109">
      <w:marLeft w:val="0"/>
      <w:marRight w:val="0"/>
      <w:marTop w:val="0"/>
      <w:marBottom w:val="0"/>
      <w:divBdr>
        <w:top w:val="none" w:sz="0" w:space="0" w:color="auto"/>
        <w:left w:val="none" w:sz="0" w:space="0" w:color="auto"/>
        <w:bottom w:val="none" w:sz="0" w:space="0" w:color="auto"/>
        <w:right w:val="none" w:sz="0" w:space="0" w:color="auto"/>
      </w:divBdr>
    </w:div>
    <w:div w:id="750128112">
      <w:marLeft w:val="0"/>
      <w:marRight w:val="0"/>
      <w:marTop w:val="0"/>
      <w:marBottom w:val="0"/>
      <w:divBdr>
        <w:top w:val="none" w:sz="0" w:space="0" w:color="auto"/>
        <w:left w:val="none" w:sz="0" w:space="0" w:color="auto"/>
        <w:bottom w:val="none" w:sz="0" w:space="0" w:color="auto"/>
        <w:right w:val="none" w:sz="0" w:space="0" w:color="auto"/>
      </w:divBdr>
    </w:div>
    <w:div w:id="750128113">
      <w:marLeft w:val="0"/>
      <w:marRight w:val="0"/>
      <w:marTop w:val="0"/>
      <w:marBottom w:val="0"/>
      <w:divBdr>
        <w:top w:val="none" w:sz="0" w:space="0" w:color="auto"/>
        <w:left w:val="none" w:sz="0" w:space="0" w:color="auto"/>
        <w:bottom w:val="none" w:sz="0" w:space="0" w:color="auto"/>
        <w:right w:val="none" w:sz="0" w:space="0" w:color="auto"/>
      </w:divBdr>
    </w:div>
    <w:div w:id="750128114">
      <w:marLeft w:val="0"/>
      <w:marRight w:val="0"/>
      <w:marTop w:val="0"/>
      <w:marBottom w:val="0"/>
      <w:divBdr>
        <w:top w:val="none" w:sz="0" w:space="0" w:color="auto"/>
        <w:left w:val="none" w:sz="0" w:space="0" w:color="auto"/>
        <w:bottom w:val="none" w:sz="0" w:space="0" w:color="auto"/>
        <w:right w:val="none" w:sz="0" w:space="0" w:color="auto"/>
      </w:divBdr>
    </w:div>
    <w:div w:id="750128116">
      <w:marLeft w:val="0"/>
      <w:marRight w:val="0"/>
      <w:marTop w:val="0"/>
      <w:marBottom w:val="0"/>
      <w:divBdr>
        <w:top w:val="none" w:sz="0" w:space="0" w:color="auto"/>
        <w:left w:val="none" w:sz="0" w:space="0" w:color="auto"/>
        <w:bottom w:val="none" w:sz="0" w:space="0" w:color="auto"/>
        <w:right w:val="none" w:sz="0" w:space="0" w:color="auto"/>
      </w:divBdr>
    </w:div>
    <w:div w:id="750128118">
      <w:marLeft w:val="0"/>
      <w:marRight w:val="0"/>
      <w:marTop w:val="0"/>
      <w:marBottom w:val="0"/>
      <w:divBdr>
        <w:top w:val="none" w:sz="0" w:space="0" w:color="auto"/>
        <w:left w:val="none" w:sz="0" w:space="0" w:color="auto"/>
        <w:bottom w:val="none" w:sz="0" w:space="0" w:color="auto"/>
        <w:right w:val="none" w:sz="0" w:space="0" w:color="auto"/>
      </w:divBdr>
      <w:divsChild>
        <w:div w:id="750128105">
          <w:marLeft w:val="547"/>
          <w:marRight w:val="0"/>
          <w:marTop w:val="0"/>
          <w:marBottom w:val="0"/>
          <w:divBdr>
            <w:top w:val="none" w:sz="0" w:space="0" w:color="auto"/>
            <w:left w:val="none" w:sz="0" w:space="0" w:color="auto"/>
            <w:bottom w:val="none" w:sz="0" w:space="0" w:color="auto"/>
            <w:right w:val="none" w:sz="0" w:space="0" w:color="auto"/>
          </w:divBdr>
        </w:div>
      </w:divsChild>
    </w:div>
    <w:div w:id="750128119">
      <w:marLeft w:val="0"/>
      <w:marRight w:val="0"/>
      <w:marTop w:val="0"/>
      <w:marBottom w:val="0"/>
      <w:divBdr>
        <w:top w:val="none" w:sz="0" w:space="0" w:color="auto"/>
        <w:left w:val="none" w:sz="0" w:space="0" w:color="auto"/>
        <w:bottom w:val="none" w:sz="0" w:space="0" w:color="auto"/>
        <w:right w:val="none" w:sz="0" w:space="0" w:color="auto"/>
      </w:divBdr>
    </w:div>
    <w:div w:id="750128120">
      <w:marLeft w:val="0"/>
      <w:marRight w:val="0"/>
      <w:marTop w:val="0"/>
      <w:marBottom w:val="0"/>
      <w:divBdr>
        <w:top w:val="none" w:sz="0" w:space="0" w:color="auto"/>
        <w:left w:val="none" w:sz="0" w:space="0" w:color="auto"/>
        <w:bottom w:val="none" w:sz="0" w:space="0" w:color="auto"/>
        <w:right w:val="none" w:sz="0" w:space="0" w:color="auto"/>
      </w:divBdr>
    </w:div>
    <w:div w:id="750128121">
      <w:marLeft w:val="0"/>
      <w:marRight w:val="0"/>
      <w:marTop w:val="0"/>
      <w:marBottom w:val="0"/>
      <w:divBdr>
        <w:top w:val="none" w:sz="0" w:space="0" w:color="auto"/>
        <w:left w:val="none" w:sz="0" w:space="0" w:color="auto"/>
        <w:bottom w:val="none" w:sz="0" w:space="0" w:color="auto"/>
        <w:right w:val="none" w:sz="0" w:space="0" w:color="auto"/>
      </w:divBdr>
    </w:div>
    <w:div w:id="750128123">
      <w:marLeft w:val="0"/>
      <w:marRight w:val="0"/>
      <w:marTop w:val="0"/>
      <w:marBottom w:val="0"/>
      <w:divBdr>
        <w:top w:val="none" w:sz="0" w:space="0" w:color="auto"/>
        <w:left w:val="none" w:sz="0" w:space="0" w:color="auto"/>
        <w:bottom w:val="none" w:sz="0" w:space="0" w:color="auto"/>
        <w:right w:val="none" w:sz="0" w:space="0" w:color="auto"/>
      </w:divBdr>
      <w:divsChild>
        <w:div w:id="750128131">
          <w:marLeft w:val="547"/>
          <w:marRight w:val="0"/>
          <w:marTop w:val="0"/>
          <w:marBottom w:val="0"/>
          <w:divBdr>
            <w:top w:val="none" w:sz="0" w:space="0" w:color="auto"/>
            <w:left w:val="none" w:sz="0" w:space="0" w:color="auto"/>
            <w:bottom w:val="none" w:sz="0" w:space="0" w:color="auto"/>
            <w:right w:val="none" w:sz="0" w:space="0" w:color="auto"/>
          </w:divBdr>
        </w:div>
      </w:divsChild>
    </w:div>
    <w:div w:id="750128125">
      <w:marLeft w:val="0"/>
      <w:marRight w:val="0"/>
      <w:marTop w:val="0"/>
      <w:marBottom w:val="0"/>
      <w:divBdr>
        <w:top w:val="none" w:sz="0" w:space="0" w:color="auto"/>
        <w:left w:val="none" w:sz="0" w:space="0" w:color="auto"/>
        <w:bottom w:val="none" w:sz="0" w:space="0" w:color="auto"/>
        <w:right w:val="none" w:sz="0" w:space="0" w:color="auto"/>
      </w:divBdr>
      <w:divsChild>
        <w:div w:id="750128111">
          <w:marLeft w:val="0"/>
          <w:marRight w:val="0"/>
          <w:marTop w:val="0"/>
          <w:marBottom w:val="0"/>
          <w:divBdr>
            <w:top w:val="none" w:sz="0" w:space="0" w:color="auto"/>
            <w:left w:val="none" w:sz="0" w:space="0" w:color="auto"/>
            <w:bottom w:val="none" w:sz="0" w:space="0" w:color="auto"/>
            <w:right w:val="none" w:sz="0" w:space="0" w:color="auto"/>
          </w:divBdr>
          <w:divsChild>
            <w:div w:id="750128122">
              <w:marLeft w:val="0"/>
              <w:marRight w:val="0"/>
              <w:marTop w:val="0"/>
              <w:marBottom w:val="0"/>
              <w:divBdr>
                <w:top w:val="none" w:sz="0" w:space="0" w:color="auto"/>
                <w:left w:val="none" w:sz="0" w:space="0" w:color="auto"/>
                <w:bottom w:val="none" w:sz="0" w:space="0" w:color="auto"/>
                <w:right w:val="none" w:sz="0" w:space="0" w:color="auto"/>
              </w:divBdr>
              <w:divsChild>
                <w:div w:id="750128117">
                  <w:marLeft w:val="0"/>
                  <w:marRight w:val="0"/>
                  <w:marTop w:val="0"/>
                  <w:marBottom w:val="0"/>
                  <w:divBdr>
                    <w:top w:val="none" w:sz="0" w:space="0" w:color="auto"/>
                    <w:left w:val="none" w:sz="0" w:space="0" w:color="auto"/>
                    <w:bottom w:val="none" w:sz="0" w:space="0" w:color="auto"/>
                    <w:right w:val="none" w:sz="0" w:space="0" w:color="auto"/>
                  </w:divBdr>
                  <w:divsChild>
                    <w:div w:id="750128110">
                      <w:marLeft w:val="0"/>
                      <w:marRight w:val="0"/>
                      <w:marTop w:val="0"/>
                      <w:marBottom w:val="0"/>
                      <w:divBdr>
                        <w:top w:val="none" w:sz="0" w:space="0" w:color="auto"/>
                        <w:left w:val="none" w:sz="0" w:space="0" w:color="auto"/>
                        <w:bottom w:val="none" w:sz="0" w:space="0" w:color="auto"/>
                        <w:right w:val="none" w:sz="0" w:space="0" w:color="auto"/>
                      </w:divBdr>
                      <w:divsChild>
                        <w:div w:id="750128124">
                          <w:marLeft w:val="0"/>
                          <w:marRight w:val="0"/>
                          <w:marTop w:val="0"/>
                          <w:marBottom w:val="0"/>
                          <w:divBdr>
                            <w:top w:val="none" w:sz="0" w:space="0" w:color="auto"/>
                            <w:left w:val="none" w:sz="0" w:space="0" w:color="auto"/>
                            <w:bottom w:val="none" w:sz="0" w:space="0" w:color="auto"/>
                            <w:right w:val="none" w:sz="0" w:space="0" w:color="auto"/>
                          </w:divBdr>
                          <w:divsChild>
                            <w:div w:id="75012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128126">
      <w:marLeft w:val="0"/>
      <w:marRight w:val="0"/>
      <w:marTop w:val="0"/>
      <w:marBottom w:val="0"/>
      <w:divBdr>
        <w:top w:val="none" w:sz="0" w:space="0" w:color="auto"/>
        <w:left w:val="none" w:sz="0" w:space="0" w:color="auto"/>
        <w:bottom w:val="none" w:sz="0" w:space="0" w:color="auto"/>
        <w:right w:val="none" w:sz="0" w:space="0" w:color="auto"/>
      </w:divBdr>
    </w:div>
    <w:div w:id="750128127">
      <w:marLeft w:val="0"/>
      <w:marRight w:val="0"/>
      <w:marTop w:val="0"/>
      <w:marBottom w:val="0"/>
      <w:divBdr>
        <w:top w:val="none" w:sz="0" w:space="0" w:color="auto"/>
        <w:left w:val="none" w:sz="0" w:space="0" w:color="auto"/>
        <w:bottom w:val="none" w:sz="0" w:space="0" w:color="auto"/>
        <w:right w:val="none" w:sz="0" w:space="0" w:color="auto"/>
      </w:divBdr>
    </w:div>
    <w:div w:id="750128128">
      <w:marLeft w:val="0"/>
      <w:marRight w:val="0"/>
      <w:marTop w:val="0"/>
      <w:marBottom w:val="0"/>
      <w:divBdr>
        <w:top w:val="none" w:sz="0" w:space="0" w:color="auto"/>
        <w:left w:val="none" w:sz="0" w:space="0" w:color="auto"/>
        <w:bottom w:val="none" w:sz="0" w:space="0" w:color="auto"/>
        <w:right w:val="none" w:sz="0" w:space="0" w:color="auto"/>
      </w:divBdr>
    </w:div>
    <w:div w:id="750128129">
      <w:marLeft w:val="0"/>
      <w:marRight w:val="0"/>
      <w:marTop w:val="0"/>
      <w:marBottom w:val="0"/>
      <w:divBdr>
        <w:top w:val="none" w:sz="0" w:space="0" w:color="auto"/>
        <w:left w:val="none" w:sz="0" w:space="0" w:color="auto"/>
        <w:bottom w:val="none" w:sz="0" w:space="0" w:color="auto"/>
        <w:right w:val="none" w:sz="0" w:space="0" w:color="auto"/>
      </w:divBdr>
    </w:div>
    <w:div w:id="750128132">
      <w:marLeft w:val="0"/>
      <w:marRight w:val="0"/>
      <w:marTop w:val="0"/>
      <w:marBottom w:val="0"/>
      <w:divBdr>
        <w:top w:val="none" w:sz="0" w:space="0" w:color="auto"/>
        <w:left w:val="none" w:sz="0" w:space="0" w:color="auto"/>
        <w:bottom w:val="none" w:sz="0" w:space="0" w:color="auto"/>
        <w:right w:val="none" w:sz="0" w:space="0" w:color="auto"/>
      </w:divBdr>
      <w:divsChild>
        <w:div w:id="750128104">
          <w:marLeft w:val="547"/>
          <w:marRight w:val="0"/>
          <w:marTop w:val="0"/>
          <w:marBottom w:val="0"/>
          <w:divBdr>
            <w:top w:val="none" w:sz="0" w:space="0" w:color="auto"/>
            <w:left w:val="none" w:sz="0" w:space="0" w:color="auto"/>
            <w:bottom w:val="none" w:sz="0" w:space="0" w:color="auto"/>
            <w:right w:val="none" w:sz="0" w:space="0" w:color="auto"/>
          </w:divBdr>
        </w:div>
      </w:divsChild>
    </w:div>
    <w:div w:id="750128133">
      <w:marLeft w:val="0"/>
      <w:marRight w:val="0"/>
      <w:marTop w:val="0"/>
      <w:marBottom w:val="0"/>
      <w:divBdr>
        <w:top w:val="none" w:sz="0" w:space="0" w:color="auto"/>
        <w:left w:val="none" w:sz="0" w:space="0" w:color="auto"/>
        <w:bottom w:val="none" w:sz="0" w:space="0" w:color="auto"/>
        <w:right w:val="none" w:sz="0" w:space="0" w:color="auto"/>
      </w:divBdr>
      <w:divsChild>
        <w:div w:id="750128130">
          <w:marLeft w:val="0"/>
          <w:marRight w:val="0"/>
          <w:marTop w:val="0"/>
          <w:marBottom w:val="0"/>
          <w:divBdr>
            <w:top w:val="none" w:sz="0" w:space="0" w:color="auto"/>
            <w:left w:val="none" w:sz="0" w:space="0" w:color="auto"/>
            <w:bottom w:val="none" w:sz="0" w:space="0" w:color="auto"/>
            <w:right w:val="none" w:sz="0" w:space="0" w:color="auto"/>
          </w:divBdr>
        </w:div>
      </w:divsChild>
    </w:div>
    <w:div w:id="750128134">
      <w:marLeft w:val="0"/>
      <w:marRight w:val="0"/>
      <w:marTop w:val="0"/>
      <w:marBottom w:val="0"/>
      <w:divBdr>
        <w:top w:val="none" w:sz="0" w:space="0" w:color="auto"/>
        <w:left w:val="none" w:sz="0" w:space="0" w:color="auto"/>
        <w:bottom w:val="none" w:sz="0" w:space="0" w:color="auto"/>
        <w:right w:val="none" w:sz="0" w:space="0" w:color="auto"/>
      </w:divBdr>
    </w:div>
    <w:div w:id="750128135">
      <w:marLeft w:val="0"/>
      <w:marRight w:val="0"/>
      <w:marTop w:val="0"/>
      <w:marBottom w:val="0"/>
      <w:divBdr>
        <w:top w:val="none" w:sz="0" w:space="0" w:color="auto"/>
        <w:left w:val="none" w:sz="0" w:space="0" w:color="auto"/>
        <w:bottom w:val="none" w:sz="0" w:space="0" w:color="auto"/>
        <w:right w:val="none" w:sz="0" w:space="0" w:color="auto"/>
      </w:divBdr>
    </w:div>
    <w:div w:id="750128136">
      <w:marLeft w:val="0"/>
      <w:marRight w:val="0"/>
      <w:marTop w:val="0"/>
      <w:marBottom w:val="0"/>
      <w:divBdr>
        <w:top w:val="none" w:sz="0" w:space="0" w:color="auto"/>
        <w:left w:val="none" w:sz="0" w:space="0" w:color="auto"/>
        <w:bottom w:val="none" w:sz="0" w:space="0" w:color="auto"/>
        <w:right w:val="none" w:sz="0" w:space="0" w:color="auto"/>
      </w:divBdr>
    </w:div>
    <w:div w:id="750128137">
      <w:marLeft w:val="0"/>
      <w:marRight w:val="0"/>
      <w:marTop w:val="0"/>
      <w:marBottom w:val="0"/>
      <w:divBdr>
        <w:top w:val="none" w:sz="0" w:space="0" w:color="auto"/>
        <w:left w:val="none" w:sz="0" w:space="0" w:color="auto"/>
        <w:bottom w:val="none" w:sz="0" w:space="0" w:color="auto"/>
        <w:right w:val="none" w:sz="0" w:space="0" w:color="auto"/>
      </w:divBdr>
    </w:div>
    <w:div w:id="769083253">
      <w:bodyDiv w:val="1"/>
      <w:marLeft w:val="0"/>
      <w:marRight w:val="0"/>
      <w:marTop w:val="0"/>
      <w:marBottom w:val="0"/>
      <w:divBdr>
        <w:top w:val="none" w:sz="0" w:space="0" w:color="auto"/>
        <w:left w:val="none" w:sz="0" w:space="0" w:color="auto"/>
        <w:bottom w:val="none" w:sz="0" w:space="0" w:color="auto"/>
        <w:right w:val="none" w:sz="0" w:space="0" w:color="auto"/>
      </w:divBdr>
    </w:div>
    <w:div w:id="783383080">
      <w:bodyDiv w:val="1"/>
      <w:marLeft w:val="0"/>
      <w:marRight w:val="0"/>
      <w:marTop w:val="0"/>
      <w:marBottom w:val="0"/>
      <w:divBdr>
        <w:top w:val="none" w:sz="0" w:space="0" w:color="auto"/>
        <w:left w:val="none" w:sz="0" w:space="0" w:color="auto"/>
        <w:bottom w:val="none" w:sz="0" w:space="0" w:color="auto"/>
        <w:right w:val="none" w:sz="0" w:space="0" w:color="auto"/>
      </w:divBdr>
      <w:divsChild>
        <w:div w:id="1420100543">
          <w:marLeft w:val="547"/>
          <w:marRight w:val="0"/>
          <w:marTop w:val="120"/>
          <w:marBottom w:val="0"/>
          <w:divBdr>
            <w:top w:val="none" w:sz="0" w:space="0" w:color="auto"/>
            <w:left w:val="none" w:sz="0" w:space="0" w:color="auto"/>
            <w:bottom w:val="none" w:sz="0" w:space="0" w:color="auto"/>
            <w:right w:val="none" w:sz="0" w:space="0" w:color="auto"/>
          </w:divBdr>
        </w:div>
      </w:divsChild>
    </w:div>
    <w:div w:id="791483553">
      <w:bodyDiv w:val="1"/>
      <w:marLeft w:val="0"/>
      <w:marRight w:val="0"/>
      <w:marTop w:val="0"/>
      <w:marBottom w:val="0"/>
      <w:divBdr>
        <w:top w:val="none" w:sz="0" w:space="0" w:color="auto"/>
        <w:left w:val="none" w:sz="0" w:space="0" w:color="auto"/>
        <w:bottom w:val="none" w:sz="0" w:space="0" w:color="auto"/>
        <w:right w:val="none" w:sz="0" w:space="0" w:color="auto"/>
      </w:divBdr>
    </w:div>
    <w:div w:id="806092819">
      <w:bodyDiv w:val="1"/>
      <w:marLeft w:val="0"/>
      <w:marRight w:val="0"/>
      <w:marTop w:val="0"/>
      <w:marBottom w:val="0"/>
      <w:divBdr>
        <w:top w:val="none" w:sz="0" w:space="0" w:color="auto"/>
        <w:left w:val="none" w:sz="0" w:space="0" w:color="auto"/>
        <w:bottom w:val="none" w:sz="0" w:space="0" w:color="auto"/>
        <w:right w:val="none" w:sz="0" w:space="0" w:color="auto"/>
      </w:divBdr>
    </w:div>
    <w:div w:id="810632903">
      <w:bodyDiv w:val="1"/>
      <w:marLeft w:val="0"/>
      <w:marRight w:val="0"/>
      <w:marTop w:val="0"/>
      <w:marBottom w:val="0"/>
      <w:divBdr>
        <w:top w:val="none" w:sz="0" w:space="0" w:color="auto"/>
        <w:left w:val="none" w:sz="0" w:space="0" w:color="auto"/>
        <w:bottom w:val="none" w:sz="0" w:space="0" w:color="auto"/>
        <w:right w:val="none" w:sz="0" w:space="0" w:color="auto"/>
      </w:divBdr>
      <w:divsChild>
        <w:div w:id="2126651489">
          <w:marLeft w:val="1166"/>
          <w:marRight w:val="0"/>
          <w:marTop w:val="0"/>
          <w:marBottom w:val="0"/>
          <w:divBdr>
            <w:top w:val="none" w:sz="0" w:space="0" w:color="auto"/>
            <w:left w:val="none" w:sz="0" w:space="0" w:color="auto"/>
            <w:bottom w:val="none" w:sz="0" w:space="0" w:color="auto"/>
            <w:right w:val="none" w:sz="0" w:space="0" w:color="auto"/>
          </w:divBdr>
        </w:div>
      </w:divsChild>
    </w:div>
    <w:div w:id="841772173">
      <w:bodyDiv w:val="1"/>
      <w:marLeft w:val="0"/>
      <w:marRight w:val="0"/>
      <w:marTop w:val="0"/>
      <w:marBottom w:val="0"/>
      <w:divBdr>
        <w:top w:val="none" w:sz="0" w:space="0" w:color="auto"/>
        <w:left w:val="none" w:sz="0" w:space="0" w:color="auto"/>
        <w:bottom w:val="none" w:sz="0" w:space="0" w:color="auto"/>
        <w:right w:val="none" w:sz="0" w:space="0" w:color="auto"/>
      </w:divBdr>
    </w:div>
    <w:div w:id="891577134">
      <w:bodyDiv w:val="1"/>
      <w:marLeft w:val="0"/>
      <w:marRight w:val="0"/>
      <w:marTop w:val="0"/>
      <w:marBottom w:val="0"/>
      <w:divBdr>
        <w:top w:val="none" w:sz="0" w:space="0" w:color="auto"/>
        <w:left w:val="none" w:sz="0" w:space="0" w:color="auto"/>
        <w:bottom w:val="none" w:sz="0" w:space="0" w:color="auto"/>
        <w:right w:val="none" w:sz="0" w:space="0" w:color="auto"/>
      </w:divBdr>
      <w:divsChild>
        <w:div w:id="692997687">
          <w:marLeft w:val="547"/>
          <w:marRight w:val="0"/>
          <w:marTop w:val="0"/>
          <w:marBottom w:val="0"/>
          <w:divBdr>
            <w:top w:val="none" w:sz="0" w:space="0" w:color="auto"/>
            <w:left w:val="none" w:sz="0" w:space="0" w:color="auto"/>
            <w:bottom w:val="none" w:sz="0" w:space="0" w:color="auto"/>
            <w:right w:val="none" w:sz="0" w:space="0" w:color="auto"/>
          </w:divBdr>
        </w:div>
      </w:divsChild>
    </w:div>
    <w:div w:id="898593343">
      <w:bodyDiv w:val="1"/>
      <w:marLeft w:val="0"/>
      <w:marRight w:val="0"/>
      <w:marTop w:val="0"/>
      <w:marBottom w:val="0"/>
      <w:divBdr>
        <w:top w:val="none" w:sz="0" w:space="0" w:color="auto"/>
        <w:left w:val="none" w:sz="0" w:space="0" w:color="auto"/>
        <w:bottom w:val="none" w:sz="0" w:space="0" w:color="auto"/>
        <w:right w:val="none" w:sz="0" w:space="0" w:color="auto"/>
      </w:divBdr>
      <w:divsChild>
        <w:div w:id="415786052">
          <w:marLeft w:val="446"/>
          <w:marRight w:val="0"/>
          <w:marTop w:val="80"/>
          <w:marBottom w:val="0"/>
          <w:divBdr>
            <w:top w:val="none" w:sz="0" w:space="0" w:color="auto"/>
            <w:left w:val="none" w:sz="0" w:space="0" w:color="auto"/>
            <w:bottom w:val="none" w:sz="0" w:space="0" w:color="auto"/>
            <w:right w:val="none" w:sz="0" w:space="0" w:color="auto"/>
          </w:divBdr>
        </w:div>
      </w:divsChild>
    </w:div>
    <w:div w:id="911936543">
      <w:bodyDiv w:val="1"/>
      <w:marLeft w:val="0"/>
      <w:marRight w:val="0"/>
      <w:marTop w:val="0"/>
      <w:marBottom w:val="0"/>
      <w:divBdr>
        <w:top w:val="none" w:sz="0" w:space="0" w:color="auto"/>
        <w:left w:val="none" w:sz="0" w:space="0" w:color="auto"/>
        <w:bottom w:val="none" w:sz="0" w:space="0" w:color="auto"/>
        <w:right w:val="none" w:sz="0" w:space="0" w:color="auto"/>
      </w:divBdr>
    </w:div>
    <w:div w:id="939917759">
      <w:bodyDiv w:val="1"/>
      <w:marLeft w:val="0"/>
      <w:marRight w:val="0"/>
      <w:marTop w:val="0"/>
      <w:marBottom w:val="0"/>
      <w:divBdr>
        <w:top w:val="none" w:sz="0" w:space="0" w:color="auto"/>
        <w:left w:val="none" w:sz="0" w:space="0" w:color="auto"/>
        <w:bottom w:val="none" w:sz="0" w:space="0" w:color="auto"/>
        <w:right w:val="none" w:sz="0" w:space="0" w:color="auto"/>
      </w:divBdr>
    </w:div>
    <w:div w:id="948127406">
      <w:bodyDiv w:val="1"/>
      <w:marLeft w:val="0"/>
      <w:marRight w:val="0"/>
      <w:marTop w:val="0"/>
      <w:marBottom w:val="0"/>
      <w:divBdr>
        <w:top w:val="none" w:sz="0" w:space="0" w:color="auto"/>
        <w:left w:val="none" w:sz="0" w:space="0" w:color="auto"/>
        <w:bottom w:val="none" w:sz="0" w:space="0" w:color="auto"/>
        <w:right w:val="none" w:sz="0" w:space="0" w:color="auto"/>
      </w:divBdr>
      <w:divsChild>
        <w:div w:id="697777538">
          <w:marLeft w:val="547"/>
          <w:marRight w:val="0"/>
          <w:marTop w:val="0"/>
          <w:marBottom w:val="0"/>
          <w:divBdr>
            <w:top w:val="none" w:sz="0" w:space="0" w:color="auto"/>
            <w:left w:val="none" w:sz="0" w:space="0" w:color="auto"/>
            <w:bottom w:val="none" w:sz="0" w:space="0" w:color="auto"/>
            <w:right w:val="none" w:sz="0" w:space="0" w:color="auto"/>
          </w:divBdr>
        </w:div>
      </w:divsChild>
    </w:div>
    <w:div w:id="959142225">
      <w:bodyDiv w:val="1"/>
      <w:marLeft w:val="0"/>
      <w:marRight w:val="0"/>
      <w:marTop w:val="0"/>
      <w:marBottom w:val="0"/>
      <w:divBdr>
        <w:top w:val="none" w:sz="0" w:space="0" w:color="auto"/>
        <w:left w:val="none" w:sz="0" w:space="0" w:color="auto"/>
        <w:bottom w:val="none" w:sz="0" w:space="0" w:color="auto"/>
        <w:right w:val="none" w:sz="0" w:space="0" w:color="auto"/>
      </w:divBdr>
    </w:div>
    <w:div w:id="969867830">
      <w:bodyDiv w:val="1"/>
      <w:marLeft w:val="0"/>
      <w:marRight w:val="0"/>
      <w:marTop w:val="0"/>
      <w:marBottom w:val="0"/>
      <w:divBdr>
        <w:top w:val="none" w:sz="0" w:space="0" w:color="auto"/>
        <w:left w:val="none" w:sz="0" w:space="0" w:color="auto"/>
        <w:bottom w:val="none" w:sz="0" w:space="0" w:color="auto"/>
        <w:right w:val="none" w:sz="0" w:space="0" w:color="auto"/>
      </w:divBdr>
      <w:divsChild>
        <w:div w:id="451435440">
          <w:marLeft w:val="562"/>
          <w:marRight w:val="0"/>
          <w:marTop w:val="67"/>
          <w:marBottom w:val="0"/>
          <w:divBdr>
            <w:top w:val="none" w:sz="0" w:space="0" w:color="auto"/>
            <w:left w:val="none" w:sz="0" w:space="0" w:color="auto"/>
            <w:bottom w:val="none" w:sz="0" w:space="0" w:color="auto"/>
            <w:right w:val="none" w:sz="0" w:space="0" w:color="auto"/>
          </w:divBdr>
        </w:div>
        <w:div w:id="534199665">
          <w:marLeft w:val="562"/>
          <w:marRight w:val="0"/>
          <w:marTop w:val="67"/>
          <w:marBottom w:val="0"/>
          <w:divBdr>
            <w:top w:val="none" w:sz="0" w:space="0" w:color="auto"/>
            <w:left w:val="none" w:sz="0" w:space="0" w:color="auto"/>
            <w:bottom w:val="none" w:sz="0" w:space="0" w:color="auto"/>
            <w:right w:val="none" w:sz="0" w:space="0" w:color="auto"/>
          </w:divBdr>
        </w:div>
        <w:div w:id="554852944">
          <w:marLeft w:val="274"/>
          <w:marRight w:val="0"/>
          <w:marTop w:val="120"/>
          <w:marBottom w:val="0"/>
          <w:divBdr>
            <w:top w:val="none" w:sz="0" w:space="0" w:color="auto"/>
            <w:left w:val="none" w:sz="0" w:space="0" w:color="auto"/>
            <w:bottom w:val="none" w:sz="0" w:space="0" w:color="auto"/>
            <w:right w:val="none" w:sz="0" w:space="0" w:color="auto"/>
          </w:divBdr>
        </w:div>
        <w:div w:id="563027415">
          <w:marLeft w:val="274"/>
          <w:marRight w:val="0"/>
          <w:marTop w:val="120"/>
          <w:marBottom w:val="0"/>
          <w:divBdr>
            <w:top w:val="none" w:sz="0" w:space="0" w:color="auto"/>
            <w:left w:val="none" w:sz="0" w:space="0" w:color="auto"/>
            <w:bottom w:val="none" w:sz="0" w:space="0" w:color="auto"/>
            <w:right w:val="none" w:sz="0" w:space="0" w:color="auto"/>
          </w:divBdr>
        </w:div>
        <w:div w:id="1800029786">
          <w:marLeft w:val="274"/>
          <w:marRight w:val="0"/>
          <w:marTop w:val="120"/>
          <w:marBottom w:val="0"/>
          <w:divBdr>
            <w:top w:val="none" w:sz="0" w:space="0" w:color="auto"/>
            <w:left w:val="none" w:sz="0" w:space="0" w:color="auto"/>
            <w:bottom w:val="none" w:sz="0" w:space="0" w:color="auto"/>
            <w:right w:val="none" w:sz="0" w:space="0" w:color="auto"/>
          </w:divBdr>
        </w:div>
        <w:div w:id="1905874692">
          <w:marLeft w:val="274"/>
          <w:marRight w:val="0"/>
          <w:marTop w:val="120"/>
          <w:marBottom w:val="0"/>
          <w:divBdr>
            <w:top w:val="none" w:sz="0" w:space="0" w:color="auto"/>
            <w:left w:val="none" w:sz="0" w:space="0" w:color="auto"/>
            <w:bottom w:val="none" w:sz="0" w:space="0" w:color="auto"/>
            <w:right w:val="none" w:sz="0" w:space="0" w:color="auto"/>
          </w:divBdr>
        </w:div>
      </w:divsChild>
    </w:div>
    <w:div w:id="972908124">
      <w:bodyDiv w:val="1"/>
      <w:marLeft w:val="0"/>
      <w:marRight w:val="0"/>
      <w:marTop w:val="0"/>
      <w:marBottom w:val="0"/>
      <w:divBdr>
        <w:top w:val="none" w:sz="0" w:space="0" w:color="auto"/>
        <w:left w:val="none" w:sz="0" w:space="0" w:color="auto"/>
        <w:bottom w:val="none" w:sz="0" w:space="0" w:color="auto"/>
        <w:right w:val="none" w:sz="0" w:space="0" w:color="auto"/>
      </w:divBdr>
    </w:div>
    <w:div w:id="1017661185">
      <w:bodyDiv w:val="1"/>
      <w:marLeft w:val="0"/>
      <w:marRight w:val="0"/>
      <w:marTop w:val="0"/>
      <w:marBottom w:val="0"/>
      <w:divBdr>
        <w:top w:val="none" w:sz="0" w:space="0" w:color="auto"/>
        <w:left w:val="none" w:sz="0" w:space="0" w:color="auto"/>
        <w:bottom w:val="none" w:sz="0" w:space="0" w:color="auto"/>
        <w:right w:val="none" w:sz="0" w:space="0" w:color="auto"/>
      </w:divBdr>
      <w:divsChild>
        <w:div w:id="159321453">
          <w:marLeft w:val="562"/>
          <w:marRight w:val="0"/>
          <w:marTop w:val="67"/>
          <w:marBottom w:val="0"/>
          <w:divBdr>
            <w:top w:val="none" w:sz="0" w:space="0" w:color="auto"/>
            <w:left w:val="none" w:sz="0" w:space="0" w:color="auto"/>
            <w:bottom w:val="none" w:sz="0" w:space="0" w:color="auto"/>
            <w:right w:val="none" w:sz="0" w:space="0" w:color="auto"/>
          </w:divBdr>
        </w:div>
        <w:div w:id="978875989">
          <w:marLeft w:val="274"/>
          <w:marRight w:val="0"/>
          <w:marTop w:val="120"/>
          <w:marBottom w:val="0"/>
          <w:divBdr>
            <w:top w:val="none" w:sz="0" w:space="0" w:color="auto"/>
            <w:left w:val="none" w:sz="0" w:space="0" w:color="auto"/>
            <w:bottom w:val="none" w:sz="0" w:space="0" w:color="auto"/>
            <w:right w:val="none" w:sz="0" w:space="0" w:color="auto"/>
          </w:divBdr>
        </w:div>
        <w:div w:id="1165239638">
          <w:marLeft w:val="562"/>
          <w:marRight w:val="0"/>
          <w:marTop w:val="67"/>
          <w:marBottom w:val="0"/>
          <w:divBdr>
            <w:top w:val="none" w:sz="0" w:space="0" w:color="auto"/>
            <w:left w:val="none" w:sz="0" w:space="0" w:color="auto"/>
            <w:bottom w:val="none" w:sz="0" w:space="0" w:color="auto"/>
            <w:right w:val="none" w:sz="0" w:space="0" w:color="auto"/>
          </w:divBdr>
        </w:div>
        <w:div w:id="1258904004">
          <w:marLeft w:val="562"/>
          <w:marRight w:val="0"/>
          <w:marTop w:val="67"/>
          <w:marBottom w:val="0"/>
          <w:divBdr>
            <w:top w:val="none" w:sz="0" w:space="0" w:color="auto"/>
            <w:left w:val="none" w:sz="0" w:space="0" w:color="auto"/>
            <w:bottom w:val="none" w:sz="0" w:space="0" w:color="auto"/>
            <w:right w:val="none" w:sz="0" w:space="0" w:color="auto"/>
          </w:divBdr>
        </w:div>
        <w:div w:id="1752191546">
          <w:marLeft w:val="274"/>
          <w:marRight w:val="0"/>
          <w:marTop w:val="120"/>
          <w:marBottom w:val="0"/>
          <w:divBdr>
            <w:top w:val="none" w:sz="0" w:space="0" w:color="auto"/>
            <w:left w:val="none" w:sz="0" w:space="0" w:color="auto"/>
            <w:bottom w:val="none" w:sz="0" w:space="0" w:color="auto"/>
            <w:right w:val="none" w:sz="0" w:space="0" w:color="auto"/>
          </w:divBdr>
        </w:div>
        <w:div w:id="1878152686">
          <w:marLeft w:val="274"/>
          <w:marRight w:val="0"/>
          <w:marTop w:val="120"/>
          <w:marBottom w:val="0"/>
          <w:divBdr>
            <w:top w:val="none" w:sz="0" w:space="0" w:color="auto"/>
            <w:left w:val="none" w:sz="0" w:space="0" w:color="auto"/>
            <w:bottom w:val="none" w:sz="0" w:space="0" w:color="auto"/>
            <w:right w:val="none" w:sz="0" w:space="0" w:color="auto"/>
          </w:divBdr>
        </w:div>
        <w:div w:id="1952592060">
          <w:marLeft w:val="562"/>
          <w:marRight w:val="0"/>
          <w:marTop w:val="67"/>
          <w:marBottom w:val="0"/>
          <w:divBdr>
            <w:top w:val="none" w:sz="0" w:space="0" w:color="auto"/>
            <w:left w:val="none" w:sz="0" w:space="0" w:color="auto"/>
            <w:bottom w:val="none" w:sz="0" w:space="0" w:color="auto"/>
            <w:right w:val="none" w:sz="0" w:space="0" w:color="auto"/>
          </w:divBdr>
        </w:div>
        <w:div w:id="2095737491">
          <w:marLeft w:val="562"/>
          <w:marRight w:val="0"/>
          <w:marTop w:val="67"/>
          <w:marBottom w:val="0"/>
          <w:divBdr>
            <w:top w:val="none" w:sz="0" w:space="0" w:color="auto"/>
            <w:left w:val="none" w:sz="0" w:space="0" w:color="auto"/>
            <w:bottom w:val="none" w:sz="0" w:space="0" w:color="auto"/>
            <w:right w:val="none" w:sz="0" w:space="0" w:color="auto"/>
          </w:divBdr>
        </w:div>
      </w:divsChild>
    </w:div>
    <w:div w:id="1019939486">
      <w:bodyDiv w:val="1"/>
      <w:marLeft w:val="0"/>
      <w:marRight w:val="0"/>
      <w:marTop w:val="0"/>
      <w:marBottom w:val="0"/>
      <w:divBdr>
        <w:top w:val="none" w:sz="0" w:space="0" w:color="auto"/>
        <w:left w:val="none" w:sz="0" w:space="0" w:color="auto"/>
        <w:bottom w:val="none" w:sz="0" w:space="0" w:color="auto"/>
        <w:right w:val="none" w:sz="0" w:space="0" w:color="auto"/>
      </w:divBdr>
    </w:div>
    <w:div w:id="1032459863">
      <w:bodyDiv w:val="1"/>
      <w:marLeft w:val="0"/>
      <w:marRight w:val="0"/>
      <w:marTop w:val="0"/>
      <w:marBottom w:val="0"/>
      <w:divBdr>
        <w:top w:val="none" w:sz="0" w:space="0" w:color="auto"/>
        <w:left w:val="none" w:sz="0" w:space="0" w:color="auto"/>
        <w:bottom w:val="none" w:sz="0" w:space="0" w:color="auto"/>
        <w:right w:val="none" w:sz="0" w:space="0" w:color="auto"/>
      </w:divBdr>
      <w:divsChild>
        <w:div w:id="619999191">
          <w:marLeft w:val="446"/>
          <w:marRight w:val="0"/>
          <w:marTop w:val="0"/>
          <w:marBottom w:val="0"/>
          <w:divBdr>
            <w:top w:val="none" w:sz="0" w:space="0" w:color="auto"/>
            <w:left w:val="none" w:sz="0" w:space="0" w:color="auto"/>
            <w:bottom w:val="none" w:sz="0" w:space="0" w:color="auto"/>
            <w:right w:val="none" w:sz="0" w:space="0" w:color="auto"/>
          </w:divBdr>
        </w:div>
      </w:divsChild>
    </w:div>
    <w:div w:id="1034693820">
      <w:bodyDiv w:val="1"/>
      <w:marLeft w:val="0"/>
      <w:marRight w:val="0"/>
      <w:marTop w:val="0"/>
      <w:marBottom w:val="0"/>
      <w:divBdr>
        <w:top w:val="none" w:sz="0" w:space="0" w:color="auto"/>
        <w:left w:val="none" w:sz="0" w:space="0" w:color="auto"/>
        <w:bottom w:val="none" w:sz="0" w:space="0" w:color="auto"/>
        <w:right w:val="none" w:sz="0" w:space="0" w:color="auto"/>
      </w:divBdr>
    </w:div>
    <w:div w:id="1168790090">
      <w:bodyDiv w:val="1"/>
      <w:marLeft w:val="0"/>
      <w:marRight w:val="0"/>
      <w:marTop w:val="0"/>
      <w:marBottom w:val="0"/>
      <w:divBdr>
        <w:top w:val="none" w:sz="0" w:space="0" w:color="auto"/>
        <w:left w:val="none" w:sz="0" w:space="0" w:color="auto"/>
        <w:bottom w:val="none" w:sz="0" w:space="0" w:color="auto"/>
        <w:right w:val="none" w:sz="0" w:space="0" w:color="auto"/>
      </w:divBdr>
      <w:divsChild>
        <w:div w:id="1814561697">
          <w:marLeft w:val="547"/>
          <w:marRight w:val="0"/>
          <w:marTop w:val="0"/>
          <w:marBottom w:val="0"/>
          <w:divBdr>
            <w:top w:val="none" w:sz="0" w:space="0" w:color="auto"/>
            <w:left w:val="none" w:sz="0" w:space="0" w:color="auto"/>
            <w:bottom w:val="none" w:sz="0" w:space="0" w:color="auto"/>
            <w:right w:val="none" w:sz="0" w:space="0" w:color="auto"/>
          </w:divBdr>
        </w:div>
      </w:divsChild>
    </w:div>
    <w:div w:id="1171601887">
      <w:bodyDiv w:val="1"/>
      <w:marLeft w:val="0"/>
      <w:marRight w:val="0"/>
      <w:marTop w:val="0"/>
      <w:marBottom w:val="0"/>
      <w:divBdr>
        <w:top w:val="none" w:sz="0" w:space="0" w:color="auto"/>
        <w:left w:val="none" w:sz="0" w:space="0" w:color="auto"/>
        <w:bottom w:val="none" w:sz="0" w:space="0" w:color="auto"/>
        <w:right w:val="none" w:sz="0" w:space="0" w:color="auto"/>
      </w:divBdr>
    </w:div>
    <w:div w:id="1176765374">
      <w:bodyDiv w:val="1"/>
      <w:marLeft w:val="0"/>
      <w:marRight w:val="0"/>
      <w:marTop w:val="0"/>
      <w:marBottom w:val="0"/>
      <w:divBdr>
        <w:top w:val="none" w:sz="0" w:space="0" w:color="auto"/>
        <w:left w:val="none" w:sz="0" w:space="0" w:color="auto"/>
        <w:bottom w:val="none" w:sz="0" w:space="0" w:color="auto"/>
        <w:right w:val="none" w:sz="0" w:space="0" w:color="auto"/>
      </w:divBdr>
    </w:div>
    <w:div w:id="1199007545">
      <w:bodyDiv w:val="1"/>
      <w:marLeft w:val="0"/>
      <w:marRight w:val="0"/>
      <w:marTop w:val="0"/>
      <w:marBottom w:val="0"/>
      <w:divBdr>
        <w:top w:val="none" w:sz="0" w:space="0" w:color="auto"/>
        <w:left w:val="none" w:sz="0" w:space="0" w:color="auto"/>
        <w:bottom w:val="none" w:sz="0" w:space="0" w:color="auto"/>
        <w:right w:val="none" w:sz="0" w:space="0" w:color="auto"/>
      </w:divBdr>
      <w:divsChild>
        <w:div w:id="122232103">
          <w:marLeft w:val="547"/>
          <w:marRight w:val="0"/>
          <w:marTop w:val="0"/>
          <w:marBottom w:val="0"/>
          <w:divBdr>
            <w:top w:val="none" w:sz="0" w:space="0" w:color="auto"/>
            <w:left w:val="none" w:sz="0" w:space="0" w:color="auto"/>
            <w:bottom w:val="none" w:sz="0" w:space="0" w:color="auto"/>
            <w:right w:val="none" w:sz="0" w:space="0" w:color="auto"/>
          </w:divBdr>
        </w:div>
        <w:div w:id="794911556">
          <w:marLeft w:val="547"/>
          <w:marRight w:val="0"/>
          <w:marTop w:val="0"/>
          <w:marBottom w:val="0"/>
          <w:divBdr>
            <w:top w:val="none" w:sz="0" w:space="0" w:color="auto"/>
            <w:left w:val="none" w:sz="0" w:space="0" w:color="auto"/>
            <w:bottom w:val="none" w:sz="0" w:space="0" w:color="auto"/>
            <w:right w:val="none" w:sz="0" w:space="0" w:color="auto"/>
          </w:divBdr>
        </w:div>
      </w:divsChild>
    </w:div>
    <w:div w:id="1201238023">
      <w:bodyDiv w:val="1"/>
      <w:marLeft w:val="0"/>
      <w:marRight w:val="0"/>
      <w:marTop w:val="0"/>
      <w:marBottom w:val="0"/>
      <w:divBdr>
        <w:top w:val="none" w:sz="0" w:space="0" w:color="auto"/>
        <w:left w:val="none" w:sz="0" w:space="0" w:color="auto"/>
        <w:bottom w:val="none" w:sz="0" w:space="0" w:color="auto"/>
        <w:right w:val="none" w:sz="0" w:space="0" w:color="auto"/>
      </w:divBdr>
    </w:div>
    <w:div w:id="1290360354">
      <w:bodyDiv w:val="1"/>
      <w:marLeft w:val="0"/>
      <w:marRight w:val="0"/>
      <w:marTop w:val="0"/>
      <w:marBottom w:val="0"/>
      <w:divBdr>
        <w:top w:val="none" w:sz="0" w:space="0" w:color="auto"/>
        <w:left w:val="none" w:sz="0" w:space="0" w:color="auto"/>
        <w:bottom w:val="none" w:sz="0" w:space="0" w:color="auto"/>
        <w:right w:val="none" w:sz="0" w:space="0" w:color="auto"/>
      </w:divBdr>
      <w:divsChild>
        <w:div w:id="1205101624">
          <w:marLeft w:val="547"/>
          <w:marRight w:val="0"/>
          <w:marTop w:val="0"/>
          <w:marBottom w:val="0"/>
          <w:divBdr>
            <w:top w:val="none" w:sz="0" w:space="0" w:color="auto"/>
            <w:left w:val="none" w:sz="0" w:space="0" w:color="auto"/>
            <w:bottom w:val="none" w:sz="0" w:space="0" w:color="auto"/>
            <w:right w:val="none" w:sz="0" w:space="0" w:color="auto"/>
          </w:divBdr>
        </w:div>
      </w:divsChild>
    </w:div>
    <w:div w:id="1368946355">
      <w:bodyDiv w:val="1"/>
      <w:marLeft w:val="0"/>
      <w:marRight w:val="0"/>
      <w:marTop w:val="0"/>
      <w:marBottom w:val="0"/>
      <w:divBdr>
        <w:top w:val="none" w:sz="0" w:space="0" w:color="auto"/>
        <w:left w:val="none" w:sz="0" w:space="0" w:color="auto"/>
        <w:bottom w:val="none" w:sz="0" w:space="0" w:color="auto"/>
        <w:right w:val="none" w:sz="0" w:space="0" w:color="auto"/>
      </w:divBdr>
    </w:div>
    <w:div w:id="1373647447">
      <w:bodyDiv w:val="1"/>
      <w:marLeft w:val="0"/>
      <w:marRight w:val="0"/>
      <w:marTop w:val="0"/>
      <w:marBottom w:val="0"/>
      <w:divBdr>
        <w:top w:val="none" w:sz="0" w:space="0" w:color="auto"/>
        <w:left w:val="none" w:sz="0" w:space="0" w:color="auto"/>
        <w:bottom w:val="none" w:sz="0" w:space="0" w:color="auto"/>
        <w:right w:val="none" w:sz="0" w:space="0" w:color="auto"/>
      </w:divBdr>
      <w:divsChild>
        <w:div w:id="1198204736">
          <w:marLeft w:val="547"/>
          <w:marRight w:val="0"/>
          <w:marTop w:val="120"/>
          <w:marBottom w:val="0"/>
          <w:divBdr>
            <w:top w:val="none" w:sz="0" w:space="0" w:color="auto"/>
            <w:left w:val="none" w:sz="0" w:space="0" w:color="auto"/>
            <w:bottom w:val="none" w:sz="0" w:space="0" w:color="auto"/>
            <w:right w:val="none" w:sz="0" w:space="0" w:color="auto"/>
          </w:divBdr>
        </w:div>
      </w:divsChild>
    </w:div>
    <w:div w:id="1391885131">
      <w:bodyDiv w:val="1"/>
      <w:marLeft w:val="0"/>
      <w:marRight w:val="0"/>
      <w:marTop w:val="0"/>
      <w:marBottom w:val="0"/>
      <w:divBdr>
        <w:top w:val="none" w:sz="0" w:space="0" w:color="auto"/>
        <w:left w:val="none" w:sz="0" w:space="0" w:color="auto"/>
        <w:bottom w:val="none" w:sz="0" w:space="0" w:color="auto"/>
        <w:right w:val="none" w:sz="0" w:space="0" w:color="auto"/>
      </w:divBdr>
    </w:div>
    <w:div w:id="1442459042">
      <w:bodyDiv w:val="1"/>
      <w:marLeft w:val="0"/>
      <w:marRight w:val="0"/>
      <w:marTop w:val="0"/>
      <w:marBottom w:val="0"/>
      <w:divBdr>
        <w:top w:val="none" w:sz="0" w:space="0" w:color="auto"/>
        <w:left w:val="none" w:sz="0" w:space="0" w:color="auto"/>
        <w:bottom w:val="none" w:sz="0" w:space="0" w:color="auto"/>
        <w:right w:val="none" w:sz="0" w:space="0" w:color="auto"/>
      </w:divBdr>
      <w:divsChild>
        <w:div w:id="2143031993">
          <w:marLeft w:val="1166"/>
          <w:marRight w:val="0"/>
          <w:marTop w:val="240"/>
          <w:marBottom w:val="0"/>
          <w:divBdr>
            <w:top w:val="none" w:sz="0" w:space="0" w:color="auto"/>
            <w:left w:val="none" w:sz="0" w:space="0" w:color="auto"/>
            <w:bottom w:val="none" w:sz="0" w:space="0" w:color="auto"/>
            <w:right w:val="none" w:sz="0" w:space="0" w:color="auto"/>
          </w:divBdr>
        </w:div>
        <w:div w:id="544946858">
          <w:marLeft w:val="1872"/>
          <w:marRight w:val="0"/>
          <w:marTop w:val="240"/>
          <w:marBottom w:val="0"/>
          <w:divBdr>
            <w:top w:val="none" w:sz="0" w:space="0" w:color="auto"/>
            <w:left w:val="none" w:sz="0" w:space="0" w:color="auto"/>
            <w:bottom w:val="none" w:sz="0" w:space="0" w:color="auto"/>
            <w:right w:val="none" w:sz="0" w:space="0" w:color="auto"/>
          </w:divBdr>
        </w:div>
        <w:div w:id="2077431771">
          <w:marLeft w:val="1872"/>
          <w:marRight w:val="0"/>
          <w:marTop w:val="240"/>
          <w:marBottom w:val="0"/>
          <w:divBdr>
            <w:top w:val="none" w:sz="0" w:space="0" w:color="auto"/>
            <w:left w:val="none" w:sz="0" w:space="0" w:color="auto"/>
            <w:bottom w:val="none" w:sz="0" w:space="0" w:color="auto"/>
            <w:right w:val="none" w:sz="0" w:space="0" w:color="auto"/>
          </w:divBdr>
        </w:div>
        <w:div w:id="1862622825">
          <w:marLeft w:val="1872"/>
          <w:marRight w:val="0"/>
          <w:marTop w:val="240"/>
          <w:marBottom w:val="0"/>
          <w:divBdr>
            <w:top w:val="none" w:sz="0" w:space="0" w:color="auto"/>
            <w:left w:val="none" w:sz="0" w:space="0" w:color="auto"/>
            <w:bottom w:val="none" w:sz="0" w:space="0" w:color="auto"/>
            <w:right w:val="none" w:sz="0" w:space="0" w:color="auto"/>
          </w:divBdr>
        </w:div>
        <w:div w:id="109403163">
          <w:marLeft w:val="1166"/>
          <w:marRight w:val="0"/>
          <w:marTop w:val="240"/>
          <w:marBottom w:val="0"/>
          <w:divBdr>
            <w:top w:val="none" w:sz="0" w:space="0" w:color="auto"/>
            <w:left w:val="none" w:sz="0" w:space="0" w:color="auto"/>
            <w:bottom w:val="none" w:sz="0" w:space="0" w:color="auto"/>
            <w:right w:val="none" w:sz="0" w:space="0" w:color="auto"/>
          </w:divBdr>
        </w:div>
        <w:div w:id="888537981">
          <w:marLeft w:val="1872"/>
          <w:marRight w:val="0"/>
          <w:marTop w:val="240"/>
          <w:marBottom w:val="0"/>
          <w:divBdr>
            <w:top w:val="none" w:sz="0" w:space="0" w:color="auto"/>
            <w:left w:val="none" w:sz="0" w:space="0" w:color="auto"/>
            <w:bottom w:val="none" w:sz="0" w:space="0" w:color="auto"/>
            <w:right w:val="none" w:sz="0" w:space="0" w:color="auto"/>
          </w:divBdr>
        </w:div>
        <w:div w:id="859318513">
          <w:marLeft w:val="1872"/>
          <w:marRight w:val="0"/>
          <w:marTop w:val="240"/>
          <w:marBottom w:val="0"/>
          <w:divBdr>
            <w:top w:val="none" w:sz="0" w:space="0" w:color="auto"/>
            <w:left w:val="none" w:sz="0" w:space="0" w:color="auto"/>
            <w:bottom w:val="none" w:sz="0" w:space="0" w:color="auto"/>
            <w:right w:val="none" w:sz="0" w:space="0" w:color="auto"/>
          </w:divBdr>
        </w:div>
        <w:div w:id="275478882">
          <w:marLeft w:val="1166"/>
          <w:marRight w:val="0"/>
          <w:marTop w:val="240"/>
          <w:marBottom w:val="0"/>
          <w:divBdr>
            <w:top w:val="none" w:sz="0" w:space="0" w:color="auto"/>
            <w:left w:val="none" w:sz="0" w:space="0" w:color="auto"/>
            <w:bottom w:val="none" w:sz="0" w:space="0" w:color="auto"/>
            <w:right w:val="none" w:sz="0" w:space="0" w:color="auto"/>
          </w:divBdr>
        </w:div>
        <w:div w:id="752969723">
          <w:marLeft w:val="1454"/>
          <w:marRight w:val="0"/>
          <w:marTop w:val="240"/>
          <w:marBottom w:val="0"/>
          <w:divBdr>
            <w:top w:val="none" w:sz="0" w:space="0" w:color="auto"/>
            <w:left w:val="none" w:sz="0" w:space="0" w:color="auto"/>
            <w:bottom w:val="none" w:sz="0" w:space="0" w:color="auto"/>
            <w:right w:val="none" w:sz="0" w:space="0" w:color="auto"/>
          </w:divBdr>
        </w:div>
        <w:div w:id="1556356594">
          <w:marLeft w:val="1454"/>
          <w:marRight w:val="0"/>
          <w:marTop w:val="240"/>
          <w:marBottom w:val="0"/>
          <w:divBdr>
            <w:top w:val="none" w:sz="0" w:space="0" w:color="auto"/>
            <w:left w:val="none" w:sz="0" w:space="0" w:color="auto"/>
            <w:bottom w:val="none" w:sz="0" w:space="0" w:color="auto"/>
            <w:right w:val="none" w:sz="0" w:space="0" w:color="auto"/>
          </w:divBdr>
        </w:div>
      </w:divsChild>
    </w:div>
    <w:div w:id="1463116162">
      <w:bodyDiv w:val="1"/>
      <w:marLeft w:val="0"/>
      <w:marRight w:val="0"/>
      <w:marTop w:val="0"/>
      <w:marBottom w:val="0"/>
      <w:divBdr>
        <w:top w:val="none" w:sz="0" w:space="0" w:color="auto"/>
        <w:left w:val="none" w:sz="0" w:space="0" w:color="auto"/>
        <w:bottom w:val="none" w:sz="0" w:space="0" w:color="auto"/>
        <w:right w:val="none" w:sz="0" w:space="0" w:color="auto"/>
      </w:divBdr>
    </w:div>
    <w:div w:id="1484154835">
      <w:bodyDiv w:val="1"/>
      <w:marLeft w:val="0"/>
      <w:marRight w:val="0"/>
      <w:marTop w:val="0"/>
      <w:marBottom w:val="0"/>
      <w:divBdr>
        <w:top w:val="none" w:sz="0" w:space="0" w:color="auto"/>
        <w:left w:val="none" w:sz="0" w:space="0" w:color="auto"/>
        <w:bottom w:val="none" w:sz="0" w:space="0" w:color="auto"/>
        <w:right w:val="none" w:sz="0" w:space="0" w:color="auto"/>
      </w:divBdr>
    </w:div>
    <w:div w:id="1529563212">
      <w:bodyDiv w:val="1"/>
      <w:marLeft w:val="0"/>
      <w:marRight w:val="0"/>
      <w:marTop w:val="0"/>
      <w:marBottom w:val="0"/>
      <w:divBdr>
        <w:top w:val="none" w:sz="0" w:space="0" w:color="auto"/>
        <w:left w:val="none" w:sz="0" w:space="0" w:color="auto"/>
        <w:bottom w:val="none" w:sz="0" w:space="0" w:color="auto"/>
        <w:right w:val="none" w:sz="0" w:space="0" w:color="auto"/>
      </w:divBdr>
    </w:div>
    <w:div w:id="1567104803">
      <w:bodyDiv w:val="1"/>
      <w:marLeft w:val="0"/>
      <w:marRight w:val="0"/>
      <w:marTop w:val="0"/>
      <w:marBottom w:val="0"/>
      <w:divBdr>
        <w:top w:val="none" w:sz="0" w:space="0" w:color="auto"/>
        <w:left w:val="none" w:sz="0" w:space="0" w:color="auto"/>
        <w:bottom w:val="none" w:sz="0" w:space="0" w:color="auto"/>
        <w:right w:val="none" w:sz="0" w:space="0" w:color="auto"/>
      </w:divBdr>
      <w:divsChild>
        <w:div w:id="756942294">
          <w:marLeft w:val="446"/>
          <w:marRight w:val="0"/>
          <w:marTop w:val="0"/>
          <w:marBottom w:val="0"/>
          <w:divBdr>
            <w:top w:val="none" w:sz="0" w:space="0" w:color="auto"/>
            <w:left w:val="none" w:sz="0" w:space="0" w:color="auto"/>
            <w:bottom w:val="none" w:sz="0" w:space="0" w:color="auto"/>
            <w:right w:val="none" w:sz="0" w:space="0" w:color="auto"/>
          </w:divBdr>
        </w:div>
      </w:divsChild>
    </w:div>
    <w:div w:id="1592351313">
      <w:bodyDiv w:val="1"/>
      <w:marLeft w:val="0"/>
      <w:marRight w:val="0"/>
      <w:marTop w:val="0"/>
      <w:marBottom w:val="0"/>
      <w:divBdr>
        <w:top w:val="none" w:sz="0" w:space="0" w:color="auto"/>
        <w:left w:val="none" w:sz="0" w:space="0" w:color="auto"/>
        <w:bottom w:val="none" w:sz="0" w:space="0" w:color="auto"/>
        <w:right w:val="none" w:sz="0" w:space="0" w:color="auto"/>
      </w:divBdr>
      <w:divsChild>
        <w:div w:id="1698581331">
          <w:marLeft w:val="1166"/>
          <w:marRight w:val="0"/>
          <w:marTop w:val="0"/>
          <w:marBottom w:val="0"/>
          <w:divBdr>
            <w:top w:val="none" w:sz="0" w:space="0" w:color="auto"/>
            <w:left w:val="none" w:sz="0" w:space="0" w:color="auto"/>
            <w:bottom w:val="none" w:sz="0" w:space="0" w:color="auto"/>
            <w:right w:val="none" w:sz="0" w:space="0" w:color="auto"/>
          </w:divBdr>
        </w:div>
      </w:divsChild>
    </w:div>
    <w:div w:id="1632709434">
      <w:bodyDiv w:val="1"/>
      <w:marLeft w:val="0"/>
      <w:marRight w:val="0"/>
      <w:marTop w:val="0"/>
      <w:marBottom w:val="0"/>
      <w:divBdr>
        <w:top w:val="none" w:sz="0" w:space="0" w:color="auto"/>
        <w:left w:val="none" w:sz="0" w:space="0" w:color="auto"/>
        <w:bottom w:val="none" w:sz="0" w:space="0" w:color="auto"/>
        <w:right w:val="none" w:sz="0" w:space="0" w:color="auto"/>
      </w:divBdr>
    </w:div>
    <w:div w:id="1642272242">
      <w:bodyDiv w:val="1"/>
      <w:marLeft w:val="0"/>
      <w:marRight w:val="0"/>
      <w:marTop w:val="0"/>
      <w:marBottom w:val="0"/>
      <w:divBdr>
        <w:top w:val="none" w:sz="0" w:space="0" w:color="auto"/>
        <w:left w:val="none" w:sz="0" w:space="0" w:color="auto"/>
        <w:bottom w:val="none" w:sz="0" w:space="0" w:color="auto"/>
        <w:right w:val="none" w:sz="0" w:space="0" w:color="auto"/>
      </w:divBdr>
      <w:divsChild>
        <w:div w:id="1868641566">
          <w:marLeft w:val="288"/>
          <w:marRight w:val="0"/>
          <w:marTop w:val="240"/>
          <w:marBottom w:val="0"/>
          <w:divBdr>
            <w:top w:val="none" w:sz="0" w:space="0" w:color="auto"/>
            <w:left w:val="none" w:sz="0" w:space="0" w:color="auto"/>
            <w:bottom w:val="none" w:sz="0" w:space="0" w:color="auto"/>
            <w:right w:val="none" w:sz="0" w:space="0" w:color="auto"/>
          </w:divBdr>
        </w:div>
      </w:divsChild>
    </w:div>
    <w:div w:id="1660039225">
      <w:bodyDiv w:val="1"/>
      <w:marLeft w:val="0"/>
      <w:marRight w:val="0"/>
      <w:marTop w:val="0"/>
      <w:marBottom w:val="0"/>
      <w:divBdr>
        <w:top w:val="none" w:sz="0" w:space="0" w:color="auto"/>
        <w:left w:val="none" w:sz="0" w:space="0" w:color="auto"/>
        <w:bottom w:val="none" w:sz="0" w:space="0" w:color="auto"/>
        <w:right w:val="none" w:sz="0" w:space="0" w:color="auto"/>
      </w:divBdr>
    </w:div>
    <w:div w:id="1681542986">
      <w:bodyDiv w:val="1"/>
      <w:marLeft w:val="0"/>
      <w:marRight w:val="0"/>
      <w:marTop w:val="0"/>
      <w:marBottom w:val="0"/>
      <w:divBdr>
        <w:top w:val="none" w:sz="0" w:space="0" w:color="auto"/>
        <w:left w:val="none" w:sz="0" w:space="0" w:color="auto"/>
        <w:bottom w:val="none" w:sz="0" w:space="0" w:color="auto"/>
        <w:right w:val="none" w:sz="0" w:space="0" w:color="auto"/>
      </w:divBdr>
    </w:div>
    <w:div w:id="1689788822">
      <w:bodyDiv w:val="1"/>
      <w:marLeft w:val="0"/>
      <w:marRight w:val="0"/>
      <w:marTop w:val="0"/>
      <w:marBottom w:val="0"/>
      <w:divBdr>
        <w:top w:val="none" w:sz="0" w:space="0" w:color="auto"/>
        <w:left w:val="none" w:sz="0" w:space="0" w:color="auto"/>
        <w:bottom w:val="none" w:sz="0" w:space="0" w:color="auto"/>
        <w:right w:val="none" w:sz="0" w:space="0" w:color="auto"/>
      </w:divBdr>
      <w:divsChild>
        <w:div w:id="42995481">
          <w:marLeft w:val="562"/>
          <w:marRight w:val="0"/>
          <w:marTop w:val="67"/>
          <w:marBottom w:val="0"/>
          <w:divBdr>
            <w:top w:val="none" w:sz="0" w:space="0" w:color="auto"/>
            <w:left w:val="none" w:sz="0" w:space="0" w:color="auto"/>
            <w:bottom w:val="none" w:sz="0" w:space="0" w:color="auto"/>
            <w:right w:val="none" w:sz="0" w:space="0" w:color="auto"/>
          </w:divBdr>
        </w:div>
        <w:div w:id="80105300">
          <w:marLeft w:val="562"/>
          <w:marRight w:val="0"/>
          <w:marTop w:val="67"/>
          <w:marBottom w:val="0"/>
          <w:divBdr>
            <w:top w:val="none" w:sz="0" w:space="0" w:color="auto"/>
            <w:left w:val="none" w:sz="0" w:space="0" w:color="auto"/>
            <w:bottom w:val="none" w:sz="0" w:space="0" w:color="auto"/>
            <w:right w:val="none" w:sz="0" w:space="0" w:color="auto"/>
          </w:divBdr>
        </w:div>
        <w:div w:id="147282843">
          <w:marLeft w:val="562"/>
          <w:marRight w:val="0"/>
          <w:marTop w:val="67"/>
          <w:marBottom w:val="0"/>
          <w:divBdr>
            <w:top w:val="none" w:sz="0" w:space="0" w:color="auto"/>
            <w:left w:val="none" w:sz="0" w:space="0" w:color="auto"/>
            <w:bottom w:val="none" w:sz="0" w:space="0" w:color="auto"/>
            <w:right w:val="none" w:sz="0" w:space="0" w:color="auto"/>
          </w:divBdr>
        </w:div>
        <w:div w:id="356779572">
          <w:marLeft w:val="274"/>
          <w:marRight w:val="0"/>
          <w:marTop w:val="120"/>
          <w:marBottom w:val="0"/>
          <w:divBdr>
            <w:top w:val="none" w:sz="0" w:space="0" w:color="auto"/>
            <w:left w:val="none" w:sz="0" w:space="0" w:color="auto"/>
            <w:bottom w:val="none" w:sz="0" w:space="0" w:color="auto"/>
            <w:right w:val="none" w:sz="0" w:space="0" w:color="auto"/>
          </w:divBdr>
        </w:div>
        <w:div w:id="1057511614">
          <w:marLeft w:val="562"/>
          <w:marRight w:val="0"/>
          <w:marTop w:val="67"/>
          <w:marBottom w:val="0"/>
          <w:divBdr>
            <w:top w:val="none" w:sz="0" w:space="0" w:color="auto"/>
            <w:left w:val="none" w:sz="0" w:space="0" w:color="auto"/>
            <w:bottom w:val="none" w:sz="0" w:space="0" w:color="auto"/>
            <w:right w:val="none" w:sz="0" w:space="0" w:color="auto"/>
          </w:divBdr>
        </w:div>
        <w:div w:id="1137337726">
          <w:marLeft w:val="274"/>
          <w:marRight w:val="0"/>
          <w:marTop w:val="120"/>
          <w:marBottom w:val="0"/>
          <w:divBdr>
            <w:top w:val="none" w:sz="0" w:space="0" w:color="auto"/>
            <w:left w:val="none" w:sz="0" w:space="0" w:color="auto"/>
            <w:bottom w:val="none" w:sz="0" w:space="0" w:color="auto"/>
            <w:right w:val="none" w:sz="0" w:space="0" w:color="auto"/>
          </w:divBdr>
        </w:div>
        <w:div w:id="1387101363">
          <w:marLeft w:val="274"/>
          <w:marRight w:val="0"/>
          <w:marTop w:val="120"/>
          <w:marBottom w:val="0"/>
          <w:divBdr>
            <w:top w:val="none" w:sz="0" w:space="0" w:color="auto"/>
            <w:left w:val="none" w:sz="0" w:space="0" w:color="auto"/>
            <w:bottom w:val="none" w:sz="0" w:space="0" w:color="auto"/>
            <w:right w:val="none" w:sz="0" w:space="0" w:color="auto"/>
          </w:divBdr>
        </w:div>
        <w:div w:id="1629631112">
          <w:marLeft w:val="562"/>
          <w:marRight w:val="0"/>
          <w:marTop w:val="67"/>
          <w:marBottom w:val="0"/>
          <w:divBdr>
            <w:top w:val="none" w:sz="0" w:space="0" w:color="auto"/>
            <w:left w:val="none" w:sz="0" w:space="0" w:color="auto"/>
            <w:bottom w:val="none" w:sz="0" w:space="0" w:color="auto"/>
            <w:right w:val="none" w:sz="0" w:space="0" w:color="auto"/>
          </w:divBdr>
        </w:div>
        <w:div w:id="1741365153">
          <w:marLeft w:val="274"/>
          <w:marRight w:val="0"/>
          <w:marTop w:val="120"/>
          <w:marBottom w:val="0"/>
          <w:divBdr>
            <w:top w:val="none" w:sz="0" w:space="0" w:color="auto"/>
            <w:left w:val="none" w:sz="0" w:space="0" w:color="auto"/>
            <w:bottom w:val="none" w:sz="0" w:space="0" w:color="auto"/>
            <w:right w:val="none" w:sz="0" w:space="0" w:color="auto"/>
          </w:divBdr>
        </w:div>
      </w:divsChild>
    </w:div>
    <w:div w:id="1694182219">
      <w:bodyDiv w:val="1"/>
      <w:marLeft w:val="0"/>
      <w:marRight w:val="0"/>
      <w:marTop w:val="0"/>
      <w:marBottom w:val="0"/>
      <w:divBdr>
        <w:top w:val="none" w:sz="0" w:space="0" w:color="auto"/>
        <w:left w:val="none" w:sz="0" w:space="0" w:color="auto"/>
        <w:bottom w:val="none" w:sz="0" w:space="0" w:color="auto"/>
        <w:right w:val="none" w:sz="0" w:space="0" w:color="auto"/>
      </w:divBdr>
      <w:divsChild>
        <w:div w:id="654770512">
          <w:marLeft w:val="547"/>
          <w:marRight w:val="0"/>
          <w:marTop w:val="0"/>
          <w:marBottom w:val="0"/>
          <w:divBdr>
            <w:top w:val="none" w:sz="0" w:space="0" w:color="auto"/>
            <w:left w:val="none" w:sz="0" w:space="0" w:color="auto"/>
            <w:bottom w:val="none" w:sz="0" w:space="0" w:color="auto"/>
            <w:right w:val="none" w:sz="0" w:space="0" w:color="auto"/>
          </w:divBdr>
        </w:div>
      </w:divsChild>
    </w:div>
    <w:div w:id="1718627711">
      <w:bodyDiv w:val="1"/>
      <w:marLeft w:val="0"/>
      <w:marRight w:val="0"/>
      <w:marTop w:val="0"/>
      <w:marBottom w:val="0"/>
      <w:divBdr>
        <w:top w:val="none" w:sz="0" w:space="0" w:color="auto"/>
        <w:left w:val="none" w:sz="0" w:space="0" w:color="auto"/>
        <w:bottom w:val="none" w:sz="0" w:space="0" w:color="auto"/>
        <w:right w:val="none" w:sz="0" w:space="0" w:color="auto"/>
      </w:divBdr>
    </w:div>
    <w:div w:id="1735619016">
      <w:bodyDiv w:val="1"/>
      <w:marLeft w:val="0"/>
      <w:marRight w:val="0"/>
      <w:marTop w:val="0"/>
      <w:marBottom w:val="0"/>
      <w:divBdr>
        <w:top w:val="none" w:sz="0" w:space="0" w:color="auto"/>
        <w:left w:val="none" w:sz="0" w:space="0" w:color="auto"/>
        <w:bottom w:val="none" w:sz="0" w:space="0" w:color="auto"/>
        <w:right w:val="none" w:sz="0" w:space="0" w:color="auto"/>
      </w:divBdr>
    </w:div>
    <w:div w:id="1785079335">
      <w:bodyDiv w:val="1"/>
      <w:marLeft w:val="0"/>
      <w:marRight w:val="0"/>
      <w:marTop w:val="0"/>
      <w:marBottom w:val="0"/>
      <w:divBdr>
        <w:top w:val="none" w:sz="0" w:space="0" w:color="auto"/>
        <w:left w:val="none" w:sz="0" w:space="0" w:color="auto"/>
        <w:bottom w:val="none" w:sz="0" w:space="0" w:color="auto"/>
        <w:right w:val="none" w:sz="0" w:space="0" w:color="auto"/>
      </w:divBdr>
    </w:div>
    <w:div w:id="1812819484">
      <w:bodyDiv w:val="1"/>
      <w:marLeft w:val="0"/>
      <w:marRight w:val="0"/>
      <w:marTop w:val="0"/>
      <w:marBottom w:val="0"/>
      <w:divBdr>
        <w:top w:val="none" w:sz="0" w:space="0" w:color="auto"/>
        <w:left w:val="none" w:sz="0" w:space="0" w:color="auto"/>
        <w:bottom w:val="none" w:sz="0" w:space="0" w:color="auto"/>
        <w:right w:val="none" w:sz="0" w:space="0" w:color="auto"/>
      </w:divBdr>
    </w:div>
    <w:div w:id="1849754883">
      <w:bodyDiv w:val="1"/>
      <w:marLeft w:val="0"/>
      <w:marRight w:val="0"/>
      <w:marTop w:val="0"/>
      <w:marBottom w:val="0"/>
      <w:divBdr>
        <w:top w:val="none" w:sz="0" w:space="0" w:color="auto"/>
        <w:left w:val="none" w:sz="0" w:space="0" w:color="auto"/>
        <w:bottom w:val="none" w:sz="0" w:space="0" w:color="auto"/>
        <w:right w:val="none" w:sz="0" w:space="0" w:color="auto"/>
      </w:divBdr>
    </w:div>
    <w:div w:id="1852453361">
      <w:bodyDiv w:val="1"/>
      <w:marLeft w:val="0"/>
      <w:marRight w:val="0"/>
      <w:marTop w:val="0"/>
      <w:marBottom w:val="0"/>
      <w:divBdr>
        <w:top w:val="none" w:sz="0" w:space="0" w:color="auto"/>
        <w:left w:val="none" w:sz="0" w:space="0" w:color="auto"/>
        <w:bottom w:val="none" w:sz="0" w:space="0" w:color="auto"/>
        <w:right w:val="none" w:sz="0" w:space="0" w:color="auto"/>
      </w:divBdr>
      <w:divsChild>
        <w:div w:id="2098205643">
          <w:marLeft w:val="547"/>
          <w:marRight w:val="0"/>
          <w:marTop w:val="0"/>
          <w:marBottom w:val="0"/>
          <w:divBdr>
            <w:top w:val="none" w:sz="0" w:space="0" w:color="auto"/>
            <w:left w:val="none" w:sz="0" w:space="0" w:color="auto"/>
            <w:bottom w:val="none" w:sz="0" w:space="0" w:color="auto"/>
            <w:right w:val="none" w:sz="0" w:space="0" w:color="auto"/>
          </w:divBdr>
        </w:div>
      </w:divsChild>
    </w:div>
    <w:div w:id="1894535637">
      <w:bodyDiv w:val="1"/>
      <w:marLeft w:val="0"/>
      <w:marRight w:val="0"/>
      <w:marTop w:val="0"/>
      <w:marBottom w:val="0"/>
      <w:divBdr>
        <w:top w:val="none" w:sz="0" w:space="0" w:color="auto"/>
        <w:left w:val="none" w:sz="0" w:space="0" w:color="auto"/>
        <w:bottom w:val="none" w:sz="0" w:space="0" w:color="auto"/>
        <w:right w:val="none" w:sz="0" w:space="0" w:color="auto"/>
      </w:divBdr>
    </w:div>
    <w:div w:id="2000379712">
      <w:bodyDiv w:val="1"/>
      <w:marLeft w:val="0"/>
      <w:marRight w:val="0"/>
      <w:marTop w:val="0"/>
      <w:marBottom w:val="0"/>
      <w:divBdr>
        <w:top w:val="none" w:sz="0" w:space="0" w:color="auto"/>
        <w:left w:val="none" w:sz="0" w:space="0" w:color="auto"/>
        <w:bottom w:val="none" w:sz="0" w:space="0" w:color="auto"/>
        <w:right w:val="none" w:sz="0" w:space="0" w:color="auto"/>
      </w:divBdr>
      <w:divsChild>
        <w:div w:id="1201018024">
          <w:marLeft w:val="446"/>
          <w:marRight w:val="0"/>
          <w:marTop w:val="0"/>
          <w:marBottom w:val="0"/>
          <w:divBdr>
            <w:top w:val="none" w:sz="0" w:space="0" w:color="auto"/>
            <w:left w:val="none" w:sz="0" w:space="0" w:color="auto"/>
            <w:bottom w:val="none" w:sz="0" w:space="0" w:color="auto"/>
            <w:right w:val="none" w:sz="0" w:space="0" w:color="auto"/>
          </w:divBdr>
        </w:div>
      </w:divsChild>
    </w:div>
    <w:div w:id="2018540154">
      <w:bodyDiv w:val="1"/>
      <w:marLeft w:val="0"/>
      <w:marRight w:val="0"/>
      <w:marTop w:val="0"/>
      <w:marBottom w:val="0"/>
      <w:divBdr>
        <w:top w:val="none" w:sz="0" w:space="0" w:color="auto"/>
        <w:left w:val="none" w:sz="0" w:space="0" w:color="auto"/>
        <w:bottom w:val="none" w:sz="0" w:space="0" w:color="auto"/>
        <w:right w:val="none" w:sz="0" w:space="0" w:color="auto"/>
      </w:divBdr>
    </w:div>
    <w:div w:id="2029671431">
      <w:bodyDiv w:val="1"/>
      <w:marLeft w:val="0"/>
      <w:marRight w:val="0"/>
      <w:marTop w:val="0"/>
      <w:marBottom w:val="0"/>
      <w:divBdr>
        <w:top w:val="none" w:sz="0" w:space="0" w:color="auto"/>
        <w:left w:val="none" w:sz="0" w:space="0" w:color="auto"/>
        <w:bottom w:val="none" w:sz="0" w:space="0" w:color="auto"/>
        <w:right w:val="none" w:sz="0" w:space="0" w:color="auto"/>
      </w:divBdr>
    </w:div>
    <w:div w:id="2038047488">
      <w:bodyDiv w:val="1"/>
      <w:marLeft w:val="0"/>
      <w:marRight w:val="0"/>
      <w:marTop w:val="0"/>
      <w:marBottom w:val="0"/>
      <w:divBdr>
        <w:top w:val="none" w:sz="0" w:space="0" w:color="auto"/>
        <w:left w:val="none" w:sz="0" w:space="0" w:color="auto"/>
        <w:bottom w:val="none" w:sz="0" w:space="0" w:color="auto"/>
        <w:right w:val="none" w:sz="0" w:space="0" w:color="auto"/>
      </w:divBdr>
    </w:div>
    <w:div w:id="2076589882">
      <w:bodyDiv w:val="1"/>
      <w:marLeft w:val="0"/>
      <w:marRight w:val="0"/>
      <w:marTop w:val="0"/>
      <w:marBottom w:val="0"/>
      <w:divBdr>
        <w:top w:val="none" w:sz="0" w:space="0" w:color="auto"/>
        <w:left w:val="none" w:sz="0" w:space="0" w:color="auto"/>
        <w:bottom w:val="none" w:sz="0" w:space="0" w:color="auto"/>
        <w:right w:val="none" w:sz="0" w:space="0" w:color="auto"/>
      </w:divBdr>
      <w:divsChild>
        <w:div w:id="238255626">
          <w:marLeft w:val="0"/>
          <w:marRight w:val="0"/>
          <w:marTop w:val="0"/>
          <w:marBottom w:val="0"/>
          <w:divBdr>
            <w:top w:val="none" w:sz="0" w:space="0" w:color="auto"/>
            <w:left w:val="none" w:sz="0" w:space="0" w:color="auto"/>
            <w:bottom w:val="none" w:sz="0" w:space="0" w:color="auto"/>
            <w:right w:val="none" w:sz="0" w:space="0" w:color="auto"/>
          </w:divBdr>
          <w:divsChild>
            <w:div w:id="1745831464">
              <w:marLeft w:val="0"/>
              <w:marRight w:val="0"/>
              <w:marTop w:val="0"/>
              <w:marBottom w:val="0"/>
              <w:divBdr>
                <w:top w:val="none" w:sz="0" w:space="0" w:color="auto"/>
                <w:left w:val="none" w:sz="0" w:space="0" w:color="auto"/>
                <w:bottom w:val="none" w:sz="0" w:space="0" w:color="auto"/>
                <w:right w:val="none" w:sz="0" w:space="0" w:color="auto"/>
              </w:divBdr>
              <w:divsChild>
                <w:div w:id="181625802">
                  <w:marLeft w:val="0"/>
                  <w:marRight w:val="0"/>
                  <w:marTop w:val="0"/>
                  <w:marBottom w:val="0"/>
                  <w:divBdr>
                    <w:top w:val="none" w:sz="0" w:space="0" w:color="auto"/>
                    <w:left w:val="none" w:sz="0" w:space="0" w:color="auto"/>
                    <w:bottom w:val="none" w:sz="0" w:space="0" w:color="auto"/>
                    <w:right w:val="none" w:sz="0" w:space="0" w:color="auto"/>
                  </w:divBdr>
                  <w:divsChild>
                    <w:div w:id="1528719908">
                      <w:marLeft w:val="0"/>
                      <w:marRight w:val="0"/>
                      <w:marTop w:val="0"/>
                      <w:marBottom w:val="0"/>
                      <w:divBdr>
                        <w:top w:val="none" w:sz="0" w:space="0" w:color="auto"/>
                        <w:left w:val="none" w:sz="0" w:space="0" w:color="auto"/>
                        <w:bottom w:val="none" w:sz="0" w:space="0" w:color="auto"/>
                        <w:right w:val="none" w:sz="0" w:space="0" w:color="auto"/>
                      </w:divBdr>
                      <w:divsChild>
                        <w:div w:id="851380270">
                          <w:marLeft w:val="0"/>
                          <w:marRight w:val="0"/>
                          <w:marTop w:val="0"/>
                          <w:marBottom w:val="0"/>
                          <w:divBdr>
                            <w:top w:val="none" w:sz="0" w:space="0" w:color="auto"/>
                            <w:left w:val="none" w:sz="0" w:space="0" w:color="auto"/>
                            <w:bottom w:val="none" w:sz="0" w:space="0" w:color="auto"/>
                            <w:right w:val="none" w:sz="0" w:space="0" w:color="auto"/>
                          </w:divBdr>
                          <w:divsChild>
                            <w:div w:id="453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707411">
      <w:bodyDiv w:val="1"/>
      <w:marLeft w:val="0"/>
      <w:marRight w:val="0"/>
      <w:marTop w:val="0"/>
      <w:marBottom w:val="0"/>
      <w:divBdr>
        <w:top w:val="none" w:sz="0" w:space="0" w:color="auto"/>
        <w:left w:val="none" w:sz="0" w:space="0" w:color="auto"/>
        <w:bottom w:val="none" w:sz="0" w:space="0" w:color="auto"/>
        <w:right w:val="none" w:sz="0" w:space="0" w:color="auto"/>
      </w:divBdr>
      <w:divsChild>
        <w:div w:id="823547716">
          <w:marLeft w:val="547"/>
          <w:marRight w:val="0"/>
          <w:marTop w:val="0"/>
          <w:marBottom w:val="0"/>
          <w:divBdr>
            <w:top w:val="none" w:sz="0" w:space="0" w:color="auto"/>
            <w:left w:val="none" w:sz="0" w:space="0" w:color="auto"/>
            <w:bottom w:val="none" w:sz="0" w:space="0" w:color="auto"/>
            <w:right w:val="none" w:sz="0" w:space="0" w:color="auto"/>
          </w:divBdr>
        </w:div>
      </w:divsChild>
    </w:div>
    <w:div w:id="214318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fisher.com" TargetMode="External"/><Relationship Id="rId13" Type="http://schemas.openxmlformats.org/officeDocument/2006/relationships/hyperlink" Target="http://www.kingfisher.com/index.asp?pageid=76"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ingfisher.com/index.asp?pageid=5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tatistiques.developpement-durable.gouv.fr/logement-construction/s/construction-logements.htm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nas01.kingfisher.co.uk\corp_comms$\Financial%20Communications\Interims\2015_16\Release\www.kingfisher.com\index.asp%3fpageid=59" TargetMode="External"/><Relationship Id="rId5" Type="http://schemas.openxmlformats.org/officeDocument/2006/relationships/webSettings" Target="webSettings.xml"/><Relationship Id="rId15" Type="http://schemas.openxmlformats.org/officeDocument/2006/relationships/hyperlink" Target="http://webstat.banque-france.fr/en/browse.do?node=5384326" TargetMode="External"/><Relationship Id="rId10" Type="http://schemas.openxmlformats.org/officeDocument/2006/relationships/hyperlink" Target="http://www.kingfisher.com/index.asp?pageid=5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nas01.kingfisher.co.uk\corp_comms$\Financial%20Communications\Interims\2015_16\Release\www.kingfisher.com\index.asp%3fpageid=59" TargetMode="External"/><Relationship Id="rId14" Type="http://schemas.openxmlformats.org/officeDocument/2006/relationships/hyperlink" Target="http://www.kingfisher.com/index.asp?pageid=59"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255E3-C239-422A-8BF0-C6D28228D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23</Pages>
  <Words>7332</Words>
  <Characters>40074</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EMBARGOED UNTIL 0700 HOURS</vt:lpstr>
    </vt:vector>
  </TitlesOfParts>
  <Company>Grizli777</Company>
  <LinksUpToDate>false</LinksUpToDate>
  <CharactersWithSpaces>47312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EMBARGOED UNTIL 0700 HOURS</dc:title>
  <dc:creator>woodward</dc:creator>
  <cp:lastModifiedBy>Levy, Sarah</cp:lastModifiedBy>
  <cp:revision>10</cp:revision>
  <cp:lastPrinted>2015-09-14T15:43:00Z</cp:lastPrinted>
  <dcterms:created xsi:type="dcterms:W3CDTF">2015-09-14T16:43:00Z</dcterms:created>
  <dcterms:modified xsi:type="dcterms:W3CDTF">2015-09-15T12:43:00Z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507887978</vt:i4>
  </property>
</Properties>
</file>