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0EDD" w14:textId="73F9644A" w:rsidR="002D541F" w:rsidRPr="00A845B7" w:rsidRDefault="00F764D3" w:rsidP="007739DD">
      <w:pPr>
        <w:jc w:val="center"/>
        <w:rPr>
          <w:rFonts w:ascii="Arial" w:hAnsi="Arial" w:cs="Arial"/>
          <w:b/>
        </w:rPr>
      </w:pPr>
      <w:bookmarkStart w:id="0" w:name="_GoBack"/>
      <w:bookmarkEnd w:id="0"/>
      <w:r w:rsidRPr="00A845B7">
        <w:rPr>
          <w:rFonts w:ascii="Arial" w:hAnsi="Arial" w:cs="Arial"/>
          <w:b/>
        </w:rPr>
        <w:t xml:space="preserve">Final </w:t>
      </w:r>
      <w:r w:rsidR="009D7DE0" w:rsidRPr="00A845B7">
        <w:rPr>
          <w:rFonts w:ascii="Arial" w:hAnsi="Arial" w:cs="Arial"/>
          <w:b/>
        </w:rPr>
        <w:t xml:space="preserve">results </w:t>
      </w:r>
      <w:r w:rsidR="00DF23DF" w:rsidRPr="00A845B7">
        <w:rPr>
          <w:rFonts w:ascii="Arial" w:hAnsi="Arial" w:cs="Arial"/>
          <w:b/>
        </w:rPr>
        <w:t>for</w:t>
      </w:r>
      <w:r w:rsidR="00A359EE" w:rsidRPr="00A845B7">
        <w:rPr>
          <w:rFonts w:ascii="Arial" w:hAnsi="Arial" w:cs="Arial"/>
          <w:b/>
        </w:rPr>
        <w:t xml:space="preserve"> </w:t>
      </w:r>
      <w:r w:rsidRPr="00A845B7">
        <w:rPr>
          <w:rFonts w:ascii="Arial" w:hAnsi="Arial" w:cs="Arial"/>
          <w:b/>
        </w:rPr>
        <w:t>year</w:t>
      </w:r>
      <w:r w:rsidR="00DF23DF" w:rsidRPr="00A845B7">
        <w:rPr>
          <w:rFonts w:ascii="Arial" w:hAnsi="Arial" w:cs="Arial"/>
          <w:b/>
        </w:rPr>
        <w:t xml:space="preserve"> </w:t>
      </w:r>
      <w:r w:rsidR="009D7DE0" w:rsidRPr="00A845B7">
        <w:rPr>
          <w:rFonts w:ascii="Arial" w:hAnsi="Arial" w:cs="Arial"/>
          <w:b/>
        </w:rPr>
        <w:t xml:space="preserve">ended </w:t>
      </w:r>
      <w:r w:rsidR="00686549" w:rsidRPr="00A845B7">
        <w:rPr>
          <w:rFonts w:ascii="Arial" w:hAnsi="Arial" w:cs="Arial"/>
          <w:b/>
        </w:rPr>
        <w:t xml:space="preserve">31 </w:t>
      </w:r>
      <w:r w:rsidRPr="00A845B7">
        <w:rPr>
          <w:rFonts w:ascii="Arial" w:hAnsi="Arial" w:cs="Arial"/>
          <w:b/>
        </w:rPr>
        <w:t>January 201</w:t>
      </w:r>
      <w:r w:rsidR="00D53982">
        <w:rPr>
          <w:rFonts w:ascii="Arial" w:hAnsi="Arial" w:cs="Arial"/>
          <w:b/>
        </w:rPr>
        <w:t>8</w:t>
      </w:r>
      <w:r w:rsidR="000669CD">
        <w:rPr>
          <w:rFonts w:ascii="Arial" w:hAnsi="Arial" w:cs="Arial"/>
          <w:b/>
        </w:rPr>
        <w:t xml:space="preserve"> </w:t>
      </w:r>
      <w:r w:rsidR="007739DD" w:rsidRPr="00522D61">
        <w:rPr>
          <w:rFonts w:ascii="Arial" w:hAnsi="Arial" w:cs="Arial"/>
          <w:b/>
        </w:rPr>
        <w:t xml:space="preserve">(Year 2 of our </w:t>
      </w:r>
      <w:proofErr w:type="gramStart"/>
      <w:r w:rsidR="007739DD" w:rsidRPr="00522D61">
        <w:rPr>
          <w:rFonts w:ascii="Arial" w:hAnsi="Arial" w:cs="Arial"/>
          <w:b/>
        </w:rPr>
        <w:t>5 year</w:t>
      </w:r>
      <w:proofErr w:type="gramEnd"/>
      <w:r w:rsidR="007739DD" w:rsidRPr="00522D61">
        <w:rPr>
          <w:rFonts w:ascii="Arial" w:hAnsi="Arial" w:cs="Arial"/>
          <w:b/>
        </w:rPr>
        <w:t xml:space="preserve"> transformation)</w:t>
      </w:r>
    </w:p>
    <w:p w14:paraId="0DC91BC4" w14:textId="77777777" w:rsidR="00AB7A37" w:rsidRDefault="00AB7A37" w:rsidP="00926779">
      <w:pPr>
        <w:jc w:val="center"/>
        <w:rPr>
          <w:rFonts w:ascii="Arial" w:hAnsi="Arial" w:cs="Arial"/>
          <w:b/>
          <w:bCs/>
          <w:sz w:val="24"/>
          <w:szCs w:val="24"/>
          <w:u w:val="single"/>
        </w:rPr>
      </w:pPr>
    </w:p>
    <w:tbl>
      <w:tblPr>
        <w:tblStyle w:val="TableGrid"/>
        <w:tblW w:w="0" w:type="auto"/>
        <w:tblLook w:val="04A0" w:firstRow="1" w:lastRow="0" w:firstColumn="1" w:lastColumn="0" w:noHBand="0" w:noVBand="1"/>
      </w:tblPr>
      <w:tblGrid>
        <w:gridCol w:w="9631"/>
      </w:tblGrid>
      <w:tr w:rsidR="00A45362" w14:paraId="30095226" w14:textId="77777777" w:rsidTr="00A45362">
        <w:tc>
          <w:tcPr>
            <w:tcW w:w="9631" w:type="dxa"/>
          </w:tcPr>
          <w:tbl>
            <w:tblPr>
              <w:tblStyle w:val="TableGrid"/>
              <w:tblW w:w="9417" w:type="dxa"/>
              <w:tblLook w:val="04A0" w:firstRow="1" w:lastRow="0" w:firstColumn="1" w:lastColumn="0" w:noHBand="0" w:noVBand="1"/>
            </w:tblPr>
            <w:tblGrid>
              <w:gridCol w:w="2890"/>
              <w:gridCol w:w="1106"/>
              <w:gridCol w:w="1538"/>
              <w:gridCol w:w="1451"/>
              <w:gridCol w:w="1232"/>
              <w:gridCol w:w="1200"/>
            </w:tblGrid>
            <w:tr w:rsidR="00A45362" w14:paraId="49136A01" w14:textId="77777777" w:rsidTr="00D86BB6">
              <w:trPr>
                <w:trHeight w:val="679"/>
              </w:trPr>
              <w:tc>
                <w:tcPr>
                  <w:tcW w:w="5562" w:type="dxa"/>
                  <w:gridSpan w:val="3"/>
                  <w:tcBorders>
                    <w:top w:val="nil"/>
                    <w:left w:val="nil"/>
                    <w:bottom w:val="single" w:sz="4" w:space="0" w:color="auto"/>
                    <w:right w:val="nil"/>
                  </w:tcBorders>
                </w:tcPr>
                <w:p w14:paraId="773ADBC2" w14:textId="77777777" w:rsidR="009404DD" w:rsidRPr="00862FEB" w:rsidRDefault="009404DD" w:rsidP="00A45362">
                  <w:pPr>
                    <w:rPr>
                      <w:rFonts w:ascii="Arial" w:hAnsi="Arial" w:cs="Arial"/>
                      <w:b/>
                      <w:bCs/>
                      <w:sz w:val="22"/>
                      <w:szCs w:val="22"/>
                    </w:rPr>
                  </w:pPr>
                </w:p>
                <w:p w14:paraId="280D8C1A" w14:textId="77777777" w:rsidR="00A45362" w:rsidRPr="00862FEB" w:rsidRDefault="00A45362" w:rsidP="00A45362">
                  <w:pPr>
                    <w:rPr>
                      <w:sz w:val="22"/>
                      <w:szCs w:val="22"/>
                    </w:rPr>
                  </w:pPr>
                  <w:r w:rsidRPr="00862FEB">
                    <w:rPr>
                      <w:rFonts w:ascii="Arial" w:hAnsi="Arial" w:cs="Arial"/>
                      <w:b/>
                      <w:bCs/>
                      <w:sz w:val="22"/>
                      <w:szCs w:val="22"/>
                    </w:rPr>
                    <w:t>Financial highlights</w:t>
                  </w:r>
                </w:p>
              </w:tc>
              <w:tc>
                <w:tcPr>
                  <w:tcW w:w="1455" w:type="dxa"/>
                  <w:tcBorders>
                    <w:top w:val="nil"/>
                    <w:left w:val="nil"/>
                    <w:bottom w:val="single" w:sz="4" w:space="0" w:color="auto"/>
                    <w:right w:val="nil"/>
                  </w:tcBorders>
                </w:tcPr>
                <w:p w14:paraId="2AC48735" w14:textId="77777777" w:rsidR="009404DD" w:rsidRPr="00862FEB" w:rsidRDefault="009404DD" w:rsidP="00A45362">
                  <w:pPr>
                    <w:jc w:val="right"/>
                    <w:rPr>
                      <w:rFonts w:ascii="Arial" w:hAnsi="Arial" w:cs="Arial"/>
                      <w:b/>
                      <w:bCs/>
                      <w:sz w:val="22"/>
                      <w:szCs w:val="22"/>
                    </w:rPr>
                  </w:pPr>
                </w:p>
                <w:p w14:paraId="5083B3DA" w14:textId="77777777" w:rsidR="00A45362" w:rsidRPr="00862FEB" w:rsidRDefault="00A45362" w:rsidP="00A45362">
                  <w:pPr>
                    <w:jc w:val="right"/>
                    <w:rPr>
                      <w:rFonts w:ascii="Arial" w:hAnsi="Arial" w:cs="Arial"/>
                      <w:b/>
                      <w:bCs/>
                      <w:sz w:val="22"/>
                      <w:szCs w:val="22"/>
                    </w:rPr>
                  </w:pPr>
                  <w:r w:rsidRPr="00862FEB">
                    <w:rPr>
                      <w:rFonts w:ascii="Arial" w:hAnsi="Arial" w:cs="Arial"/>
                      <w:b/>
                      <w:bCs/>
                      <w:sz w:val="22"/>
                      <w:szCs w:val="22"/>
                    </w:rPr>
                    <w:t xml:space="preserve">% Total </w:t>
                  </w:r>
                </w:p>
                <w:p w14:paraId="6797837E" w14:textId="6B0FCDBE" w:rsidR="00A45362" w:rsidRPr="00862FEB" w:rsidRDefault="00A45362">
                  <w:pPr>
                    <w:jc w:val="right"/>
                    <w:rPr>
                      <w:sz w:val="22"/>
                      <w:szCs w:val="22"/>
                    </w:rPr>
                  </w:pPr>
                  <w:r w:rsidRPr="00862FEB">
                    <w:rPr>
                      <w:rFonts w:ascii="Arial" w:hAnsi="Arial" w:cs="Arial"/>
                      <w:b/>
                      <w:bCs/>
                      <w:sz w:val="22"/>
                      <w:szCs w:val="22"/>
                    </w:rPr>
                    <w:t>Change</w:t>
                  </w:r>
                </w:p>
              </w:tc>
              <w:tc>
                <w:tcPr>
                  <w:tcW w:w="1200" w:type="dxa"/>
                  <w:tcBorders>
                    <w:top w:val="nil"/>
                    <w:left w:val="nil"/>
                    <w:bottom w:val="single" w:sz="4" w:space="0" w:color="auto"/>
                    <w:right w:val="nil"/>
                  </w:tcBorders>
                </w:tcPr>
                <w:p w14:paraId="3A9C55AF" w14:textId="77777777" w:rsidR="009404DD" w:rsidRPr="00862FEB" w:rsidRDefault="009404DD" w:rsidP="00A45362">
                  <w:pPr>
                    <w:jc w:val="right"/>
                    <w:rPr>
                      <w:rFonts w:ascii="Arial" w:hAnsi="Arial" w:cs="Arial"/>
                      <w:b/>
                      <w:bCs/>
                      <w:sz w:val="22"/>
                      <w:szCs w:val="22"/>
                    </w:rPr>
                  </w:pPr>
                </w:p>
                <w:p w14:paraId="1A8FFD68" w14:textId="77777777" w:rsidR="00A45362" w:rsidRPr="00862FEB" w:rsidRDefault="00A45362" w:rsidP="00A45362">
                  <w:pPr>
                    <w:jc w:val="right"/>
                    <w:rPr>
                      <w:sz w:val="22"/>
                      <w:szCs w:val="22"/>
                    </w:rPr>
                  </w:pPr>
                  <w:r w:rsidRPr="00862FEB">
                    <w:rPr>
                      <w:rFonts w:ascii="Arial" w:hAnsi="Arial" w:cs="Arial"/>
                      <w:b/>
                      <w:bCs/>
                      <w:sz w:val="22"/>
                      <w:szCs w:val="22"/>
                    </w:rPr>
                    <w:t>% Total Change</w:t>
                  </w:r>
                </w:p>
              </w:tc>
              <w:tc>
                <w:tcPr>
                  <w:tcW w:w="1200" w:type="dxa"/>
                  <w:tcBorders>
                    <w:top w:val="nil"/>
                    <w:left w:val="nil"/>
                    <w:bottom w:val="single" w:sz="4" w:space="0" w:color="auto"/>
                    <w:right w:val="nil"/>
                  </w:tcBorders>
                </w:tcPr>
                <w:p w14:paraId="20F948AA" w14:textId="77777777" w:rsidR="009404DD" w:rsidRPr="00862FEB" w:rsidRDefault="009404DD" w:rsidP="00A45362">
                  <w:pPr>
                    <w:ind w:right="33"/>
                    <w:jc w:val="right"/>
                    <w:rPr>
                      <w:rFonts w:ascii="Arial" w:hAnsi="Arial" w:cs="Arial"/>
                      <w:b/>
                      <w:bCs/>
                      <w:sz w:val="22"/>
                      <w:szCs w:val="22"/>
                    </w:rPr>
                  </w:pPr>
                </w:p>
                <w:p w14:paraId="166558FC" w14:textId="77777777" w:rsidR="00A45362" w:rsidRPr="00862FEB" w:rsidRDefault="00A45362" w:rsidP="00A45362">
                  <w:pPr>
                    <w:ind w:right="33"/>
                    <w:jc w:val="right"/>
                    <w:rPr>
                      <w:sz w:val="22"/>
                      <w:szCs w:val="22"/>
                    </w:rPr>
                  </w:pPr>
                  <w:r w:rsidRPr="00862FEB">
                    <w:rPr>
                      <w:rFonts w:ascii="Arial" w:hAnsi="Arial" w:cs="Arial"/>
                      <w:b/>
                      <w:bCs/>
                      <w:sz w:val="22"/>
                      <w:szCs w:val="22"/>
                    </w:rPr>
                    <w:t>% LFL* Change</w:t>
                  </w:r>
                </w:p>
              </w:tc>
            </w:tr>
            <w:tr w:rsidR="009A797D" w14:paraId="63C296C0" w14:textId="77777777" w:rsidTr="00D86BB6">
              <w:trPr>
                <w:trHeight w:val="539"/>
              </w:trPr>
              <w:tc>
                <w:tcPr>
                  <w:tcW w:w="2912" w:type="dxa"/>
                  <w:tcBorders>
                    <w:top w:val="single" w:sz="4" w:space="0" w:color="auto"/>
                    <w:left w:val="nil"/>
                    <w:bottom w:val="single" w:sz="4" w:space="0" w:color="auto"/>
                    <w:right w:val="nil"/>
                  </w:tcBorders>
                </w:tcPr>
                <w:p w14:paraId="08D67385" w14:textId="77777777" w:rsidR="00A45362" w:rsidRPr="00862FEB" w:rsidRDefault="00A45362" w:rsidP="00A45362">
                  <w:pPr>
                    <w:rPr>
                      <w:sz w:val="22"/>
                      <w:szCs w:val="22"/>
                    </w:rPr>
                  </w:pPr>
                </w:p>
              </w:tc>
              <w:tc>
                <w:tcPr>
                  <w:tcW w:w="1106" w:type="dxa"/>
                  <w:tcBorders>
                    <w:top w:val="single" w:sz="4" w:space="0" w:color="auto"/>
                    <w:left w:val="nil"/>
                    <w:bottom w:val="single" w:sz="4" w:space="0" w:color="auto"/>
                    <w:right w:val="nil"/>
                  </w:tcBorders>
                </w:tcPr>
                <w:p w14:paraId="261A6FEA" w14:textId="6DD82E08" w:rsidR="00A45362" w:rsidRPr="00862FEB" w:rsidRDefault="00A45362" w:rsidP="00A45362">
                  <w:pPr>
                    <w:jc w:val="right"/>
                    <w:rPr>
                      <w:rFonts w:ascii="Arial" w:hAnsi="Arial" w:cs="Arial"/>
                      <w:b/>
                      <w:bCs/>
                      <w:sz w:val="22"/>
                      <w:szCs w:val="22"/>
                    </w:rPr>
                  </w:pPr>
                  <w:r w:rsidRPr="00862FEB">
                    <w:rPr>
                      <w:rFonts w:ascii="Arial" w:hAnsi="Arial" w:cs="Arial"/>
                      <w:b/>
                      <w:bCs/>
                      <w:sz w:val="22"/>
                      <w:szCs w:val="22"/>
                    </w:rPr>
                    <w:t>201</w:t>
                  </w:r>
                  <w:r w:rsidR="00290B48">
                    <w:rPr>
                      <w:rFonts w:ascii="Arial" w:hAnsi="Arial" w:cs="Arial"/>
                      <w:b/>
                      <w:bCs/>
                      <w:sz w:val="22"/>
                      <w:szCs w:val="22"/>
                    </w:rPr>
                    <w:t>7</w:t>
                  </w:r>
                  <w:r w:rsidRPr="00862FEB">
                    <w:rPr>
                      <w:rFonts w:ascii="Arial" w:hAnsi="Arial" w:cs="Arial"/>
                      <w:b/>
                      <w:bCs/>
                      <w:sz w:val="22"/>
                      <w:szCs w:val="22"/>
                    </w:rPr>
                    <w:t>/1</w:t>
                  </w:r>
                  <w:r w:rsidR="00290B48">
                    <w:rPr>
                      <w:rFonts w:ascii="Arial" w:hAnsi="Arial" w:cs="Arial"/>
                      <w:b/>
                      <w:bCs/>
                      <w:sz w:val="22"/>
                      <w:szCs w:val="22"/>
                    </w:rPr>
                    <w:t>8</w:t>
                  </w:r>
                </w:p>
                <w:p w14:paraId="5F441921" w14:textId="77777777" w:rsidR="00A45362" w:rsidRPr="00862FEB" w:rsidRDefault="00A45362" w:rsidP="00A45362">
                  <w:pPr>
                    <w:jc w:val="right"/>
                    <w:rPr>
                      <w:sz w:val="22"/>
                      <w:szCs w:val="22"/>
                    </w:rPr>
                  </w:pPr>
                </w:p>
              </w:tc>
              <w:tc>
                <w:tcPr>
                  <w:tcW w:w="1544" w:type="dxa"/>
                  <w:tcBorders>
                    <w:top w:val="single" w:sz="4" w:space="0" w:color="auto"/>
                    <w:left w:val="nil"/>
                    <w:bottom w:val="single" w:sz="4" w:space="0" w:color="auto"/>
                    <w:right w:val="nil"/>
                  </w:tcBorders>
                </w:tcPr>
                <w:p w14:paraId="5284FEDF" w14:textId="3361413C" w:rsidR="00A45362" w:rsidRPr="00862FEB" w:rsidRDefault="00A45362" w:rsidP="00A45362">
                  <w:pPr>
                    <w:jc w:val="right"/>
                    <w:rPr>
                      <w:rFonts w:ascii="Arial" w:hAnsi="Arial" w:cs="Arial"/>
                      <w:b/>
                      <w:bCs/>
                      <w:sz w:val="22"/>
                      <w:szCs w:val="22"/>
                    </w:rPr>
                  </w:pPr>
                  <w:r w:rsidRPr="00862FEB">
                    <w:rPr>
                      <w:rFonts w:ascii="Arial" w:hAnsi="Arial" w:cs="Arial"/>
                      <w:b/>
                      <w:bCs/>
                      <w:sz w:val="22"/>
                      <w:szCs w:val="22"/>
                    </w:rPr>
                    <w:t>201</w:t>
                  </w:r>
                  <w:r w:rsidR="00290B48">
                    <w:rPr>
                      <w:rFonts w:ascii="Arial" w:hAnsi="Arial" w:cs="Arial"/>
                      <w:b/>
                      <w:bCs/>
                      <w:sz w:val="22"/>
                      <w:szCs w:val="22"/>
                    </w:rPr>
                    <w:t>6</w:t>
                  </w:r>
                  <w:r w:rsidRPr="00862FEB">
                    <w:rPr>
                      <w:rFonts w:ascii="Arial" w:hAnsi="Arial" w:cs="Arial"/>
                      <w:b/>
                      <w:bCs/>
                      <w:sz w:val="22"/>
                      <w:szCs w:val="22"/>
                    </w:rPr>
                    <w:t>/1</w:t>
                  </w:r>
                  <w:r w:rsidR="00290B48">
                    <w:rPr>
                      <w:rFonts w:ascii="Arial" w:hAnsi="Arial" w:cs="Arial"/>
                      <w:b/>
                      <w:bCs/>
                      <w:sz w:val="22"/>
                      <w:szCs w:val="22"/>
                    </w:rPr>
                    <w:t>7</w:t>
                  </w:r>
                </w:p>
                <w:p w14:paraId="5332A2D4" w14:textId="77777777" w:rsidR="00A45362" w:rsidRPr="00862FEB" w:rsidRDefault="00A45362" w:rsidP="00A45362">
                  <w:pPr>
                    <w:jc w:val="right"/>
                    <w:rPr>
                      <w:sz w:val="22"/>
                      <w:szCs w:val="22"/>
                    </w:rPr>
                  </w:pPr>
                </w:p>
              </w:tc>
              <w:tc>
                <w:tcPr>
                  <w:tcW w:w="1455" w:type="dxa"/>
                  <w:tcBorders>
                    <w:top w:val="single" w:sz="4" w:space="0" w:color="auto"/>
                    <w:left w:val="nil"/>
                    <w:bottom w:val="single" w:sz="4" w:space="0" w:color="auto"/>
                    <w:right w:val="nil"/>
                  </w:tcBorders>
                </w:tcPr>
                <w:p w14:paraId="589D757B" w14:textId="77777777" w:rsidR="00A45362" w:rsidRPr="00862FEB" w:rsidRDefault="00A45362" w:rsidP="00A45362">
                  <w:pPr>
                    <w:jc w:val="right"/>
                    <w:rPr>
                      <w:sz w:val="22"/>
                      <w:szCs w:val="22"/>
                    </w:rPr>
                  </w:pPr>
                  <w:r w:rsidRPr="00862FEB">
                    <w:rPr>
                      <w:rFonts w:ascii="Arial" w:hAnsi="Arial" w:cs="Arial"/>
                      <w:b/>
                      <w:bCs/>
                      <w:sz w:val="22"/>
                      <w:szCs w:val="22"/>
                    </w:rPr>
                    <w:t>Reported</w:t>
                  </w:r>
                </w:p>
              </w:tc>
              <w:tc>
                <w:tcPr>
                  <w:tcW w:w="1200" w:type="dxa"/>
                  <w:tcBorders>
                    <w:top w:val="single" w:sz="4" w:space="0" w:color="auto"/>
                    <w:left w:val="nil"/>
                    <w:bottom w:val="single" w:sz="4" w:space="0" w:color="auto"/>
                    <w:right w:val="nil"/>
                  </w:tcBorders>
                </w:tcPr>
                <w:p w14:paraId="2BB0E10D" w14:textId="63DCF665" w:rsidR="00A45362" w:rsidRPr="00862FEB" w:rsidRDefault="00A45362" w:rsidP="00A45362">
                  <w:pPr>
                    <w:jc w:val="right"/>
                    <w:rPr>
                      <w:sz w:val="22"/>
                      <w:szCs w:val="22"/>
                    </w:rPr>
                  </w:pPr>
                  <w:r w:rsidRPr="00862FEB">
                    <w:rPr>
                      <w:rFonts w:ascii="Arial" w:hAnsi="Arial" w:cs="Arial"/>
                      <w:b/>
                      <w:bCs/>
                      <w:sz w:val="22"/>
                      <w:szCs w:val="22"/>
                    </w:rPr>
                    <w:t>Constant currency</w:t>
                  </w:r>
                  <w:r w:rsidR="00E57DE9">
                    <w:rPr>
                      <w:rFonts w:ascii="Arial" w:hAnsi="Arial" w:cs="Arial"/>
                      <w:b/>
                      <w:bCs/>
                      <w:sz w:val="22"/>
                      <w:szCs w:val="22"/>
                    </w:rPr>
                    <w:t>*</w:t>
                  </w:r>
                </w:p>
              </w:tc>
              <w:tc>
                <w:tcPr>
                  <w:tcW w:w="1200" w:type="dxa"/>
                  <w:tcBorders>
                    <w:top w:val="single" w:sz="4" w:space="0" w:color="auto"/>
                    <w:left w:val="nil"/>
                    <w:bottom w:val="single" w:sz="4" w:space="0" w:color="auto"/>
                    <w:right w:val="nil"/>
                  </w:tcBorders>
                </w:tcPr>
                <w:p w14:paraId="3BB682BE" w14:textId="77777777" w:rsidR="00A45362" w:rsidRPr="00862FEB" w:rsidRDefault="00A45362" w:rsidP="00A45362">
                  <w:pPr>
                    <w:jc w:val="right"/>
                    <w:rPr>
                      <w:sz w:val="22"/>
                      <w:szCs w:val="22"/>
                    </w:rPr>
                  </w:pPr>
                  <w:r w:rsidRPr="00862FEB">
                    <w:rPr>
                      <w:rFonts w:ascii="Arial" w:hAnsi="Arial" w:cs="Arial"/>
                      <w:b/>
                      <w:bCs/>
                      <w:sz w:val="22"/>
                      <w:szCs w:val="22"/>
                    </w:rPr>
                    <w:t>Constant currency</w:t>
                  </w:r>
                </w:p>
              </w:tc>
            </w:tr>
            <w:tr w:rsidR="009A797D" w14:paraId="08398247" w14:textId="77777777" w:rsidTr="00D86BB6">
              <w:trPr>
                <w:trHeight w:val="269"/>
              </w:trPr>
              <w:tc>
                <w:tcPr>
                  <w:tcW w:w="2912" w:type="dxa"/>
                  <w:tcBorders>
                    <w:top w:val="single" w:sz="4" w:space="0" w:color="auto"/>
                    <w:left w:val="nil"/>
                    <w:bottom w:val="nil"/>
                    <w:right w:val="nil"/>
                  </w:tcBorders>
                </w:tcPr>
                <w:p w14:paraId="3B1E3AE3" w14:textId="35105C49" w:rsidR="00A45362" w:rsidRPr="00862FEB" w:rsidRDefault="00B5184B" w:rsidP="00A45362">
                  <w:pPr>
                    <w:jc w:val="left"/>
                    <w:rPr>
                      <w:rFonts w:ascii="Arial" w:hAnsi="Arial" w:cs="Arial"/>
                      <w:sz w:val="22"/>
                      <w:szCs w:val="22"/>
                    </w:rPr>
                  </w:pPr>
                  <w:r>
                    <w:rPr>
                      <w:rFonts w:ascii="Arial" w:hAnsi="Arial" w:cs="Arial"/>
                      <w:sz w:val="22"/>
                      <w:szCs w:val="22"/>
                    </w:rPr>
                    <w:t>S</w:t>
                  </w:r>
                  <w:r w:rsidR="00A45362" w:rsidRPr="00862FEB">
                    <w:rPr>
                      <w:rFonts w:ascii="Arial" w:hAnsi="Arial" w:cs="Arial"/>
                      <w:sz w:val="22"/>
                      <w:szCs w:val="22"/>
                    </w:rPr>
                    <w:t>ales*</w:t>
                  </w:r>
                </w:p>
              </w:tc>
              <w:tc>
                <w:tcPr>
                  <w:tcW w:w="1106" w:type="dxa"/>
                  <w:tcBorders>
                    <w:top w:val="single" w:sz="4" w:space="0" w:color="auto"/>
                    <w:left w:val="nil"/>
                    <w:bottom w:val="nil"/>
                    <w:right w:val="nil"/>
                  </w:tcBorders>
                </w:tcPr>
                <w:p w14:paraId="11C5E8F7" w14:textId="4FB12CEB" w:rsidR="00A45362" w:rsidRPr="00E344C4" w:rsidRDefault="00A45362" w:rsidP="00A45362">
                  <w:pPr>
                    <w:jc w:val="right"/>
                    <w:rPr>
                      <w:sz w:val="22"/>
                      <w:szCs w:val="22"/>
                    </w:rPr>
                  </w:pPr>
                  <w:r w:rsidRPr="00E344C4">
                    <w:rPr>
                      <w:rFonts w:ascii="Arial" w:hAnsi="Arial" w:cs="Arial"/>
                    </w:rPr>
                    <w:t>£</w:t>
                  </w:r>
                  <w:r w:rsidR="00253C4D" w:rsidRPr="00E344C4">
                    <w:rPr>
                      <w:rFonts w:ascii="Arial" w:hAnsi="Arial" w:cs="Arial"/>
                    </w:rPr>
                    <w:t>11,</w:t>
                  </w:r>
                  <w:r w:rsidR="008D1EF2" w:rsidRPr="0018703F">
                    <w:rPr>
                      <w:rFonts w:ascii="Arial" w:hAnsi="Arial" w:cs="Arial"/>
                    </w:rPr>
                    <w:t>655</w:t>
                  </w:r>
                  <w:r w:rsidR="00253C4D" w:rsidRPr="00E344C4">
                    <w:rPr>
                      <w:rFonts w:ascii="Arial" w:hAnsi="Arial" w:cs="Arial"/>
                    </w:rPr>
                    <w:t>m</w:t>
                  </w:r>
                </w:p>
              </w:tc>
              <w:tc>
                <w:tcPr>
                  <w:tcW w:w="1544" w:type="dxa"/>
                  <w:tcBorders>
                    <w:top w:val="single" w:sz="4" w:space="0" w:color="auto"/>
                    <w:left w:val="nil"/>
                    <w:bottom w:val="nil"/>
                    <w:right w:val="nil"/>
                  </w:tcBorders>
                </w:tcPr>
                <w:p w14:paraId="7086FEAE" w14:textId="555FB1D9" w:rsidR="00A45362" w:rsidRPr="00E344C4" w:rsidRDefault="00A45362">
                  <w:pPr>
                    <w:jc w:val="right"/>
                    <w:rPr>
                      <w:sz w:val="22"/>
                      <w:szCs w:val="22"/>
                    </w:rPr>
                  </w:pPr>
                  <w:r w:rsidRPr="00E344C4">
                    <w:rPr>
                      <w:rFonts w:ascii="Arial" w:hAnsi="Arial" w:cs="Arial"/>
                    </w:rPr>
                    <w:t>£</w:t>
                  </w:r>
                  <w:r w:rsidR="0008206F" w:rsidRPr="00E344C4">
                    <w:rPr>
                      <w:rFonts w:ascii="Arial" w:hAnsi="Arial" w:cs="Arial"/>
                    </w:rPr>
                    <w:t>1</w:t>
                  </w:r>
                  <w:r w:rsidR="00290B48" w:rsidRPr="00E344C4">
                    <w:rPr>
                      <w:rFonts w:ascii="Arial" w:hAnsi="Arial" w:cs="Arial"/>
                    </w:rPr>
                    <w:t>1</w:t>
                  </w:r>
                  <w:r w:rsidR="0008206F" w:rsidRPr="00E344C4">
                    <w:rPr>
                      <w:rFonts w:ascii="Arial" w:hAnsi="Arial" w:cs="Arial"/>
                    </w:rPr>
                    <w:t>,</w:t>
                  </w:r>
                  <w:r w:rsidR="00290B48" w:rsidRPr="00E344C4">
                    <w:rPr>
                      <w:rFonts w:ascii="Arial" w:hAnsi="Arial" w:cs="Arial"/>
                    </w:rPr>
                    <w:t>225m</w:t>
                  </w:r>
                </w:p>
              </w:tc>
              <w:tc>
                <w:tcPr>
                  <w:tcW w:w="1455" w:type="dxa"/>
                  <w:tcBorders>
                    <w:top w:val="single" w:sz="4" w:space="0" w:color="auto"/>
                    <w:left w:val="nil"/>
                    <w:bottom w:val="nil"/>
                    <w:right w:val="nil"/>
                  </w:tcBorders>
                </w:tcPr>
                <w:p w14:paraId="05E546D6" w14:textId="7489E9F6" w:rsidR="00A45362" w:rsidRPr="00E344C4" w:rsidRDefault="009A797D" w:rsidP="00A45362">
                  <w:pPr>
                    <w:jc w:val="right"/>
                    <w:rPr>
                      <w:sz w:val="22"/>
                      <w:szCs w:val="22"/>
                    </w:rPr>
                  </w:pPr>
                  <w:r w:rsidRPr="00E344C4">
                    <w:rPr>
                      <w:rFonts w:ascii="Arial" w:hAnsi="Arial" w:cs="Arial"/>
                    </w:rPr>
                    <w:t>+</w:t>
                  </w:r>
                  <w:r w:rsidR="008D1EF2" w:rsidRPr="0018703F">
                    <w:rPr>
                      <w:rFonts w:ascii="Arial" w:hAnsi="Arial" w:cs="Arial"/>
                    </w:rPr>
                    <w:t>3</w:t>
                  </w:r>
                  <w:r w:rsidR="00263FE7" w:rsidRPr="00E344C4">
                    <w:rPr>
                      <w:rFonts w:ascii="Arial" w:hAnsi="Arial" w:cs="Arial"/>
                    </w:rPr>
                    <w:t>.</w:t>
                  </w:r>
                  <w:r w:rsidR="008D1EF2" w:rsidRPr="0018703F">
                    <w:rPr>
                      <w:rFonts w:ascii="Arial" w:hAnsi="Arial" w:cs="Arial"/>
                    </w:rPr>
                    <w:t>8</w:t>
                  </w:r>
                  <w:r w:rsidRPr="00E344C4">
                    <w:rPr>
                      <w:rFonts w:ascii="Arial" w:hAnsi="Arial" w:cs="Arial"/>
                    </w:rPr>
                    <w:t>%</w:t>
                  </w:r>
                </w:p>
              </w:tc>
              <w:tc>
                <w:tcPr>
                  <w:tcW w:w="1200" w:type="dxa"/>
                  <w:tcBorders>
                    <w:top w:val="single" w:sz="4" w:space="0" w:color="auto"/>
                    <w:left w:val="nil"/>
                    <w:bottom w:val="nil"/>
                    <w:right w:val="nil"/>
                  </w:tcBorders>
                </w:tcPr>
                <w:p w14:paraId="47DB2954" w14:textId="75DABDB3" w:rsidR="00A45362" w:rsidRPr="00E344C4" w:rsidRDefault="008D1EF2" w:rsidP="00A45362">
                  <w:pPr>
                    <w:jc w:val="right"/>
                    <w:rPr>
                      <w:sz w:val="22"/>
                      <w:szCs w:val="22"/>
                    </w:rPr>
                  </w:pPr>
                  <w:r w:rsidRPr="0018703F">
                    <w:rPr>
                      <w:rFonts w:ascii="Arial" w:hAnsi="Arial" w:cs="Arial"/>
                    </w:rPr>
                    <w:t>(</w:t>
                  </w:r>
                  <w:proofErr w:type="gramStart"/>
                  <w:r w:rsidRPr="0018703F">
                    <w:rPr>
                      <w:rFonts w:ascii="Arial" w:hAnsi="Arial" w:cs="Arial"/>
                    </w:rPr>
                    <w:t>0</w:t>
                  </w:r>
                  <w:r w:rsidR="00201BE8">
                    <w:rPr>
                      <w:rFonts w:ascii="Arial" w:hAnsi="Arial" w:cs="Arial"/>
                    </w:rPr>
                    <w:t>.</w:t>
                  </w:r>
                  <w:r w:rsidR="00201BE8" w:rsidRPr="0018703F">
                    <w:rPr>
                      <w:rFonts w:ascii="Arial" w:hAnsi="Arial" w:cs="Arial"/>
                    </w:rPr>
                    <w:t>3)</w:t>
                  </w:r>
                  <w:r w:rsidR="00201BE8" w:rsidRPr="00E344C4">
                    <w:rPr>
                      <w:rFonts w:ascii="Arial" w:hAnsi="Arial" w:cs="Arial"/>
                    </w:rPr>
                    <w:t>%</w:t>
                  </w:r>
                  <w:proofErr w:type="gramEnd"/>
                </w:p>
              </w:tc>
              <w:tc>
                <w:tcPr>
                  <w:tcW w:w="1200" w:type="dxa"/>
                  <w:tcBorders>
                    <w:top w:val="single" w:sz="4" w:space="0" w:color="auto"/>
                    <w:left w:val="nil"/>
                    <w:bottom w:val="nil"/>
                    <w:right w:val="nil"/>
                  </w:tcBorders>
                </w:tcPr>
                <w:p w14:paraId="3DCD4E16" w14:textId="63AC7BB4" w:rsidR="00A45362" w:rsidRPr="00E344C4" w:rsidRDefault="008D1EF2" w:rsidP="00A45362">
                  <w:pPr>
                    <w:jc w:val="right"/>
                    <w:rPr>
                      <w:sz w:val="22"/>
                      <w:szCs w:val="22"/>
                    </w:rPr>
                  </w:pPr>
                  <w:r w:rsidRPr="0018703F">
                    <w:rPr>
                      <w:rFonts w:ascii="Arial" w:hAnsi="Arial" w:cs="Arial"/>
                    </w:rPr>
                    <w:t>(</w:t>
                  </w:r>
                  <w:proofErr w:type="gramStart"/>
                  <w:r w:rsidRPr="0018703F">
                    <w:rPr>
                      <w:rFonts w:ascii="Arial" w:hAnsi="Arial" w:cs="Arial"/>
                    </w:rPr>
                    <w:t>0</w:t>
                  </w:r>
                  <w:r w:rsidR="00201BE8">
                    <w:rPr>
                      <w:rFonts w:ascii="Arial" w:hAnsi="Arial" w:cs="Arial"/>
                    </w:rPr>
                    <w:t>.</w:t>
                  </w:r>
                  <w:r w:rsidRPr="0018703F">
                    <w:rPr>
                      <w:rFonts w:ascii="Arial" w:hAnsi="Arial" w:cs="Arial"/>
                    </w:rPr>
                    <w:t>7)</w:t>
                  </w:r>
                  <w:r w:rsidR="00A45362" w:rsidRPr="00E344C4">
                    <w:rPr>
                      <w:rFonts w:ascii="Arial" w:hAnsi="Arial" w:cs="Arial"/>
                    </w:rPr>
                    <w:t>%</w:t>
                  </w:r>
                  <w:proofErr w:type="gramEnd"/>
                </w:p>
              </w:tc>
            </w:tr>
            <w:tr w:rsidR="008F2DE7" w14:paraId="72CCE4B5" w14:textId="77777777" w:rsidTr="00D86BB6">
              <w:trPr>
                <w:trHeight w:val="269"/>
              </w:trPr>
              <w:tc>
                <w:tcPr>
                  <w:tcW w:w="2912" w:type="dxa"/>
                  <w:tcBorders>
                    <w:top w:val="nil"/>
                    <w:left w:val="nil"/>
                    <w:bottom w:val="nil"/>
                    <w:right w:val="nil"/>
                  </w:tcBorders>
                </w:tcPr>
                <w:p w14:paraId="405AEB14" w14:textId="0248E71C" w:rsidR="008F2DE7" w:rsidRPr="00E46E76" w:rsidRDefault="008F2DE7" w:rsidP="00365335">
                  <w:pPr>
                    <w:jc w:val="left"/>
                    <w:rPr>
                      <w:rFonts w:ascii="Arial" w:hAnsi="Arial" w:cs="Arial"/>
                      <w:sz w:val="22"/>
                      <w:szCs w:val="22"/>
                    </w:rPr>
                  </w:pPr>
                  <w:r>
                    <w:rPr>
                      <w:rFonts w:ascii="Arial" w:hAnsi="Arial" w:cs="Arial"/>
                      <w:sz w:val="22"/>
                      <w:szCs w:val="22"/>
                    </w:rPr>
                    <w:t>Gross margin</w:t>
                  </w:r>
                </w:p>
              </w:tc>
              <w:tc>
                <w:tcPr>
                  <w:tcW w:w="1106" w:type="dxa"/>
                  <w:tcBorders>
                    <w:top w:val="nil"/>
                    <w:left w:val="nil"/>
                    <w:bottom w:val="nil"/>
                    <w:right w:val="nil"/>
                  </w:tcBorders>
                </w:tcPr>
                <w:p w14:paraId="7AF92EE3" w14:textId="3EBCD15F" w:rsidR="008F2DE7" w:rsidRPr="00B3045C" w:rsidRDefault="008F2DE7" w:rsidP="00365335">
                  <w:pPr>
                    <w:jc w:val="right"/>
                    <w:rPr>
                      <w:rFonts w:ascii="Arial" w:hAnsi="Arial" w:cs="Arial"/>
                    </w:rPr>
                  </w:pPr>
                  <w:r>
                    <w:rPr>
                      <w:rFonts w:ascii="Arial" w:hAnsi="Arial" w:cs="Arial"/>
                    </w:rPr>
                    <w:t>36.9%</w:t>
                  </w:r>
                </w:p>
              </w:tc>
              <w:tc>
                <w:tcPr>
                  <w:tcW w:w="1544" w:type="dxa"/>
                  <w:tcBorders>
                    <w:top w:val="nil"/>
                    <w:left w:val="nil"/>
                    <w:bottom w:val="nil"/>
                    <w:right w:val="nil"/>
                  </w:tcBorders>
                </w:tcPr>
                <w:p w14:paraId="4488A563" w14:textId="7F2270FE" w:rsidR="008F2DE7" w:rsidRPr="00B3045C" w:rsidRDefault="008F2DE7" w:rsidP="00365335">
                  <w:pPr>
                    <w:jc w:val="right"/>
                    <w:rPr>
                      <w:rFonts w:ascii="Arial" w:hAnsi="Arial" w:cs="Arial"/>
                    </w:rPr>
                  </w:pPr>
                  <w:r>
                    <w:rPr>
                      <w:rFonts w:ascii="Arial" w:hAnsi="Arial" w:cs="Arial"/>
                    </w:rPr>
                    <w:t>37.2%</w:t>
                  </w:r>
                </w:p>
              </w:tc>
              <w:tc>
                <w:tcPr>
                  <w:tcW w:w="1455" w:type="dxa"/>
                  <w:tcBorders>
                    <w:top w:val="nil"/>
                    <w:left w:val="nil"/>
                    <w:bottom w:val="nil"/>
                    <w:right w:val="nil"/>
                  </w:tcBorders>
                </w:tcPr>
                <w:p w14:paraId="493DA899" w14:textId="04413D0B" w:rsidR="008F2DE7" w:rsidRPr="00B3045C" w:rsidRDefault="008F2DE7" w:rsidP="00365335">
                  <w:pPr>
                    <w:jc w:val="right"/>
                    <w:rPr>
                      <w:rFonts w:ascii="Arial" w:hAnsi="Arial" w:cs="Arial"/>
                    </w:rPr>
                  </w:pPr>
                  <w:r>
                    <w:rPr>
                      <w:rFonts w:ascii="Arial" w:hAnsi="Arial" w:cs="Arial"/>
                    </w:rPr>
                    <w:t>(</w:t>
                  </w:r>
                  <w:proofErr w:type="gramStart"/>
                  <w:r>
                    <w:rPr>
                      <w:rFonts w:ascii="Arial" w:hAnsi="Arial" w:cs="Arial"/>
                    </w:rPr>
                    <w:t>30)bps</w:t>
                  </w:r>
                  <w:proofErr w:type="gramEnd"/>
                </w:p>
              </w:tc>
              <w:tc>
                <w:tcPr>
                  <w:tcW w:w="1200" w:type="dxa"/>
                  <w:tcBorders>
                    <w:top w:val="nil"/>
                    <w:left w:val="nil"/>
                    <w:bottom w:val="nil"/>
                    <w:right w:val="nil"/>
                  </w:tcBorders>
                </w:tcPr>
                <w:p w14:paraId="5D79C30E" w14:textId="5272226B" w:rsidR="008F2DE7" w:rsidRPr="0018703F" w:rsidRDefault="008F2DE7" w:rsidP="00365335">
                  <w:pPr>
                    <w:jc w:val="right"/>
                    <w:rPr>
                      <w:rFonts w:ascii="Arial" w:hAnsi="Arial" w:cs="Arial"/>
                    </w:rPr>
                  </w:pPr>
                  <w:r>
                    <w:rPr>
                      <w:rFonts w:ascii="Arial" w:hAnsi="Arial" w:cs="Arial"/>
                    </w:rPr>
                    <w:t>(</w:t>
                  </w:r>
                  <w:proofErr w:type="gramStart"/>
                  <w:r>
                    <w:rPr>
                      <w:rFonts w:ascii="Arial" w:hAnsi="Arial" w:cs="Arial"/>
                    </w:rPr>
                    <w:t>20)bps</w:t>
                  </w:r>
                  <w:proofErr w:type="gramEnd"/>
                </w:p>
              </w:tc>
              <w:tc>
                <w:tcPr>
                  <w:tcW w:w="1200" w:type="dxa"/>
                  <w:tcBorders>
                    <w:top w:val="nil"/>
                    <w:left w:val="nil"/>
                    <w:bottom w:val="nil"/>
                    <w:right w:val="nil"/>
                  </w:tcBorders>
                </w:tcPr>
                <w:p w14:paraId="233CE93F" w14:textId="77777777" w:rsidR="008F2DE7" w:rsidRPr="0018703F" w:rsidRDefault="008F2DE7" w:rsidP="00365335">
                  <w:pPr>
                    <w:jc w:val="right"/>
                    <w:rPr>
                      <w:highlight w:val="yellow"/>
                    </w:rPr>
                  </w:pPr>
                </w:p>
              </w:tc>
            </w:tr>
            <w:tr w:rsidR="00365335" w14:paraId="02A22845" w14:textId="77777777" w:rsidTr="00D86BB6">
              <w:trPr>
                <w:trHeight w:val="269"/>
              </w:trPr>
              <w:tc>
                <w:tcPr>
                  <w:tcW w:w="2912" w:type="dxa"/>
                  <w:tcBorders>
                    <w:top w:val="nil"/>
                    <w:left w:val="nil"/>
                    <w:bottom w:val="nil"/>
                    <w:right w:val="nil"/>
                  </w:tcBorders>
                </w:tcPr>
                <w:p w14:paraId="2147A0EE" w14:textId="77777777" w:rsidR="00365335" w:rsidRPr="00862FEB" w:rsidRDefault="00365335" w:rsidP="00365335">
                  <w:pPr>
                    <w:jc w:val="left"/>
                    <w:rPr>
                      <w:rFonts w:ascii="Arial" w:hAnsi="Arial" w:cs="Arial"/>
                      <w:sz w:val="22"/>
                      <w:szCs w:val="22"/>
                    </w:rPr>
                  </w:pPr>
                  <w:r w:rsidRPr="00862FEB">
                    <w:rPr>
                      <w:rFonts w:ascii="Arial" w:hAnsi="Arial" w:cs="Arial"/>
                      <w:sz w:val="22"/>
                      <w:szCs w:val="22"/>
                    </w:rPr>
                    <w:t>Retail profit*</w:t>
                  </w:r>
                </w:p>
              </w:tc>
              <w:tc>
                <w:tcPr>
                  <w:tcW w:w="1106" w:type="dxa"/>
                  <w:tcBorders>
                    <w:top w:val="nil"/>
                    <w:left w:val="nil"/>
                    <w:bottom w:val="nil"/>
                    <w:right w:val="nil"/>
                  </w:tcBorders>
                </w:tcPr>
                <w:p w14:paraId="53F59AB5" w14:textId="0D587E02" w:rsidR="00365335" w:rsidRPr="00B3045C" w:rsidRDefault="00365335" w:rsidP="00365335">
                  <w:pPr>
                    <w:jc w:val="right"/>
                    <w:rPr>
                      <w:sz w:val="22"/>
                      <w:szCs w:val="22"/>
                    </w:rPr>
                  </w:pPr>
                  <w:r w:rsidRPr="00B3045C">
                    <w:rPr>
                      <w:rFonts w:ascii="Arial" w:hAnsi="Arial" w:cs="Arial"/>
                    </w:rPr>
                    <w:t>£8</w:t>
                  </w:r>
                  <w:r>
                    <w:rPr>
                      <w:rFonts w:ascii="Arial" w:hAnsi="Arial" w:cs="Arial"/>
                    </w:rPr>
                    <w:t>49</w:t>
                  </w:r>
                  <w:r w:rsidRPr="00B3045C">
                    <w:rPr>
                      <w:rFonts w:ascii="Arial" w:hAnsi="Arial" w:cs="Arial"/>
                    </w:rPr>
                    <w:t>m</w:t>
                  </w:r>
                </w:p>
              </w:tc>
              <w:tc>
                <w:tcPr>
                  <w:tcW w:w="1544" w:type="dxa"/>
                  <w:tcBorders>
                    <w:top w:val="nil"/>
                    <w:left w:val="nil"/>
                    <w:bottom w:val="nil"/>
                    <w:right w:val="nil"/>
                  </w:tcBorders>
                </w:tcPr>
                <w:p w14:paraId="103D0034" w14:textId="647BADE1" w:rsidR="00365335" w:rsidRPr="00B3045C" w:rsidRDefault="00365335" w:rsidP="00365335">
                  <w:pPr>
                    <w:jc w:val="right"/>
                    <w:rPr>
                      <w:sz w:val="22"/>
                      <w:szCs w:val="22"/>
                    </w:rPr>
                  </w:pPr>
                  <w:r w:rsidRPr="00B3045C">
                    <w:rPr>
                      <w:rFonts w:ascii="Arial" w:hAnsi="Arial" w:cs="Arial"/>
                    </w:rPr>
                    <w:t>£847m</w:t>
                  </w:r>
                </w:p>
              </w:tc>
              <w:tc>
                <w:tcPr>
                  <w:tcW w:w="1455" w:type="dxa"/>
                  <w:tcBorders>
                    <w:top w:val="nil"/>
                    <w:left w:val="nil"/>
                    <w:bottom w:val="nil"/>
                    <w:right w:val="nil"/>
                  </w:tcBorders>
                </w:tcPr>
                <w:p w14:paraId="0F3D7454" w14:textId="61A4B833" w:rsidR="00365335" w:rsidRPr="00B3045C" w:rsidRDefault="00365335" w:rsidP="00365335">
                  <w:pPr>
                    <w:jc w:val="right"/>
                    <w:rPr>
                      <w:sz w:val="22"/>
                      <w:szCs w:val="22"/>
                    </w:rPr>
                  </w:pPr>
                  <w:r w:rsidRPr="00B3045C">
                    <w:rPr>
                      <w:rFonts w:ascii="Arial" w:hAnsi="Arial" w:cs="Arial"/>
                    </w:rPr>
                    <w:t>+</w:t>
                  </w:r>
                  <w:r w:rsidRPr="0018703F">
                    <w:rPr>
                      <w:rFonts w:ascii="Arial" w:hAnsi="Arial" w:cs="Arial"/>
                    </w:rPr>
                    <w:t>0</w:t>
                  </w:r>
                  <w:r w:rsidRPr="00B3045C">
                    <w:rPr>
                      <w:rFonts w:ascii="Arial" w:hAnsi="Arial" w:cs="Arial"/>
                    </w:rPr>
                    <w:t>.</w:t>
                  </w:r>
                  <w:r w:rsidR="007259C5">
                    <w:rPr>
                      <w:rFonts w:ascii="Arial" w:hAnsi="Arial" w:cs="Arial"/>
                    </w:rPr>
                    <w:t>3</w:t>
                  </w:r>
                  <w:r w:rsidRPr="00B3045C">
                    <w:rPr>
                      <w:rFonts w:ascii="Arial" w:hAnsi="Arial" w:cs="Arial"/>
                    </w:rPr>
                    <w:t>%</w:t>
                  </w:r>
                </w:p>
              </w:tc>
              <w:tc>
                <w:tcPr>
                  <w:tcW w:w="1200" w:type="dxa"/>
                  <w:tcBorders>
                    <w:top w:val="nil"/>
                    <w:left w:val="nil"/>
                    <w:bottom w:val="nil"/>
                    <w:right w:val="nil"/>
                  </w:tcBorders>
                </w:tcPr>
                <w:p w14:paraId="43A47F26" w14:textId="64A15406" w:rsidR="00365335" w:rsidRPr="00B3045C" w:rsidRDefault="00365335" w:rsidP="00365335">
                  <w:pPr>
                    <w:jc w:val="right"/>
                    <w:rPr>
                      <w:sz w:val="22"/>
                      <w:szCs w:val="22"/>
                    </w:rPr>
                  </w:pPr>
                  <w:r w:rsidRPr="0018703F">
                    <w:rPr>
                      <w:rFonts w:ascii="Arial" w:hAnsi="Arial" w:cs="Arial"/>
                    </w:rPr>
                    <w:t>(</w:t>
                  </w:r>
                  <w:proofErr w:type="gramStart"/>
                  <w:r w:rsidRPr="0018703F">
                    <w:rPr>
                      <w:rFonts w:ascii="Arial" w:hAnsi="Arial" w:cs="Arial"/>
                    </w:rPr>
                    <w:t>3</w:t>
                  </w:r>
                  <w:r>
                    <w:rPr>
                      <w:rFonts w:ascii="Arial" w:hAnsi="Arial" w:cs="Arial"/>
                    </w:rPr>
                    <w:t>.6</w:t>
                  </w:r>
                  <w:r w:rsidRPr="0018703F">
                    <w:rPr>
                      <w:rFonts w:ascii="Arial" w:hAnsi="Arial" w:cs="Arial"/>
                    </w:rPr>
                    <w:t>)</w:t>
                  </w:r>
                  <w:r w:rsidRPr="00B3045C">
                    <w:rPr>
                      <w:rFonts w:ascii="Arial" w:hAnsi="Arial" w:cs="Arial"/>
                    </w:rPr>
                    <w:t>%</w:t>
                  </w:r>
                  <w:proofErr w:type="gramEnd"/>
                </w:p>
              </w:tc>
              <w:tc>
                <w:tcPr>
                  <w:tcW w:w="1200" w:type="dxa"/>
                  <w:tcBorders>
                    <w:top w:val="nil"/>
                    <w:left w:val="nil"/>
                    <w:bottom w:val="nil"/>
                    <w:right w:val="nil"/>
                  </w:tcBorders>
                </w:tcPr>
                <w:p w14:paraId="18AEBD55" w14:textId="77777777" w:rsidR="00365335" w:rsidRPr="0018703F" w:rsidRDefault="00365335" w:rsidP="00365335">
                  <w:pPr>
                    <w:jc w:val="right"/>
                    <w:rPr>
                      <w:sz w:val="22"/>
                      <w:szCs w:val="22"/>
                      <w:highlight w:val="yellow"/>
                    </w:rPr>
                  </w:pPr>
                </w:p>
              </w:tc>
            </w:tr>
            <w:tr w:rsidR="00365335" w14:paraId="2A39A942" w14:textId="77777777" w:rsidTr="00D86BB6">
              <w:trPr>
                <w:trHeight w:val="269"/>
              </w:trPr>
              <w:tc>
                <w:tcPr>
                  <w:tcW w:w="2912" w:type="dxa"/>
                  <w:tcBorders>
                    <w:top w:val="nil"/>
                    <w:left w:val="nil"/>
                    <w:bottom w:val="nil"/>
                    <w:right w:val="nil"/>
                  </w:tcBorders>
                </w:tcPr>
                <w:p w14:paraId="21EF8FFF" w14:textId="77777777" w:rsidR="00365335" w:rsidRPr="00862FEB" w:rsidRDefault="00365335" w:rsidP="00365335">
                  <w:pPr>
                    <w:jc w:val="left"/>
                    <w:rPr>
                      <w:rFonts w:ascii="Arial" w:hAnsi="Arial" w:cs="Arial"/>
                      <w:sz w:val="22"/>
                      <w:szCs w:val="22"/>
                    </w:rPr>
                  </w:pPr>
                  <w:r w:rsidRPr="00862FEB">
                    <w:rPr>
                      <w:rFonts w:ascii="Arial" w:hAnsi="Arial" w:cs="Arial"/>
                      <w:sz w:val="22"/>
                      <w:szCs w:val="22"/>
                    </w:rPr>
                    <w:t>Underlying* pre-tax profit</w:t>
                  </w:r>
                </w:p>
              </w:tc>
              <w:tc>
                <w:tcPr>
                  <w:tcW w:w="1106" w:type="dxa"/>
                  <w:tcBorders>
                    <w:top w:val="nil"/>
                    <w:left w:val="nil"/>
                    <w:bottom w:val="nil"/>
                    <w:right w:val="nil"/>
                  </w:tcBorders>
                </w:tcPr>
                <w:p w14:paraId="7E73F490" w14:textId="00F3D3CD" w:rsidR="00365335" w:rsidRPr="00FC41B5" w:rsidRDefault="00365335" w:rsidP="00365335">
                  <w:pPr>
                    <w:jc w:val="right"/>
                    <w:rPr>
                      <w:rFonts w:ascii="Arial" w:hAnsi="Arial" w:cs="Arial"/>
                      <w:sz w:val="22"/>
                      <w:szCs w:val="22"/>
                    </w:rPr>
                  </w:pPr>
                  <w:r w:rsidRPr="00FC41B5">
                    <w:rPr>
                      <w:rFonts w:ascii="Arial" w:hAnsi="Arial" w:cs="Arial"/>
                    </w:rPr>
                    <w:t>£79</w:t>
                  </w:r>
                  <w:r w:rsidR="00F6636F">
                    <w:rPr>
                      <w:rFonts w:ascii="Arial" w:hAnsi="Arial" w:cs="Arial"/>
                    </w:rPr>
                    <w:t>7</w:t>
                  </w:r>
                  <w:r w:rsidRPr="00FC41B5">
                    <w:rPr>
                      <w:rFonts w:ascii="Arial" w:hAnsi="Arial" w:cs="Arial"/>
                    </w:rPr>
                    <w:t>m</w:t>
                  </w:r>
                </w:p>
              </w:tc>
              <w:tc>
                <w:tcPr>
                  <w:tcW w:w="1544" w:type="dxa"/>
                  <w:tcBorders>
                    <w:top w:val="nil"/>
                    <w:left w:val="nil"/>
                    <w:bottom w:val="nil"/>
                    <w:right w:val="nil"/>
                  </w:tcBorders>
                </w:tcPr>
                <w:p w14:paraId="417A41BB" w14:textId="282AD399" w:rsidR="00365335" w:rsidRPr="00E45C52" w:rsidRDefault="00365335" w:rsidP="00365335">
                  <w:pPr>
                    <w:jc w:val="right"/>
                    <w:rPr>
                      <w:rFonts w:ascii="Arial" w:hAnsi="Arial" w:cs="Arial"/>
                    </w:rPr>
                  </w:pPr>
                  <w:r w:rsidRPr="00E45C52">
                    <w:rPr>
                      <w:rFonts w:ascii="Arial" w:hAnsi="Arial" w:cs="Arial"/>
                    </w:rPr>
                    <w:t>£</w:t>
                  </w:r>
                  <w:r>
                    <w:rPr>
                      <w:rFonts w:ascii="Arial" w:hAnsi="Arial" w:cs="Arial"/>
                    </w:rPr>
                    <w:t>787</w:t>
                  </w:r>
                  <w:r w:rsidRPr="00E45C52">
                    <w:rPr>
                      <w:rFonts w:ascii="Arial" w:hAnsi="Arial" w:cs="Arial"/>
                    </w:rPr>
                    <w:t>m</w:t>
                  </w:r>
                </w:p>
              </w:tc>
              <w:tc>
                <w:tcPr>
                  <w:tcW w:w="1455" w:type="dxa"/>
                  <w:tcBorders>
                    <w:top w:val="nil"/>
                    <w:left w:val="nil"/>
                    <w:bottom w:val="nil"/>
                    <w:right w:val="nil"/>
                  </w:tcBorders>
                </w:tcPr>
                <w:p w14:paraId="0A3881DF" w14:textId="25111F8A" w:rsidR="00365335" w:rsidRPr="00FC41B5" w:rsidRDefault="00365335" w:rsidP="00365335">
                  <w:pPr>
                    <w:jc w:val="right"/>
                    <w:rPr>
                      <w:rFonts w:ascii="Arial" w:hAnsi="Arial" w:cs="Arial"/>
                      <w:sz w:val="22"/>
                      <w:szCs w:val="22"/>
                    </w:rPr>
                  </w:pPr>
                  <w:r w:rsidRPr="00FC41B5">
                    <w:rPr>
                      <w:rFonts w:ascii="Arial" w:hAnsi="Arial" w:cs="Arial"/>
                    </w:rPr>
                    <w:t>+1.</w:t>
                  </w:r>
                  <w:r w:rsidR="00F6636F">
                    <w:rPr>
                      <w:rFonts w:ascii="Arial" w:hAnsi="Arial" w:cs="Arial"/>
                    </w:rPr>
                    <w:t>3</w:t>
                  </w:r>
                  <w:r w:rsidRPr="00FC41B5">
                    <w:rPr>
                      <w:rFonts w:ascii="Arial" w:hAnsi="Arial" w:cs="Arial"/>
                    </w:rPr>
                    <w:t>%</w:t>
                  </w:r>
                </w:p>
              </w:tc>
              <w:tc>
                <w:tcPr>
                  <w:tcW w:w="1200" w:type="dxa"/>
                  <w:tcBorders>
                    <w:top w:val="nil"/>
                    <w:left w:val="nil"/>
                    <w:bottom w:val="nil"/>
                    <w:right w:val="nil"/>
                  </w:tcBorders>
                </w:tcPr>
                <w:p w14:paraId="34DB00CF" w14:textId="77777777" w:rsidR="00365335" w:rsidRPr="0018703F" w:rsidRDefault="00365335" w:rsidP="00365335">
                  <w:pPr>
                    <w:rPr>
                      <w:sz w:val="22"/>
                      <w:szCs w:val="22"/>
                      <w:highlight w:val="yellow"/>
                    </w:rPr>
                  </w:pPr>
                </w:p>
              </w:tc>
              <w:tc>
                <w:tcPr>
                  <w:tcW w:w="1200" w:type="dxa"/>
                  <w:tcBorders>
                    <w:top w:val="nil"/>
                    <w:left w:val="nil"/>
                    <w:bottom w:val="nil"/>
                    <w:right w:val="nil"/>
                  </w:tcBorders>
                </w:tcPr>
                <w:p w14:paraId="50BAD2E6" w14:textId="77777777" w:rsidR="00365335" w:rsidRPr="0018703F" w:rsidRDefault="00365335" w:rsidP="00365335">
                  <w:pPr>
                    <w:rPr>
                      <w:sz w:val="22"/>
                      <w:szCs w:val="22"/>
                      <w:highlight w:val="yellow"/>
                    </w:rPr>
                  </w:pPr>
                </w:p>
              </w:tc>
            </w:tr>
            <w:tr w:rsidR="00365335" w14:paraId="3890F0A5" w14:textId="77777777" w:rsidTr="00D86BB6">
              <w:trPr>
                <w:trHeight w:val="269"/>
              </w:trPr>
              <w:tc>
                <w:tcPr>
                  <w:tcW w:w="2912" w:type="dxa"/>
                  <w:tcBorders>
                    <w:top w:val="nil"/>
                    <w:left w:val="nil"/>
                    <w:bottom w:val="nil"/>
                    <w:right w:val="nil"/>
                  </w:tcBorders>
                </w:tcPr>
                <w:p w14:paraId="011F0B71" w14:textId="77777777" w:rsidR="00365335" w:rsidRPr="00862FEB" w:rsidRDefault="00365335" w:rsidP="00365335">
                  <w:pPr>
                    <w:jc w:val="left"/>
                    <w:rPr>
                      <w:rFonts w:ascii="Arial" w:hAnsi="Arial" w:cs="Arial"/>
                      <w:sz w:val="22"/>
                      <w:szCs w:val="22"/>
                    </w:rPr>
                  </w:pPr>
                  <w:r w:rsidRPr="00862FEB">
                    <w:rPr>
                      <w:rFonts w:ascii="Arial" w:hAnsi="Arial" w:cs="Arial"/>
                      <w:sz w:val="22"/>
                      <w:szCs w:val="22"/>
                    </w:rPr>
                    <w:t>Adjusted* pre-tax profit</w:t>
                  </w:r>
                </w:p>
              </w:tc>
              <w:tc>
                <w:tcPr>
                  <w:tcW w:w="1106" w:type="dxa"/>
                  <w:tcBorders>
                    <w:top w:val="nil"/>
                    <w:left w:val="nil"/>
                    <w:bottom w:val="nil"/>
                    <w:right w:val="nil"/>
                  </w:tcBorders>
                </w:tcPr>
                <w:p w14:paraId="1F06A5F3" w14:textId="1CF3B03A" w:rsidR="00365335" w:rsidRPr="00FC41B5" w:rsidRDefault="00365335" w:rsidP="00365335">
                  <w:pPr>
                    <w:jc w:val="right"/>
                    <w:rPr>
                      <w:rFonts w:ascii="Arial" w:hAnsi="Arial" w:cs="Arial"/>
                      <w:sz w:val="22"/>
                      <w:szCs w:val="22"/>
                    </w:rPr>
                  </w:pPr>
                  <w:r w:rsidRPr="00FC41B5">
                    <w:rPr>
                      <w:rFonts w:ascii="Arial" w:hAnsi="Arial" w:cs="Arial"/>
                    </w:rPr>
                    <w:t>£68</w:t>
                  </w:r>
                  <w:r w:rsidR="00F6636F">
                    <w:rPr>
                      <w:rFonts w:ascii="Arial" w:hAnsi="Arial" w:cs="Arial"/>
                    </w:rPr>
                    <w:t>3</w:t>
                  </w:r>
                  <w:r w:rsidRPr="00FC41B5">
                    <w:rPr>
                      <w:rFonts w:ascii="Arial" w:hAnsi="Arial" w:cs="Arial"/>
                    </w:rPr>
                    <w:t>m</w:t>
                  </w:r>
                </w:p>
              </w:tc>
              <w:tc>
                <w:tcPr>
                  <w:tcW w:w="1544" w:type="dxa"/>
                  <w:tcBorders>
                    <w:top w:val="nil"/>
                    <w:left w:val="nil"/>
                    <w:bottom w:val="nil"/>
                    <w:right w:val="nil"/>
                  </w:tcBorders>
                </w:tcPr>
                <w:p w14:paraId="5D192216" w14:textId="11955D7F" w:rsidR="00365335" w:rsidRPr="00E45C52" w:rsidRDefault="00365335" w:rsidP="00365335">
                  <w:pPr>
                    <w:jc w:val="right"/>
                    <w:rPr>
                      <w:rFonts w:ascii="Arial" w:hAnsi="Arial" w:cs="Arial"/>
                    </w:rPr>
                  </w:pPr>
                  <w:r w:rsidRPr="00E45C52">
                    <w:rPr>
                      <w:rFonts w:ascii="Arial" w:hAnsi="Arial" w:cs="Arial"/>
                    </w:rPr>
                    <w:t>£743m</w:t>
                  </w:r>
                </w:p>
              </w:tc>
              <w:tc>
                <w:tcPr>
                  <w:tcW w:w="1455" w:type="dxa"/>
                  <w:tcBorders>
                    <w:top w:val="nil"/>
                    <w:left w:val="nil"/>
                    <w:bottom w:val="nil"/>
                    <w:right w:val="nil"/>
                  </w:tcBorders>
                </w:tcPr>
                <w:p w14:paraId="283D7DEC" w14:textId="14675090" w:rsidR="00365335" w:rsidRPr="00FC41B5" w:rsidRDefault="00365335" w:rsidP="00365335">
                  <w:pPr>
                    <w:jc w:val="right"/>
                    <w:rPr>
                      <w:rFonts w:ascii="Arial" w:hAnsi="Arial" w:cs="Arial"/>
                      <w:sz w:val="22"/>
                      <w:szCs w:val="22"/>
                    </w:rPr>
                  </w:pPr>
                  <w:r w:rsidRPr="00FC41B5">
                    <w:rPr>
                      <w:rFonts w:ascii="Arial" w:hAnsi="Arial" w:cs="Arial"/>
                    </w:rPr>
                    <w:t>(</w:t>
                  </w:r>
                  <w:proofErr w:type="gramStart"/>
                  <w:r w:rsidR="00F6636F">
                    <w:rPr>
                      <w:rFonts w:ascii="Arial" w:hAnsi="Arial" w:cs="Arial"/>
                    </w:rPr>
                    <w:t>8</w:t>
                  </w:r>
                  <w:r>
                    <w:rPr>
                      <w:rFonts w:ascii="Arial" w:hAnsi="Arial" w:cs="Arial"/>
                    </w:rPr>
                    <w:t>.</w:t>
                  </w:r>
                  <w:r w:rsidR="00F6636F">
                    <w:rPr>
                      <w:rFonts w:ascii="Arial" w:hAnsi="Arial" w:cs="Arial"/>
                    </w:rPr>
                    <w:t>1</w:t>
                  </w:r>
                  <w:r w:rsidRPr="00FC41B5">
                    <w:rPr>
                      <w:rFonts w:ascii="Arial" w:hAnsi="Arial" w:cs="Arial"/>
                    </w:rPr>
                    <w:t>)%</w:t>
                  </w:r>
                  <w:proofErr w:type="gramEnd"/>
                </w:p>
              </w:tc>
              <w:tc>
                <w:tcPr>
                  <w:tcW w:w="1200" w:type="dxa"/>
                  <w:tcBorders>
                    <w:top w:val="nil"/>
                    <w:left w:val="nil"/>
                    <w:bottom w:val="nil"/>
                    <w:right w:val="nil"/>
                  </w:tcBorders>
                </w:tcPr>
                <w:p w14:paraId="5A14934F" w14:textId="77777777" w:rsidR="00365335" w:rsidRPr="0018703F" w:rsidRDefault="00365335" w:rsidP="00365335">
                  <w:pPr>
                    <w:rPr>
                      <w:sz w:val="22"/>
                      <w:szCs w:val="22"/>
                      <w:highlight w:val="yellow"/>
                    </w:rPr>
                  </w:pPr>
                </w:p>
              </w:tc>
              <w:tc>
                <w:tcPr>
                  <w:tcW w:w="1200" w:type="dxa"/>
                  <w:tcBorders>
                    <w:top w:val="nil"/>
                    <w:left w:val="nil"/>
                    <w:bottom w:val="nil"/>
                    <w:right w:val="nil"/>
                  </w:tcBorders>
                </w:tcPr>
                <w:p w14:paraId="62642FF7" w14:textId="77777777" w:rsidR="00365335" w:rsidRPr="0018703F" w:rsidRDefault="00365335" w:rsidP="00365335">
                  <w:pPr>
                    <w:rPr>
                      <w:sz w:val="22"/>
                      <w:szCs w:val="22"/>
                      <w:highlight w:val="yellow"/>
                    </w:rPr>
                  </w:pPr>
                </w:p>
              </w:tc>
            </w:tr>
            <w:tr w:rsidR="00365335" w14:paraId="2E20A44F" w14:textId="77777777" w:rsidTr="00D86BB6">
              <w:trPr>
                <w:trHeight w:val="269"/>
              </w:trPr>
              <w:tc>
                <w:tcPr>
                  <w:tcW w:w="2912" w:type="dxa"/>
                  <w:tcBorders>
                    <w:top w:val="nil"/>
                    <w:left w:val="nil"/>
                    <w:bottom w:val="nil"/>
                    <w:right w:val="nil"/>
                  </w:tcBorders>
                </w:tcPr>
                <w:p w14:paraId="2B6CC295" w14:textId="1659DBF6" w:rsidR="00365335" w:rsidRPr="00862FEB" w:rsidRDefault="00365335" w:rsidP="00365335">
                  <w:pPr>
                    <w:jc w:val="left"/>
                    <w:rPr>
                      <w:rFonts w:ascii="Arial" w:hAnsi="Arial" w:cs="Arial"/>
                      <w:sz w:val="22"/>
                      <w:szCs w:val="22"/>
                    </w:rPr>
                  </w:pPr>
                  <w:r w:rsidRPr="00862FEB">
                    <w:rPr>
                      <w:rFonts w:ascii="Arial" w:hAnsi="Arial" w:cs="Arial"/>
                      <w:sz w:val="22"/>
                      <w:szCs w:val="22"/>
                    </w:rPr>
                    <w:t xml:space="preserve">Underlying basic </w:t>
                  </w:r>
                  <w:proofErr w:type="gramStart"/>
                  <w:r w:rsidRPr="00862FEB">
                    <w:rPr>
                      <w:rFonts w:ascii="Arial" w:hAnsi="Arial" w:cs="Arial"/>
                      <w:sz w:val="22"/>
                      <w:szCs w:val="22"/>
                    </w:rPr>
                    <w:t>EPS</w:t>
                  </w:r>
                  <w:r w:rsidR="00B008E4" w:rsidRPr="00D978CF">
                    <w:rPr>
                      <w:rFonts w:ascii="Arial" w:hAnsi="Arial" w:cs="Arial"/>
                      <w:vertAlign w:val="superscript"/>
                    </w:rPr>
                    <w:t>(</w:t>
                  </w:r>
                  <w:proofErr w:type="gramEnd"/>
                  <w:r w:rsidR="00B008E4" w:rsidRPr="00D978CF">
                    <w:rPr>
                      <w:rFonts w:ascii="Arial" w:hAnsi="Arial" w:cs="Arial"/>
                      <w:vertAlign w:val="superscript"/>
                    </w:rPr>
                    <w:t>1)</w:t>
                  </w:r>
                </w:p>
              </w:tc>
              <w:tc>
                <w:tcPr>
                  <w:tcW w:w="1106" w:type="dxa"/>
                  <w:tcBorders>
                    <w:top w:val="nil"/>
                    <w:left w:val="nil"/>
                    <w:bottom w:val="nil"/>
                    <w:right w:val="nil"/>
                  </w:tcBorders>
                </w:tcPr>
                <w:p w14:paraId="0671A367" w14:textId="41DA44E9" w:rsidR="00365335" w:rsidRPr="00FC41B5" w:rsidRDefault="00365335" w:rsidP="00365335">
                  <w:pPr>
                    <w:jc w:val="right"/>
                    <w:rPr>
                      <w:rFonts w:ascii="Arial" w:hAnsi="Arial" w:cs="Arial"/>
                      <w:sz w:val="22"/>
                      <w:szCs w:val="22"/>
                    </w:rPr>
                  </w:pPr>
                  <w:r w:rsidRPr="00FC41B5">
                    <w:rPr>
                      <w:rFonts w:ascii="Arial" w:hAnsi="Arial" w:cs="Arial"/>
                    </w:rPr>
                    <w:t>25.5p</w:t>
                  </w:r>
                </w:p>
              </w:tc>
              <w:tc>
                <w:tcPr>
                  <w:tcW w:w="1544" w:type="dxa"/>
                  <w:tcBorders>
                    <w:top w:val="nil"/>
                    <w:left w:val="nil"/>
                    <w:bottom w:val="nil"/>
                    <w:right w:val="nil"/>
                  </w:tcBorders>
                </w:tcPr>
                <w:p w14:paraId="50964EA7" w14:textId="2A307B53" w:rsidR="00365335" w:rsidRPr="00A670D8" w:rsidRDefault="00365335" w:rsidP="00365335">
                  <w:pPr>
                    <w:jc w:val="right"/>
                    <w:rPr>
                      <w:rFonts w:ascii="Arial" w:hAnsi="Arial" w:cs="Arial"/>
                    </w:rPr>
                  </w:pPr>
                  <w:r w:rsidRPr="00A670D8">
                    <w:rPr>
                      <w:rFonts w:ascii="Arial" w:hAnsi="Arial" w:cs="Arial"/>
                    </w:rPr>
                    <w:t>25.9p</w:t>
                  </w:r>
                </w:p>
              </w:tc>
              <w:tc>
                <w:tcPr>
                  <w:tcW w:w="1455" w:type="dxa"/>
                  <w:tcBorders>
                    <w:top w:val="nil"/>
                    <w:left w:val="nil"/>
                    <w:bottom w:val="nil"/>
                    <w:right w:val="nil"/>
                  </w:tcBorders>
                </w:tcPr>
                <w:p w14:paraId="31544B43" w14:textId="44497955" w:rsidR="00365335" w:rsidRPr="00FC41B5" w:rsidRDefault="00365335" w:rsidP="00365335">
                  <w:pPr>
                    <w:jc w:val="right"/>
                    <w:rPr>
                      <w:rFonts w:ascii="Arial" w:hAnsi="Arial" w:cs="Arial"/>
                      <w:sz w:val="22"/>
                      <w:szCs w:val="22"/>
                    </w:rPr>
                  </w:pPr>
                  <w:r w:rsidRPr="00FC41B5">
                    <w:rPr>
                      <w:rFonts w:ascii="Arial" w:hAnsi="Arial" w:cs="Arial"/>
                    </w:rPr>
                    <w:t>(</w:t>
                  </w:r>
                  <w:proofErr w:type="gramStart"/>
                  <w:r w:rsidRPr="00FC41B5">
                    <w:rPr>
                      <w:rFonts w:ascii="Arial" w:hAnsi="Arial" w:cs="Arial"/>
                    </w:rPr>
                    <w:t>1</w:t>
                  </w:r>
                  <w:r>
                    <w:rPr>
                      <w:rFonts w:ascii="Arial" w:hAnsi="Arial" w:cs="Arial"/>
                    </w:rPr>
                    <w:t>.</w:t>
                  </w:r>
                  <w:r w:rsidRPr="00FC41B5">
                    <w:rPr>
                      <w:rFonts w:ascii="Arial" w:hAnsi="Arial" w:cs="Arial"/>
                    </w:rPr>
                    <w:t>5)%</w:t>
                  </w:r>
                  <w:proofErr w:type="gramEnd"/>
                </w:p>
              </w:tc>
              <w:tc>
                <w:tcPr>
                  <w:tcW w:w="1200" w:type="dxa"/>
                  <w:tcBorders>
                    <w:top w:val="nil"/>
                    <w:left w:val="nil"/>
                    <w:bottom w:val="nil"/>
                    <w:right w:val="nil"/>
                  </w:tcBorders>
                </w:tcPr>
                <w:p w14:paraId="09D82714" w14:textId="77777777" w:rsidR="00365335" w:rsidRPr="0018703F" w:rsidRDefault="00365335" w:rsidP="00365335">
                  <w:pPr>
                    <w:rPr>
                      <w:sz w:val="22"/>
                      <w:szCs w:val="22"/>
                      <w:highlight w:val="yellow"/>
                    </w:rPr>
                  </w:pPr>
                </w:p>
              </w:tc>
              <w:tc>
                <w:tcPr>
                  <w:tcW w:w="1200" w:type="dxa"/>
                  <w:tcBorders>
                    <w:top w:val="nil"/>
                    <w:left w:val="nil"/>
                    <w:bottom w:val="nil"/>
                    <w:right w:val="nil"/>
                  </w:tcBorders>
                </w:tcPr>
                <w:p w14:paraId="445FE6A8" w14:textId="77777777" w:rsidR="00365335" w:rsidRPr="0018703F" w:rsidRDefault="00365335" w:rsidP="00365335">
                  <w:pPr>
                    <w:rPr>
                      <w:sz w:val="22"/>
                      <w:szCs w:val="22"/>
                      <w:highlight w:val="yellow"/>
                    </w:rPr>
                  </w:pPr>
                </w:p>
              </w:tc>
            </w:tr>
            <w:tr w:rsidR="00365335" w14:paraId="3FD24207" w14:textId="77777777" w:rsidTr="00D86BB6">
              <w:trPr>
                <w:trHeight w:val="269"/>
              </w:trPr>
              <w:tc>
                <w:tcPr>
                  <w:tcW w:w="2912" w:type="dxa"/>
                  <w:tcBorders>
                    <w:top w:val="nil"/>
                    <w:left w:val="nil"/>
                    <w:bottom w:val="nil"/>
                    <w:right w:val="nil"/>
                  </w:tcBorders>
                </w:tcPr>
                <w:p w14:paraId="354C260B" w14:textId="0C3BA2A0" w:rsidR="00365335" w:rsidRPr="00862FEB" w:rsidRDefault="00365335" w:rsidP="00365335">
                  <w:pPr>
                    <w:jc w:val="left"/>
                    <w:rPr>
                      <w:rFonts w:ascii="Arial" w:hAnsi="Arial" w:cs="Arial"/>
                      <w:sz w:val="22"/>
                      <w:szCs w:val="22"/>
                    </w:rPr>
                  </w:pPr>
                  <w:r w:rsidRPr="00862FEB">
                    <w:rPr>
                      <w:rFonts w:ascii="Arial" w:hAnsi="Arial" w:cs="Arial"/>
                      <w:sz w:val="22"/>
                      <w:szCs w:val="22"/>
                    </w:rPr>
                    <w:t xml:space="preserve">Adjusted basic </w:t>
                  </w:r>
                  <w:proofErr w:type="gramStart"/>
                  <w:r w:rsidRPr="00862FEB">
                    <w:rPr>
                      <w:rFonts w:ascii="Arial" w:hAnsi="Arial" w:cs="Arial"/>
                      <w:sz w:val="22"/>
                      <w:szCs w:val="22"/>
                    </w:rPr>
                    <w:t>EPS</w:t>
                  </w:r>
                  <w:r w:rsidR="00B008E4" w:rsidRPr="00E020E7">
                    <w:rPr>
                      <w:rFonts w:ascii="Arial" w:hAnsi="Arial" w:cs="Arial"/>
                      <w:sz w:val="22"/>
                      <w:szCs w:val="22"/>
                      <w:vertAlign w:val="superscript"/>
                    </w:rPr>
                    <w:t>(</w:t>
                  </w:r>
                  <w:proofErr w:type="gramEnd"/>
                  <w:r w:rsidR="00B008E4" w:rsidRPr="00E020E7">
                    <w:rPr>
                      <w:rFonts w:ascii="Arial" w:hAnsi="Arial" w:cs="Arial"/>
                      <w:sz w:val="22"/>
                      <w:szCs w:val="22"/>
                      <w:vertAlign w:val="superscript"/>
                    </w:rPr>
                    <w:t>1)</w:t>
                  </w:r>
                </w:p>
              </w:tc>
              <w:tc>
                <w:tcPr>
                  <w:tcW w:w="1106" w:type="dxa"/>
                  <w:tcBorders>
                    <w:top w:val="nil"/>
                    <w:left w:val="nil"/>
                    <w:bottom w:val="nil"/>
                    <w:right w:val="nil"/>
                  </w:tcBorders>
                </w:tcPr>
                <w:p w14:paraId="455C4871" w14:textId="5315B845" w:rsidR="00365335" w:rsidRPr="00FC41B5" w:rsidRDefault="00365335" w:rsidP="00365335">
                  <w:pPr>
                    <w:jc w:val="right"/>
                    <w:rPr>
                      <w:sz w:val="22"/>
                      <w:szCs w:val="22"/>
                    </w:rPr>
                  </w:pPr>
                  <w:r w:rsidRPr="00FC41B5">
                    <w:rPr>
                      <w:rFonts w:ascii="Arial" w:hAnsi="Arial" w:cs="Arial"/>
                    </w:rPr>
                    <w:t>21.8p</w:t>
                  </w:r>
                </w:p>
              </w:tc>
              <w:tc>
                <w:tcPr>
                  <w:tcW w:w="1544" w:type="dxa"/>
                  <w:tcBorders>
                    <w:top w:val="nil"/>
                    <w:left w:val="nil"/>
                    <w:bottom w:val="nil"/>
                    <w:right w:val="nil"/>
                  </w:tcBorders>
                </w:tcPr>
                <w:p w14:paraId="0053E5BB" w14:textId="20F7DCBF" w:rsidR="00365335" w:rsidRPr="00A670D8" w:rsidRDefault="00365335" w:rsidP="00365335">
                  <w:pPr>
                    <w:jc w:val="right"/>
                  </w:pPr>
                  <w:r w:rsidRPr="00A670D8">
                    <w:rPr>
                      <w:rFonts w:ascii="Arial" w:hAnsi="Arial" w:cs="Arial"/>
                    </w:rPr>
                    <w:t>24.4p</w:t>
                  </w:r>
                </w:p>
              </w:tc>
              <w:tc>
                <w:tcPr>
                  <w:tcW w:w="1455" w:type="dxa"/>
                  <w:tcBorders>
                    <w:top w:val="nil"/>
                    <w:left w:val="nil"/>
                    <w:bottom w:val="nil"/>
                    <w:right w:val="nil"/>
                  </w:tcBorders>
                </w:tcPr>
                <w:p w14:paraId="2DA0DFC5" w14:textId="51C08785" w:rsidR="00365335" w:rsidRPr="00FC41B5" w:rsidRDefault="00365335" w:rsidP="00365335">
                  <w:pPr>
                    <w:jc w:val="right"/>
                    <w:rPr>
                      <w:sz w:val="22"/>
                      <w:szCs w:val="22"/>
                    </w:rPr>
                  </w:pPr>
                  <w:r w:rsidRPr="00FC41B5">
                    <w:rPr>
                      <w:rFonts w:ascii="Arial" w:hAnsi="Arial" w:cs="Arial"/>
                    </w:rPr>
                    <w:t>(</w:t>
                  </w:r>
                  <w:proofErr w:type="gramStart"/>
                  <w:r w:rsidRPr="00FC41B5">
                    <w:rPr>
                      <w:rFonts w:ascii="Arial" w:hAnsi="Arial" w:cs="Arial"/>
                    </w:rPr>
                    <w:t>10</w:t>
                  </w:r>
                  <w:r>
                    <w:rPr>
                      <w:rFonts w:ascii="Arial" w:hAnsi="Arial" w:cs="Arial"/>
                    </w:rPr>
                    <w:t>.</w:t>
                  </w:r>
                  <w:r w:rsidRPr="00FC41B5">
                    <w:rPr>
                      <w:rFonts w:ascii="Arial" w:hAnsi="Arial" w:cs="Arial"/>
                    </w:rPr>
                    <w:t>7)%</w:t>
                  </w:r>
                  <w:proofErr w:type="gramEnd"/>
                </w:p>
              </w:tc>
              <w:tc>
                <w:tcPr>
                  <w:tcW w:w="1200" w:type="dxa"/>
                  <w:tcBorders>
                    <w:top w:val="nil"/>
                    <w:left w:val="nil"/>
                    <w:bottom w:val="nil"/>
                    <w:right w:val="nil"/>
                  </w:tcBorders>
                </w:tcPr>
                <w:p w14:paraId="0FB5622F" w14:textId="77777777" w:rsidR="00365335" w:rsidRPr="0018703F" w:rsidRDefault="00365335" w:rsidP="00365335">
                  <w:pPr>
                    <w:rPr>
                      <w:sz w:val="22"/>
                      <w:szCs w:val="22"/>
                      <w:highlight w:val="yellow"/>
                    </w:rPr>
                  </w:pPr>
                </w:p>
              </w:tc>
              <w:tc>
                <w:tcPr>
                  <w:tcW w:w="1200" w:type="dxa"/>
                  <w:tcBorders>
                    <w:top w:val="nil"/>
                    <w:left w:val="nil"/>
                    <w:bottom w:val="nil"/>
                    <w:right w:val="nil"/>
                  </w:tcBorders>
                </w:tcPr>
                <w:p w14:paraId="3C84703A" w14:textId="77777777" w:rsidR="00365335" w:rsidRPr="0018703F" w:rsidRDefault="00365335" w:rsidP="00365335">
                  <w:pPr>
                    <w:rPr>
                      <w:sz w:val="22"/>
                      <w:szCs w:val="22"/>
                      <w:highlight w:val="yellow"/>
                    </w:rPr>
                  </w:pPr>
                </w:p>
              </w:tc>
            </w:tr>
            <w:tr w:rsidR="00365335" w14:paraId="6F1ABFEE" w14:textId="77777777" w:rsidTr="00D86BB6">
              <w:trPr>
                <w:trHeight w:val="269"/>
              </w:trPr>
              <w:tc>
                <w:tcPr>
                  <w:tcW w:w="2912" w:type="dxa"/>
                  <w:tcBorders>
                    <w:top w:val="nil"/>
                    <w:left w:val="nil"/>
                    <w:bottom w:val="nil"/>
                    <w:right w:val="nil"/>
                  </w:tcBorders>
                </w:tcPr>
                <w:p w14:paraId="003BE209" w14:textId="6C3949F4" w:rsidR="00365335" w:rsidRPr="00862FEB" w:rsidDel="0008206F" w:rsidRDefault="00365335" w:rsidP="00365335">
                  <w:pPr>
                    <w:jc w:val="left"/>
                    <w:rPr>
                      <w:rFonts w:ascii="Arial" w:hAnsi="Arial" w:cs="Arial"/>
                      <w:sz w:val="22"/>
                      <w:szCs w:val="22"/>
                    </w:rPr>
                  </w:pPr>
                  <w:r w:rsidRPr="00862FEB">
                    <w:rPr>
                      <w:rFonts w:ascii="Arial" w:hAnsi="Arial" w:cs="Arial"/>
                      <w:sz w:val="22"/>
                      <w:szCs w:val="22"/>
                    </w:rPr>
                    <w:t>Lease adjusted ROCE*</w:t>
                  </w:r>
                  <w:r w:rsidR="00B008E4" w:rsidRPr="00D978CF">
                    <w:rPr>
                      <w:rFonts w:ascii="Arial" w:hAnsi="Arial" w:cs="Arial"/>
                      <w:vertAlign w:val="superscript"/>
                    </w:rPr>
                    <w:t>(1)</w:t>
                  </w:r>
                </w:p>
              </w:tc>
              <w:tc>
                <w:tcPr>
                  <w:tcW w:w="1106" w:type="dxa"/>
                  <w:tcBorders>
                    <w:top w:val="nil"/>
                    <w:left w:val="nil"/>
                    <w:bottom w:val="nil"/>
                    <w:right w:val="nil"/>
                  </w:tcBorders>
                </w:tcPr>
                <w:p w14:paraId="145B1E6E" w14:textId="15713AE6" w:rsidR="00365335" w:rsidRPr="00E46E76" w:rsidRDefault="00F31976" w:rsidP="00365335">
                  <w:pPr>
                    <w:jc w:val="right"/>
                    <w:rPr>
                      <w:rFonts w:ascii="Arial" w:hAnsi="Arial" w:cs="Arial"/>
                      <w:sz w:val="22"/>
                      <w:szCs w:val="22"/>
                    </w:rPr>
                  </w:pPr>
                  <w:r w:rsidRPr="00E46E76">
                    <w:rPr>
                      <w:rFonts w:ascii="Arial" w:hAnsi="Arial" w:cs="Arial"/>
                    </w:rPr>
                    <w:t>10</w:t>
                  </w:r>
                  <w:r w:rsidR="00365335" w:rsidRPr="00E46E76">
                    <w:rPr>
                      <w:rFonts w:ascii="Arial" w:hAnsi="Arial" w:cs="Arial"/>
                    </w:rPr>
                    <w:t>.</w:t>
                  </w:r>
                  <w:r w:rsidRPr="00E46E76">
                    <w:rPr>
                      <w:rFonts w:ascii="Arial" w:hAnsi="Arial" w:cs="Arial"/>
                    </w:rPr>
                    <w:t>4</w:t>
                  </w:r>
                  <w:r w:rsidR="00365335" w:rsidRPr="00E46E76">
                    <w:rPr>
                      <w:rFonts w:ascii="Arial" w:hAnsi="Arial" w:cs="Arial"/>
                    </w:rPr>
                    <w:t>%</w:t>
                  </w:r>
                </w:p>
              </w:tc>
              <w:tc>
                <w:tcPr>
                  <w:tcW w:w="1544" w:type="dxa"/>
                  <w:tcBorders>
                    <w:top w:val="nil"/>
                    <w:left w:val="nil"/>
                    <w:bottom w:val="nil"/>
                    <w:right w:val="nil"/>
                  </w:tcBorders>
                </w:tcPr>
                <w:p w14:paraId="06AB2D6B" w14:textId="5FDC4AB3" w:rsidR="00365335" w:rsidRPr="00F31976" w:rsidDel="0008206F" w:rsidRDefault="00365335" w:rsidP="00365335">
                  <w:pPr>
                    <w:jc w:val="right"/>
                    <w:rPr>
                      <w:rFonts w:ascii="Arial" w:hAnsi="Arial" w:cs="Arial"/>
                    </w:rPr>
                  </w:pPr>
                  <w:r w:rsidRPr="00F31976">
                    <w:rPr>
                      <w:rFonts w:ascii="Arial" w:hAnsi="Arial" w:cs="Arial"/>
                    </w:rPr>
                    <w:t>12.5%</w:t>
                  </w:r>
                </w:p>
              </w:tc>
              <w:tc>
                <w:tcPr>
                  <w:tcW w:w="1455" w:type="dxa"/>
                  <w:tcBorders>
                    <w:top w:val="nil"/>
                    <w:left w:val="nil"/>
                    <w:bottom w:val="nil"/>
                    <w:right w:val="nil"/>
                  </w:tcBorders>
                </w:tcPr>
                <w:p w14:paraId="6FFA2057" w14:textId="5854EC3B" w:rsidR="00365335" w:rsidRPr="00E46E76" w:rsidRDefault="00480087" w:rsidP="00365335">
                  <w:pPr>
                    <w:jc w:val="right"/>
                    <w:rPr>
                      <w:rFonts w:ascii="Arial" w:hAnsi="Arial" w:cs="Arial"/>
                      <w:sz w:val="22"/>
                      <w:szCs w:val="22"/>
                    </w:rPr>
                  </w:pPr>
                  <w:r>
                    <w:rPr>
                      <w:rFonts w:ascii="Arial" w:hAnsi="Arial" w:cs="Arial"/>
                    </w:rPr>
                    <w:t>(</w:t>
                  </w:r>
                  <w:proofErr w:type="gramStart"/>
                  <w:r w:rsidR="00F31976" w:rsidRPr="00E46E76">
                    <w:rPr>
                      <w:rFonts w:ascii="Arial" w:hAnsi="Arial" w:cs="Arial"/>
                    </w:rPr>
                    <w:t>210</w:t>
                  </w:r>
                  <w:r w:rsidR="008F1704" w:rsidRPr="00E46E76">
                    <w:rPr>
                      <w:rFonts w:ascii="Arial" w:hAnsi="Arial" w:cs="Arial"/>
                    </w:rPr>
                    <w:t>)</w:t>
                  </w:r>
                  <w:r w:rsidR="00365335" w:rsidRPr="00E46E76">
                    <w:rPr>
                      <w:rFonts w:ascii="Arial" w:hAnsi="Arial" w:cs="Arial"/>
                    </w:rPr>
                    <w:t>bps</w:t>
                  </w:r>
                  <w:proofErr w:type="gramEnd"/>
                </w:p>
              </w:tc>
              <w:tc>
                <w:tcPr>
                  <w:tcW w:w="1200" w:type="dxa"/>
                  <w:tcBorders>
                    <w:top w:val="nil"/>
                    <w:left w:val="nil"/>
                    <w:bottom w:val="nil"/>
                    <w:right w:val="nil"/>
                  </w:tcBorders>
                </w:tcPr>
                <w:p w14:paraId="69B79E06" w14:textId="77777777" w:rsidR="00365335" w:rsidRPr="0018703F" w:rsidRDefault="00365335" w:rsidP="00365335">
                  <w:pPr>
                    <w:rPr>
                      <w:sz w:val="22"/>
                      <w:szCs w:val="22"/>
                      <w:highlight w:val="yellow"/>
                    </w:rPr>
                  </w:pPr>
                </w:p>
              </w:tc>
              <w:tc>
                <w:tcPr>
                  <w:tcW w:w="1200" w:type="dxa"/>
                  <w:tcBorders>
                    <w:top w:val="nil"/>
                    <w:left w:val="nil"/>
                    <w:bottom w:val="nil"/>
                    <w:right w:val="nil"/>
                  </w:tcBorders>
                </w:tcPr>
                <w:p w14:paraId="4436384D" w14:textId="77777777" w:rsidR="00365335" w:rsidRPr="0018703F" w:rsidRDefault="00365335" w:rsidP="00365335">
                  <w:pPr>
                    <w:rPr>
                      <w:sz w:val="22"/>
                      <w:szCs w:val="22"/>
                      <w:highlight w:val="yellow"/>
                    </w:rPr>
                  </w:pPr>
                </w:p>
              </w:tc>
            </w:tr>
            <w:tr w:rsidR="00365335" w14:paraId="5E7C0683" w14:textId="77777777" w:rsidTr="00D86BB6">
              <w:trPr>
                <w:trHeight w:val="269"/>
              </w:trPr>
              <w:tc>
                <w:tcPr>
                  <w:tcW w:w="2912" w:type="dxa"/>
                  <w:tcBorders>
                    <w:top w:val="nil"/>
                    <w:left w:val="nil"/>
                    <w:bottom w:val="nil"/>
                    <w:right w:val="nil"/>
                  </w:tcBorders>
                </w:tcPr>
                <w:p w14:paraId="7042051E" w14:textId="77777777" w:rsidR="00365335" w:rsidRPr="00862FEB" w:rsidRDefault="00365335" w:rsidP="00365335">
                  <w:pPr>
                    <w:jc w:val="left"/>
                    <w:rPr>
                      <w:rFonts w:ascii="Arial" w:hAnsi="Arial" w:cs="Arial"/>
                      <w:sz w:val="22"/>
                      <w:szCs w:val="22"/>
                    </w:rPr>
                  </w:pPr>
                  <w:r w:rsidRPr="00862FEB">
                    <w:rPr>
                      <w:rFonts w:ascii="Arial" w:hAnsi="Arial" w:cs="Arial"/>
                      <w:sz w:val="22"/>
                      <w:szCs w:val="22"/>
                    </w:rPr>
                    <w:t>Full year dividend</w:t>
                  </w:r>
                </w:p>
              </w:tc>
              <w:tc>
                <w:tcPr>
                  <w:tcW w:w="1106" w:type="dxa"/>
                  <w:tcBorders>
                    <w:top w:val="nil"/>
                    <w:left w:val="nil"/>
                    <w:bottom w:val="nil"/>
                    <w:right w:val="nil"/>
                  </w:tcBorders>
                </w:tcPr>
                <w:p w14:paraId="2FCB5340" w14:textId="306C68BC" w:rsidR="00365335" w:rsidRPr="00480087" w:rsidRDefault="00480087" w:rsidP="00365335">
                  <w:pPr>
                    <w:jc w:val="right"/>
                    <w:rPr>
                      <w:sz w:val="22"/>
                      <w:szCs w:val="22"/>
                    </w:rPr>
                  </w:pPr>
                  <w:r>
                    <w:rPr>
                      <w:rFonts w:ascii="Arial" w:hAnsi="Arial" w:cs="Arial"/>
                    </w:rPr>
                    <w:t>1</w:t>
                  </w:r>
                  <w:r w:rsidR="004E4CC8" w:rsidRPr="00D86BB6">
                    <w:rPr>
                      <w:rFonts w:ascii="Arial" w:hAnsi="Arial" w:cs="Arial"/>
                    </w:rPr>
                    <w:t>0.8</w:t>
                  </w:r>
                  <w:r w:rsidR="008F1704" w:rsidRPr="00D86BB6">
                    <w:rPr>
                      <w:rFonts w:ascii="Arial" w:hAnsi="Arial" w:cs="Arial"/>
                    </w:rPr>
                    <w:t>p</w:t>
                  </w:r>
                </w:p>
              </w:tc>
              <w:tc>
                <w:tcPr>
                  <w:tcW w:w="1544" w:type="dxa"/>
                  <w:tcBorders>
                    <w:top w:val="nil"/>
                    <w:left w:val="nil"/>
                    <w:bottom w:val="nil"/>
                    <w:right w:val="nil"/>
                  </w:tcBorders>
                </w:tcPr>
                <w:p w14:paraId="264581C3" w14:textId="212AA187" w:rsidR="00365335" w:rsidRPr="00480087" w:rsidRDefault="00365335" w:rsidP="00365335">
                  <w:pPr>
                    <w:jc w:val="right"/>
                  </w:pPr>
                  <w:r w:rsidRPr="00480087">
                    <w:rPr>
                      <w:rFonts w:ascii="Arial" w:hAnsi="Arial" w:cs="Arial"/>
                    </w:rPr>
                    <w:t>10.4p</w:t>
                  </w:r>
                </w:p>
              </w:tc>
              <w:tc>
                <w:tcPr>
                  <w:tcW w:w="1455" w:type="dxa"/>
                  <w:tcBorders>
                    <w:top w:val="nil"/>
                    <w:left w:val="nil"/>
                    <w:bottom w:val="nil"/>
                    <w:right w:val="nil"/>
                  </w:tcBorders>
                </w:tcPr>
                <w:p w14:paraId="538FE291" w14:textId="1209E800" w:rsidR="00365335" w:rsidRPr="00480087" w:rsidRDefault="00480087" w:rsidP="00365335">
                  <w:pPr>
                    <w:jc w:val="right"/>
                    <w:rPr>
                      <w:sz w:val="22"/>
                      <w:szCs w:val="22"/>
                    </w:rPr>
                  </w:pPr>
                  <w:r>
                    <w:rPr>
                      <w:rFonts w:ascii="Arial" w:hAnsi="Arial" w:cs="Arial"/>
                    </w:rPr>
                    <w:t>+</w:t>
                  </w:r>
                  <w:r w:rsidR="004E4CC8" w:rsidRPr="00D86BB6">
                    <w:rPr>
                      <w:rFonts w:ascii="Arial" w:hAnsi="Arial" w:cs="Arial"/>
                    </w:rPr>
                    <w:t>4</w:t>
                  </w:r>
                  <w:r w:rsidRPr="00D86BB6">
                    <w:rPr>
                      <w:rFonts w:ascii="Arial" w:hAnsi="Arial" w:cs="Arial"/>
                    </w:rPr>
                    <w:t>.0</w:t>
                  </w:r>
                  <w:r w:rsidR="00365335" w:rsidRPr="00D86BB6">
                    <w:rPr>
                      <w:rFonts w:ascii="Arial" w:hAnsi="Arial" w:cs="Arial"/>
                    </w:rPr>
                    <w:t>%</w:t>
                  </w:r>
                </w:p>
              </w:tc>
              <w:tc>
                <w:tcPr>
                  <w:tcW w:w="1200" w:type="dxa"/>
                  <w:tcBorders>
                    <w:top w:val="nil"/>
                    <w:left w:val="nil"/>
                    <w:bottom w:val="nil"/>
                    <w:right w:val="nil"/>
                  </w:tcBorders>
                </w:tcPr>
                <w:p w14:paraId="51F3AE84" w14:textId="77777777" w:rsidR="00365335" w:rsidRPr="0018703F" w:rsidRDefault="00365335" w:rsidP="00365335">
                  <w:pPr>
                    <w:rPr>
                      <w:sz w:val="22"/>
                      <w:szCs w:val="22"/>
                      <w:highlight w:val="yellow"/>
                    </w:rPr>
                  </w:pPr>
                </w:p>
              </w:tc>
              <w:tc>
                <w:tcPr>
                  <w:tcW w:w="1200" w:type="dxa"/>
                  <w:tcBorders>
                    <w:top w:val="nil"/>
                    <w:left w:val="nil"/>
                    <w:bottom w:val="nil"/>
                    <w:right w:val="nil"/>
                  </w:tcBorders>
                </w:tcPr>
                <w:p w14:paraId="0C7ACFA1" w14:textId="77777777" w:rsidR="00365335" w:rsidRPr="0018703F" w:rsidRDefault="00365335" w:rsidP="00365335">
                  <w:pPr>
                    <w:rPr>
                      <w:sz w:val="22"/>
                      <w:szCs w:val="22"/>
                      <w:highlight w:val="yellow"/>
                    </w:rPr>
                  </w:pPr>
                </w:p>
              </w:tc>
            </w:tr>
            <w:tr w:rsidR="00365335" w14:paraId="2864EB21" w14:textId="77777777" w:rsidTr="00D86BB6">
              <w:trPr>
                <w:trHeight w:val="269"/>
              </w:trPr>
              <w:tc>
                <w:tcPr>
                  <w:tcW w:w="2912" w:type="dxa"/>
                  <w:tcBorders>
                    <w:top w:val="nil"/>
                    <w:left w:val="nil"/>
                    <w:bottom w:val="single" w:sz="4" w:space="0" w:color="auto"/>
                    <w:right w:val="nil"/>
                  </w:tcBorders>
                </w:tcPr>
                <w:p w14:paraId="5712C42D" w14:textId="77777777" w:rsidR="00365335" w:rsidRPr="00862FEB" w:rsidRDefault="00365335" w:rsidP="00365335">
                  <w:pPr>
                    <w:jc w:val="left"/>
                    <w:rPr>
                      <w:rFonts w:ascii="Arial" w:hAnsi="Arial" w:cs="Arial"/>
                      <w:sz w:val="22"/>
                      <w:szCs w:val="22"/>
                    </w:rPr>
                  </w:pPr>
                  <w:r w:rsidRPr="00862FEB">
                    <w:rPr>
                      <w:rFonts w:ascii="Arial" w:hAnsi="Arial" w:cs="Arial"/>
                      <w:sz w:val="22"/>
                      <w:szCs w:val="22"/>
                    </w:rPr>
                    <w:t>Net cash*</w:t>
                  </w:r>
                </w:p>
              </w:tc>
              <w:tc>
                <w:tcPr>
                  <w:tcW w:w="1106" w:type="dxa"/>
                  <w:tcBorders>
                    <w:top w:val="nil"/>
                    <w:left w:val="nil"/>
                    <w:bottom w:val="single" w:sz="4" w:space="0" w:color="auto"/>
                    <w:right w:val="nil"/>
                  </w:tcBorders>
                </w:tcPr>
                <w:p w14:paraId="05FCE478" w14:textId="41250C06" w:rsidR="00365335" w:rsidRPr="000864BF" w:rsidRDefault="00365335" w:rsidP="00365335">
                  <w:pPr>
                    <w:jc w:val="right"/>
                    <w:rPr>
                      <w:sz w:val="22"/>
                      <w:szCs w:val="22"/>
                      <w:highlight w:val="yellow"/>
                    </w:rPr>
                  </w:pPr>
                  <w:r w:rsidRPr="00522D61">
                    <w:rPr>
                      <w:rFonts w:ascii="Arial" w:hAnsi="Arial" w:cs="Arial"/>
                    </w:rPr>
                    <w:t>£68m</w:t>
                  </w:r>
                </w:p>
              </w:tc>
              <w:tc>
                <w:tcPr>
                  <w:tcW w:w="1544" w:type="dxa"/>
                  <w:tcBorders>
                    <w:top w:val="nil"/>
                    <w:left w:val="nil"/>
                    <w:bottom w:val="single" w:sz="4" w:space="0" w:color="auto"/>
                    <w:right w:val="nil"/>
                  </w:tcBorders>
                </w:tcPr>
                <w:p w14:paraId="51D57535" w14:textId="7B836C1D" w:rsidR="00365335" w:rsidRPr="0018703F" w:rsidRDefault="00365335" w:rsidP="00365335">
                  <w:pPr>
                    <w:jc w:val="right"/>
                  </w:pPr>
                  <w:r w:rsidRPr="00371834">
                    <w:rPr>
                      <w:rFonts w:ascii="Arial" w:hAnsi="Arial" w:cs="Arial"/>
                    </w:rPr>
                    <w:t>£641m</w:t>
                  </w:r>
                </w:p>
              </w:tc>
              <w:tc>
                <w:tcPr>
                  <w:tcW w:w="1455" w:type="dxa"/>
                  <w:tcBorders>
                    <w:top w:val="nil"/>
                    <w:left w:val="nil"/>
                    <w:bottom w:val="single" w:sz="4" w:space="0" w:color="auto"/>
                    <w:right w:val="nil"/>
                  </w:tcBorders>
                </w:tcPr>
                <w:p w14:paraId="04FE5324" w14:textId="77777777" w:rsidR="00365335" w:rsidRPr="00232507" w:rsidRDefault="00365335" w:rsidP="00365335">
                  <w:pPr>
                    <w:jc w:val="right"/>
                    <w:rPr>
                      <w:sz w:val="22"/>
                      <w:szCs w:val="22"/>
                      <w:highlight w:val="yellow"/>
                    </w:rPr>
                  </w:pPr>
                  <w:r w:rsidRPr="00522D61">
                    <w:rPr>
                      <w:rFonts w:ascii="Arial" w:hAnsi="Arial" w:cs="Arial"/>
                    </w:rPr>
                    <w:t>n/a</w:t>
                  </w:r>
                </w:p>
              </w:tc>
              <w:tc>
                <w:tcPr>
                  <w:tcW w:w="1200" w:type="dxa"/>
                  <w:tcBorders>
                    <w:top w:val="nil"/>
                    <w:left w:val="nil"/>
                    <w:bottom w:val="single" w:sz="4" w:space="0" w:color="auto"/>
                    <w:right w:val="nil"/>
                  </w:tcBorders>
                </w:tcPr>
                <w:p w14:paraId="2BC83A3C" w14:textId="77777777" w:rsidR="00365335" w:rsidRPr="0018703F" w:rsidRDefault="00365335" w:rsidP="00365335">
                  <w:pPr>
                    <w:rPr>
                      <w:sz w:val="22"/>
                      <w:szCs w:val="22"/>
                      <w:highlight w:val="yellow"/>
                    </w:rPr>
                  </w:pPr>
                </w:p>
              </w:tc>
              <w:tc>
                <w:tcPr>
                  <w:tcW w:w="1200" w:type="dxa"/>
                  <w:tcBorders>
                    <w:top w:val="nil"/>
                    <w:left w:val="nil"/>
                    <w:bottom w:val="single" w:sz="4" w:space="0" w:color="auto"/>
                    <w:right w:val="nil"/>
                  </w:tcBorders>
                </w:tcPr>
                <w:p w14:paraId="3B6EE571" w14:textId="77777777" w:rsidR="00365335" w:rsidRPr="0018703F" w:rsidRDefault="00365335" w:rsidP="00365335">
                  <w:pPr>
                    <w:rPr>
                      <w:sz w:val="22"/>
                      <w:szCs w:val="22"/>
                      <w:highlight w:val="yellow"/>
                    </w:rPr>
                  </w:pPr>
                </w:p>
              </w:tc>
            </w:tr>
            <w:tr w:rsidR="00365335" w14:paraId="2286986E" w14:textId="77777777" w:rsidTr="0018703F">
              <w:trPr>
                <w:trHeight w:val="398"/>
              </w:trPr>
              <w:tc>
                <w:tcPr>
                  <w:tcW w:w="9417" w:type="dxa"/>
                  <w:gridSpan w:val="6"/>
                  <w:tcBorders>
                    <w:top w:val="single" w:sz="4" w:space="0" w:color="auto"/>
                    <w:left w:val="nil"/>
                    <w:bottom w:val="nil"/>
                    <w:right w:val="nil"/>
                  </w:tcBorders>
                </w:tcPr>
                <w:p w14:paraId="429D2AFA" w14:textId="0AC4ACC4" w:rsidR="00365335" w:rsidRPr="006B55FF" w:rsidRDefault="00B008E4" w:rsidP="00365335">
                  <w:pPr>
                    <w:jc w:val="left"/>
                    <w:rPr>
                      <w:rFonts w:ascii="Arial" w:hAnsi="Arial" w:cs="Arial"/>
                      <w:i/>
                      <w:sz w:val="18"/>
                      <w:szCs w:val="18"/>
                    </w:rPr>
                  </w:pPr>
                  <w:r w:rsidRPr="00F74486">
                    <w:rPr>
                      <w:rFonts w:ascii="Arial" w:hAnsi="Arial" w:cs="Arial"/>
                      <w:i/>
                      <w:sz w:val="18"/>
                      <w:szCs w:val="18"/>
                    </w:rPr>
                    <w:t>(1) Includes</w:t>
                  </w:r>
                  <w:r w:rsidR="00A413FE" w:rsidRPr="00F74486">
                    <w:rPr>
                      <w:rFonts w:ascii="Arial" w:hAnsi="Arial" w:cs="Arial"/>
                      <w:i/>
                      <w:sz w:val="18"/>
                      <w:szCs w:val="18"/>
                    </w:rPr>
                    <w:t xml:space="preserve"> </w:t>
                  </w:r>
                  <w:r w:rsidR="004E4CC8">
                    <w:rPr>
                      <w:rFonts w:ascii="Arial" w:hAnsi="Arial" w:cs="Arial"/>
                      <w:i/>
                      <w:sz w:val="18"/>
                      <w:szCs w:val="18"/>
                    </w:rPr>
                    <w:t>c.</w:t>
                  </w:r>
                  <w:r w:rsidR="00A413FE" w:rsidRPr="00F74486">
                    <w:rPr>
                      <w:rFonts w:ascii="Arial" w:hAnsi="Arial" w:cs="Arial"/>
                      <w:i/>
                      <w:sz w:val="18"/>
                      <w:szCs w:val="18"/>
                    </w:rPr>
                    <w:t xml:space="preserve">£20m </w:t>
                  </w:r>
                  <w:r w:rsidRPr="00F74486">
                    <w:rPr>
                      <w:rFonts w:ascii="Arial" w:hAnsi="Arial" w:cs="Arial"/>
                      <w:i/>
                      <w:sz w:val="18"/>
                      <w:szCs w:val="18"/>
                    </w:rPr>
                    <w:t>corporate tax surcharge in France</w:t>
                  </w:r>
                </w:p>
              </w:tc>
            </w:tr>
          </w:tbl>
          <w:p w14:paraId="2092851C" w14:textId="77777777" w:rsidR="00A45362" w:rsidRPr="00D570CA" w:rsidRDefault="00A45362" w:rsidP="00A45362">
            <w:pPr>
              <w:jc w:val="left"/>
              <w:rPr>
                <w:rFonts w:ascii="Arial" w:hAnsi="Arial" w:cs="Arial"/>
                <w:b/>
                <w:bCs/>
                <w:sz w:val="24"/>
                <w:szCs w:val="24"/>
                <w:u w:val="single"/>
              </w:rPr>
            </w:pPr>
          </w:p>
        </w:tc>
      </w:tr>
    </w:tbl>
    <w:p w14:paraId="70A14083" w14:textId="77777777" w:rsidR="002F35FE" w:rsidRDefault="002F35FE" w:rsidP="00440B16">
      <w:pPr>
        <w:rPr>
          <w:rFonts w:ascii="Arial" w:hAnsi="Arial" w:cs="Arial"/>
          <w:b/>
          <w:bCs/>
          <w:sz w:val="24"/>
          <w:szCs w:val="24"/>
          <w:u w:val="single"/>
        </w:rPr>
      </w:pPr>
    </w:p>
    <w:p w14:paraId="1E55C576" w14:textId="267AB4E6" w:rsidR="007739DD" w:rsidRDefault="00EC7E20" w:rsidP="001505B3">
      <w:pPr>
        <w:jc w:val="left"/>
        <w:rPr>
          <w:rFonts w:ascii="Arial" w:hAnsi="Arial" w:cs="Arial"/>
          <w:b/>
          <w:bCs/>
          <w:u w:val="single"/>
        </w:rPr>
      </w:pPr>
      <w:r>
        <w:rPr>
          <w:rFonts w:ascii="Arial" w:hAnsi="Arial" w:cs="Arial"/>
          <w:b/>
          <w:bCs/>
          <w:u w:val="single"/>
        </w:rPr>
        <w:t xml:space="preserve">FY 17/18: </w:t>
      </w:r>
      <w:proofErr w:type="gramStart"/>
      <w:r w:rsidR="007739DD">
        <w:rPr>
          <w:rFonts w:ascii="Arial" w:hAnsi="Arial" w:cs="Arial"/>
          <w:b/>
          <w:bCs/>
          <w:u w:val="single"/>
        </w:rPr>
        <w:t>5 year</w:t>
      </w:r>
      <w:proofErr w:type="gramEnd"/>
      <w:r w:rsidR="007739DD">
        <w:rPr>
          <w:rFonts w:ascii="Arial" w:hAnsi="Arial" w:cs="Arial"/>
          <w:b/>
          <w:bCs/>
          <w:u w:val="single"/>
        </w:rPr>
        <w:t xml:space="preserve"> transformation continues at pace</w:t>
      </w:r>
    </w:p>
    <w:p w14:paraId="351A6B48" w14:textId="53F855FE" w:rsidR="009B0573" w:rsidRPr="00810DAF" w:rsidRDefault="009B0573" w:rsidP="009B0573">
      <w:pPr>
        <w:pStyle w:val="ListParagraph"/>
        <w:numPr>
          <w:ilvl w:val="0"/>
          <w:numId w:val="51"/>
        </w:numPr>
        <w:jc w:val="left"/>
        <w:rPr>
          <w:rFonts w:ascii="Arial" w:hAnsi="Arial" w:cs="Arial"/>
          <w:bCs/>
        </w:rPr>
      </w:pPr>
      <w:bookmarkStart w:id="1" w:name="_Hlk507658742"/>
      <w:r>
        <w:rPr>
          <w:rFonts w:ascii="Arial" w:hAnsi="Arial" w:cs="Arial"/>
          <w:bCs/>
        </w:rPr>
        <w:t>Delivered</w:t>
      </w:r>
      <w:r w:rsidR="00F07AFB">
        <w:rPr>
          <w:rFonts w:ascii="Arial" w:hAnsi="Arial" w:cs="Arial"/>
          <w:bCs/>
        </w:rPr>
        <w:t xml:space="preserve"> key</w:t>
      </w:r>
      <w:r w:rsidR="00990F9A">
        <w:rPr>
          <w:rFonts w:ascii="Arial" w:hAnsi="Arial" w:cs="Arial"/>
          <w:bCs/>
        </w:rPr>
        <w:t xml:space="preserve"> </w:t>
      </w:r>
      <w:r>
        <w:rPr>
          <w:rFonts w:ascii="Arial" w:hAnsi="Arial" w:cs="Arial"/>
          <w:bCs/>
        </w:rPr>
        <w:t>strategic milestones for the second year in a row</w:t>
      </w:r>
    </w:p>
    <w:p w14:paraId="51927116" w14:textId="448187BB" w:rsidR="009B0573" w:rsidRDefault="009B0573" w:rsidP="009B0573">
      <w:pPr>
        <w:pStyle w:val="ListParagraph"/>
        <w:numPr>
          <w:ilvl w:val="1"/>
          <w:numId w:val="51"/>
        </w:numPr>
        <w:jc w:val="left"/>
        <w:rPr>
          <w:rFonts w:ascii="Arial" w:hAnsi="Arial" w:cs="Arial"/>
        </w:rPr>
      </w:pPr>
      <w:r>
        <w:rPr>
          <w:rFonts w:ascii="Arial" w:hAnsi="Arial" w:cs="Arial"/>
        </w:rPr>
        <w:t xml:space="preserve">Unified &amp; unique offer: </w:t>
      </w:r>
      <w:r w:rsidR="006A63A4">
        <w:rPr>
          <w:rFonts w:ascii="Arial" w:hAnsi="Arial" w:cs="Arial"/>
        </w:rPr>
        <w:t xml:space="preserve">unified </w:t>
      </w:r>
      <w:r w:rsidR="004E58FA">
        <w:rPr>
          <w:rFonts w:ascii="Arial" w:hAnsi="Arial" w:cs="Arial"/>
        </w:rPr>
        <w:t xml:space="preserve">23% </w:t>
      </w:r>
      <w:r w:rsidR="002E0500">
        <w:rPr>
          <w:rFonts w:ascii="Arial" w:hAnsi="Arial" w:cs="Arial"/>
        </w:rPr>
        <w:t>of product (</w:t>
      </w:r>
      <w:r w:rsidR="004E58FA">
        <w:rPr>
          <w:rFonts w:ascii="Arial" w:hAnsi="Arial" w:cs="Arial"/>
        </w:rPr>
        <w:t>cost of goods sold</w:t>
      </w:r>
      <w:r w:rsidR="002E0500">
        <w:rPr>
          <w:rFonts w:ascii="Arial" w:hAnsi="Arial" w:cs="Arial"/>
        </w:rPr>
        <w:t>)</w:t>
      </w:r>
      <w:r w:rsidR="002374D7">
        <w:rPr>
          <w:rFonts w:ascii="Arial" w:hAnsi="Arial" w:cs="Arial"/>
        </w:rPr>
        <w:t>.</w:t>
      </w:r>
      <w:r w:rsidR="004E58FA">
        <w:rPr>
          <w:rFonts w:ascii="Arial" w:hAnsi="Arial" w:cs="Arial"/>
        </w:rPr>
        <w:t xml:space="preserve"> </w:t>
      </w:r>
      <w:r w:rsidR="002374D7">
        <w:rPr>
          <w:rFonts w:ascii="Arial" w:hAnsi="Arial" w:cs="Arial"/>
        </w:rPr>
        <w:t>S</w:t>
      </w:r>
      <w:r>
        <w:rPr>
          <w:rFonts w:ascii="Arial" w:hAnsi="Arial" w:cs="Arial"/>
        </w:rPr>
        <w:t xml:space="preserve">ales outperforming non-unified ranges, gross margins </w:t>
      </w:r>
      <w:r w:rsidRPr="00A96929">
        <w:rPr>
          <w:rFonts w:ascii="Arial" w:hAnsi="Arial" w:cs="Arial"/>
        </w:rPr>
        <w:t xml:space="preserve">up </w:t>
      </w:r>
      <w:r w:rsidR="00D77F5A" w:rsidRPr="00A96929">
        <w:rPr>
          <w:rFonts w:ascii="Arial" w:hAnsi="Arial" w:cs="Arial"/>
        </w:rPr>
        <w:t>1</w:t>
      </w:r>
      <w:r w:rsidR="00D77F5A">
        <w:rPr>
          <w:rFonts w:ascii="Arial" w:hAnsi="Arial" w:cs="Arial"/>
        </w:rPr>
        <w:t>8</w:t>
      </w:r>
      <w:r w:rsidR="00D77F5A" w:rsidRPr="00A96929">
        <w:rPr>
          <w:rFonts w:ascii="Arial" w:hAnsi="Arial" w:cs="Arial"/>
        </w:rPr>
        <w:t>0</w:t>
      </w:r>
      <w:r w:rsidRPr="00A96929">
        <w:rPr>
          <w:rFonts w:ascii="Arial" w:hAnsi="Arial" w:cs="Arial"/>
        </w:rPr>
        <w:t xml:space="preserve"> basis points</w:t>
      </w:r>
      <w:r>
        <w:rPr>
          <w:rFonts w:ascii="Arial" w:hAnsi="Arial" w:cs="Arial"/>
        </w:rPr>
        <w:t xml:space="preserve"> (pre-clearance)</w:t>
      </w:r>
    </w:p>
    <w:p w14:paraId="7A094137" w14:textId="65A7AE9C" w:rsidR="009B0573" w:rsidRDefault="009B0573" w:rsidP="009B0573">
      <w:pPr>
        <w:pStyle w:val="ListParagraph"/>
        <w:numPr>
          <w:ilvl w:val="1"/>
          <w:numId w:val="51"/>
        </w:numPr>
        <w:jc w:val="left"/>
        <w:rPr>
          <w:rFonts w:ascii="Arial" w:hAnsi="Arial" w:cs="Arial"/>
        </w:rPr>
      </w:pPr>
      <w:bookmarkStart w:id="2" w:name="_Hlk509246467"/>
      <w:r>
        <w:rPr>
          <w:rFonts w:ascii="Arial" w:hAnsi="Arial" w:cs="Arial"/>
        </w:rPr>
        <w:t xml:space="preserve">Digital: now over 50% </w:t>
      </w:r>
      <w:r w:rsidR="002374D7">
        <w:rPr>
          <w:rFonts w:ascii="Arial" w:hAnsi="Arial" w:cs="Arial"/>
        </w:rPr>
        <w:t xml:space="preserve">of </w:t>
      </w:r>
      <w:r>
        <w:rPr>
          <w:rFonts w:ascii="Arial" w:hAnsi="Arial" w:cs="Arial"/>
        </w:rPr>
        <w:t xml:space="preserve">Group sales operating on new unified IT platform, </w:t>
      </w:r>
      <w:bookmarkEnd w:id="2"/>
      <w:r>
        <w:rPr>
          <w:rFonts w:ascii="Arial" w:hAnsi="Arial" w:cs="Arial"/>
        </w:rPr>
        <w:t xml:space="preserve">Group </w:t>
      </w:r>
      <w:r w:rsidR="00285BAC">
        <w:rPr>
          <w:rFonts w:ascii="Arial" w:hAnsi="Arial" w:cs="Arial"/>
        </w:rPr>
        <w:t>digital</w:t>
      </w:r>
      <w:r>
        <w:rPr>
          <w:rFonts w:ascii="Arial" w:hAnsi="Arial" w:cs="Arial"/>
        </w:rPr>
        <w:t xml:space="preserve"> sales</w:t>
      </w:r>
      <w:r w:rsidR="00285BAC">
        <w:rPr>
          <w:rFonts w:ascii="Arial" w:hAnsi="Arial" w:cs="Arial"/>
        </w:rPr>
        <w:t>*</w:t>
      </w:r>
      <w:r>
        <w:rPr>
          <w:rFonts w:ascii="Arial" w:hAnsi="Arial" w:cs="Arial"/>
        </w:rPr>
        <w:t xml:space="preserve"> now at 6% (4% last year)</w:t>
      </w:r>
    </w:p>
    <w:p w14:paraId="5017CE38" w14:textId="764AB43B" w:rsidR="009B0573" w:rsidRDefault="009B0573" w:rsidP="009B0573">
      <w:pPr>
        <w:pStyle w:val="ListParagraph"/>
        <w:numPr>
          <w:ilvl w:val="1"/>
          <w:numId w:val="51"/>
        </w:numPr>
        <w:jc w:val="left"/>
        <w:rPr>
          <w:rFonts w:ascii="Arial" w:hAnsi="Arial" w:cs="Arial"/>
        </w:rPr>
      </w:pPr>
      <w:r>
        <w:rPr>
          <w:rFonts w:ascii="Arial" w:hAnsi="Arial" w:cs="Arial"/>
        </w:rPr>
        <w:t>Operational efficiency: delivered £2</w:t>
      </w:r>
      <w:r w:rsidR="004E58FA">
        <w:rPr>
          <w:rFonts w:ascii="Arial" w:hAnsi="Arial" w:cs="Arial"/>
        </w:rPr>
        <w:t>8</w:t>
      </w:r>
      <w:r>
        <w:rPr>
          <w:rFonts w:ascii="Arial" w:hAnsi="Arial" w:cs="Arial"/>
        </w:rPr>
        <w:t xml:space="preserve">m </w:t>
      </w:r>
      <w:r w:rsidR="002374D7">
        <w:rPr>
          <w:rFonts w:ascii="Arial" w:hAnsi="Arial" w:cs="Arial"/>
        </w:rPr>
        <w:t xml:space="preserve">of benefits from </w:t>
      </w:r>
      <w:r w:rsidR="004E58FA">
        <w:rPr>
          <w:rFonts w:ascii="Arial" w:hAnsi="Arial" w:cs="Arial"/>
          <w:bCs/>
        </w:rPr>
        <w:t>Goods Not for Resale* (</w:t>
      </w:r>
      <w:r>
        <w:rPr>
          <w:rFonts w:ascii="Arial" w:hAnsi="Arial" w:cs="Arial"/>
        </w:rPr>
        <w:t>GNFR</w:t>
      </w:r>
      <w:r w:rsidR="004E58FA">
        <w:rPr>
          <w:rFonts w:ascii="Arial" w:hAnsi="Arial" w:cs="Arial"/>
        </w:rPr>
        <w:t>)</w:t>
      </w:r>
      <w:r>
        <w:rPr>
          <w:rFonts w:ascii="Arial" w:hAnsi="Arial" w:cs="Arial"/>
        </w:rPr>
        <w:t xml:space="preserve"> </w:t>
      </w:r>
      <w:r w:rsidR="002374D7">
        <w:rPr>
          <w:rFonts w:ascii="Arial" w:hAnsi="Arial" w:cs="Arial"/>
        </w:rPr>
        <w:t xml:space="preserve">programme </w:t>
      </w:r>
      <w:r>
        <w:rPr>
          <w:rFonts w:ascii="Arial" w:hAnsi="Arial" w:cs="Arial"/>
        </w:rPr>
        <w:t>(£5</w:t>
      </w:r>
      <w:r w:rsidR="004E58FA">
        <w:rPr>
          <w:rFonts w:ascii="Arial" w:hAnsi="Arial" w:cs="Arial"/>
        </w:rPr>
        <w:t>8</w:t>
      </w:r>
      <w:r>
        <w:rPr>
          <w:rFonts w:ascii="Arial" w:hAnsi="Arial" w:cs="Arial"/>
        </w:rPr>
        <w:t xml:space="preserve">m to date), further efficiencies starting to be unlocked </w:t>
      </w:r>
    </w:p>
    <w:p w14:paraId="29FA87EB" w14:textId="6901BF56" w:rsidR="007739DD" w:rsidRDefault="007739DD" w:rsidP="00522D61">
      <w:pPr>
        <w:pStyle w:val="ListParagraph"/>
        <w:numPr>
          <w:ilvl w:val="0"/>
          <w:numId w:val="51"/>
        </w:numPr>
        <w:jc w:val="left"/>
        <w:rPr>
          <w:rFonts w:ascii="Arial" w:hAnsi="Arial" w:cs="Arial"/>
          <w:bCs/>
        </w:rPr>
      </w:pPr>
      <w:r>
        <w:rPr>
          <w:rFonts w:ascii="Arial" w:hAnsi="Arial" w:cs="Arial"/>
          <w:bCs/>
        </w:rPr>
        <w:t>FY group results reflect</w:t>
      </w:r>
    </w:p>
    <w:p w14:paraId="320B38F8" w14:textId="01AAD0C4" w:rsidR="008F033C" w:rsidRDefault="008F033C" w:rsidP="008F033C">
      <w:pPr>
        <w:pStyle w:val="ListParagraph"/>
        <w:numPr>
          <w:ilvl w:val="1"/>
          <w:numId w:val="51"/>
        </w:numPr>
        <w:jc w:val="left"/>
        <w:rPr>
          <w:rFonts w:ascii="Arial" w:hAnsi="Arial" w:cs="Arial"/>
          <w:bCs/>
        </w:rPr>
      </w:pPr>
      <w:r>
        <w:rPr>
          <w:rFonts w:ascii="Arial" w:hAnsi="Arial" w:cs="Arial"/>
          <w:bCs/>
        </w:rPr>
        <w:t xml:space="preserve">continued </w:t>
      </w:r>
      <w:r w:rsidR="004E58FA">
        <w:rPr>
          <w:rFonts w:ascii="Arial" w:hAnsi="Arial" w:cs="Arial"/>
          <w:bCs/>
        </w:rPr>
        <w:t xml:space="preserve">good </w:t>
      </w:r>
      <w:r>
        <w:rPr>
          <w:rFonts w:ascii="Arial" w:hAnsi="Arial" w:cs="Arial"/>
          <w:bCs/>
        </w:rPr>
        <w:t>growth at Screwfix and Poland, and se</w:t>
      </w:r>
      <w:r w:rsidR="000F68C6">
        <w:rPr>
          <w:rFonts w:ascii="Arial" w:hAnsi="Arial" w:cs="Arial"/>
          <w:bCs/>
        </w:rPr>
        <w:t xml:space="preserve">lf-help initiatives, including </w:t>
      </w:r>
      <w:r>
        <w:rPr>
          <w:rFonts w:ascii="Arial" w:hAnsi="Arial" w:cs="Arial"/>
          <w:bCs/>
        </w:rPr>
        <w:t>GNFR benefits, offset by</w:t>
      </w:r>
      <w:r w:rsidR="004E58FA">
        <w:rPr>
          <w:rFonts w:ascii="Arial" w:hAnsi="Arial" w:cs="Arial"/>
          <w:bCs/>
        </w:rPr>
        <w:t>:</w:t>
      </w:r>
    </w:p>
    <w:p w14:paraId="0316373D" w14:textId="3EE2C9BC" w:rsidR="007739DD" w:rsidRDefault="00E177AB" w:rsidP="00522D61">
      <w:pPr>
        <w:pStyle w:val="ListParagraph"/>
        <w:numPr>
          <w:ilvl w:val="1"/>
          <w:numId w:val="51"/>
        </w:numPr>
        <w:jc w:val="left"/>
        <w:rPr>
          <w:rFonts w:ascii="Arial" w:hAnsi="Arial" w:cs="Arial"/>
          <w:bCs/>
        </w:rPr>
      </w:pPr>
      <w:r>
        <w:rPr>
          <w:rFonts w:ascii="Arial" w:hAnsi="Arial" w:cs="Arial"/>
          <w:bCs/>
        </w:rPr>
        <w:t>c</w:t>
      </w:r>
      <w:r w:rsidR="007739DD">
        <w:rPr>
          <w:rFonts w:ascii="Arial" w:hAnsi="Arial" w:cs="Arial"/>
          <w:bCs/>
        </w:rPr>
        <w:t>.</w:t>
      </w:r>
      <w:r w:rsidR="00990F9A">
        <w:rPr>
          <w:rFonts w:ascii="Arial" w:hAnsi="Arial" w:cs="Arial"/>
          <w:bCs/>
        </w:rPr>
        <w:t>1</w:t>
      </w:r>
      <w:r w:rsidR="000C40FC">
        <w:rPr>
          <w:rFonts w:ascii="Arial" w:hAnsi="Arial" w:cs="Arial"/>
          <w:bCs/>
        </w:rPr>
        <w:t>.5</w:t>
      </w:r>
      <w:r w:rsidR="007739DD">
        <w:rPr>
          <w:rFonts w:ascii="Arial" w:hAnsi="Arial" w:cs="Arial"/>
          <w:bCs/>
        </w:rPr>
        <w:t>% LFL impa</w:t>
      </w:r>
      <w:r>
        <w:rPr>
          <w:rFonts w:ascii="Arial" w:hAnsi="Arial" w:cs="Arial"/>
          <w:bCs/>
        </w:rPr>
        <w:t xml:space="preserve">ct from business disruption, </w:t>
      </w:r>
      <w:r w:rsidR="007739DD">
        <w:rPr>
          <w:rFonts w:ascii="Arial" w:hAnsi="Arial" w:cs="Arial"/>
          <w:bCs/>
        </w:rPr>
        <w:t xml:space="preserve">continued </w:t>
      </w:r>
      <w:r w:rsidR="007739DD" w:rsidRPr="00FE7892">
        <w:rPr>
          <w:rFonts w:ascii="Arial" w:hAnsi="Arial" w:cs="Arial"/>
          <w:bCs/>
        </w:rPr>
        <w:t>w</w:t>
      </w:r>
      <w:r w:rsidRPr="00FE7892">
        <w:rPr>
          <w:rFonts w:ascii="Arial" w:hAnsi="Arial" w:cs="Arial"/>
          <w:bCs/>
        </w:rPr>
        <w:t>eaker</w:t>
      </w:r>
      <w:r w:rsidR="002224AB" w:rsidRPr="00FE7892">
        <w:rPr>
          <w:rFonts w:ascii="Arial" w:hAnsi="Arial" w:cs="Arial"/>
          <w:bCs/>
        </w:rPr>
        <w:t xml:space="preserve"> and volatile</w:t>
      </w:r>
      <w:r w:rsidRPr="00FE7892">
        <w:rPr>
          <w:rFonts w:ascii="Arial" w:hAnsi="Arial" w:cs="Arial"/>
          <w:bCs/>
        </w:rPr>
        <w:t xml:space="preserve"> sales in</w:t>
      </w:r>
      <w:r>
        <w:rPr>
          <w:rFonts w:ascii="Arial" w:hAnsi="Arial" w:cs="Arial"/>
          <w:bCs/>
        </w:rPr>
        <w:t xml:space="preserve"> France and softer Q4 sales in the UK </w:t>
      </w:r>
      <w:r w:rsidR="00061A66">
        <w:rPr>
          <w:rFonts w:ascii="Arial" w:hAnsi="Arial" w:cs="Arial"/>
          <w:bCs/>
        </w:rPr>
        <w:t>reflecting</w:t>
      </w:r>
      <w:r>
        <w:rPr>
          <w:rFonts w:ascii="Arial" w:hAnsi="Arial" w:cs="Arial"/>
          <w:bCs/>
        </w:rPr>
        <w:t xml:space="preserve"> weaker demand for big ticket items</w:t>
      </w:r>
    </w:p>
    <w:bookmarkEnd w:id="1"/>
    <w:p w14:paraId="68F2841D" w14:textId="6CE2735B" w:rsidR="00FE7892" w:rsidRPr="00D86BB6" w:rsidRDefault="00FE7892">
      <w:pPr>
        <w:pStyle w:val="ListParagraph"/>
        <w:numPr>
          <w:ilvl w:val="0"/>
          <w:numId w:val="51"/>
        </w:numPr>
        <w:jc w:val="left"/>
        <w:rPr>
          <w:rFonts w:ascii="Arial" w:hAnsi="Arial" w:cs="Arial"/>
          <w:bCs/>
        </w:rPr>
      </w:pPr>
      <w:r w:rsidRPr="00522D61">
        <w:rPr>
          <w:rFonts w:ascii="Arial" w:hAnsi="Arial" w:cs="Arial"/>
          <w:bCs/>
        </w:rPr>
        <w:t xml:space="preserve">Delivered </w:t>
      </w:r>
      <w:r>
        <w:rPr>
          <w:rFonts w:ascii="Arial" w:hAnsi="Arial" w:cs="Arial"/>
          <w:bCs/>
        </w:rPr>
        <w:t>step up in level of transformation activity</w:t>
      </w:r>
    </w:p>
    <w:p w14:paraId="38C4ED29" w14:textId="3654A95F" w:rsidR="007739DD" w:rsidRDefault="007739DD" w:rsidP="00522D61">
      <w:pPr>
        <w:pStyle w:val="ListParagraph"/>
        <w:numPr>
          <w:ilvl w:val="0"/>
          <w:numId w:val="51"/>
        </w:numPr>
        <w:jc w:val="left"/>
        <w:rPr>
          <w:rFonts w:ascii="Arial" w:hAnsi="Arial" w:cs="Arial"/>
          <w:bCs/>
        </w:rPr>
      </w:pPr>
      <w:r w:rsidRPr="00522D61">
        <w:rPr>
          <w:rFonts w:ascii="Arial" w:hAnsi="Arial" w:cs="Arial"/>
          <w:bCs/>
        </w:rPr>
        <w:t xml:space="preserve">Acting on root causes of </w:t>
      </w:r>
      <w:r>
        <w:rPr>
          <w:rFonts w:ascii="Arial" w:hAnsi="Arial" w:cs="Arial"/>
          <w:bCs/>
        </w:rPr>
        <w:t xml:space="preserve">business disruption, adapting our approach as we progress </w:t>
      </w:r>
    </w:p>
    <w:p w14:paraId="5DF224EC" w14:textId="4A361E24" w:rsidR="008A45EB" w:rsidRDefault="008A45EB" w:rsidP="00522D61">
      <w:pPr>
        <w:pStyle w:val="ListParagraph"/>
        <w:numPr>
          <w:ilvl w:val="0"/>
          <w:numId w:val="51"/>
        </w:numPr>
        <w:jc w:val="left"/>
        <w:rPr>
          <w:rFonts w:ascii="Arial" w:hAnsi="Arial" w:cs="Arial"/>
          <w:bCs/>
        </w:rPr>
      </w:pPr>
      <w:r>
        <w:rPr>
          <w:rFonts w:ascii="Arial" w:hAnsi="Arial" w:cs="Arial"/>
          <w:bCs/>
        </w:rPr>
        <w:t xml:space="preserve">Balance sheet remains strong </w:t>
      </w:r>
    </w:p>
    <w:p w14:paraId="39CC0749" w14:textId="34827335" w:rsidR="00EC7E20" w:rsidRDefault="00EC7E20" w:rsidP="00522D61">
      <w:pPr>
        <w:pStyle w:val="ListParagraph"/>
        <w:numPr>
          <w:ilvl w:val="1"/>
          <w:numId w:val="51"/>
        </w:numPr>
        <w:jc w:val="left"/>
        <w:rPr>
          <w:rFonts w:ascii="Arial" w:hAnsi="Arial" w:cs="Arial"/>
          <w:bCs/>
        </w:rPr>
      </w:pPr>
      <w:r>
        <w:rPr>
          <w:rFonts w:ascii="Arial" w:hAnsi="Arial" w:cs="Arial"/>
          <w:bCs/>
        </w:rPr>
        <w:t>Returned £49</w:t>
      </w:r>
      <w:r w:rsidR="004E58FA">
        <w:rPr>
          <w:rFonts w:ascii="Arial" w:hAnsi="Arial" w:cs="Arial"/>
          <w:bCs/>
        </w:rPr>
        <w:t>1</w:t>
      </w:r>
      <w:r>
        <w:rPr>
          <w:rFonts w:ascii="Arial" w:hAnsi="Arial" w:cs="Arial"/>
          <w:bCs/>
        </w:rPr>
        <w:t xml:space="preserve">m of cash to shareholders </w:t>
      </w:r>
    </w:p>
    <w:p w14:paraId="089A0F4E" w14:textId="7D020CE3" w:rsidR="00EC7E20" w:rsidRDefault="00EC7E20" w:rsidP="00522D61">
      <w:pPr>
        <w:pStyle w:val="ListParagraph"/>
        <w:numPr>
          <w:ilvl w:val="2"/>
          <w:numId w:val="51"/>
        </w:numPr>
        <w:jc w:val="left"/>
        <w:rPr>
          <w:rFonts w:ascii="Arial" w:hAnsi="Arial" w:cs="Arial"/>
          <w:bCs/>
        </w:rPr>
      </w:pPr>
      <w:r>
        <w:rPr>
          <w:rFonts w:ascii="Arial" w:hAnsi="Arial" w:cs="Arial"/>
          <w:bCs/>
        </w:rPr>
        <w:t>£23</w:t>
      </w:r>
      <w:r w:rsidR="00241E2E">
        <w:rPr>
          <w:rFonts w:ascii="Arial" w:hAnsi="Arial" w:cs="Arial"/>
          <w:bCs/>
        </w:rPr>
        <w:t>1</w:t>
      </w:r>
      <w:r>
        <w:rPr>
          <w:rFonts w:ascii="Arial" w:hAnsi="Arial" w:cs="Arial"/>
          <w:bCs/>
        </w:rPr>
        <w:t>m via ordinary dividend; £260m via share buyback</w:t>
      </w:r>
    </w:p>
    <w:p w14:paraId="3E46B876" w14:textId="5459A295" w:rsidR="008A45EB" w:rsidRDefault="008A45EB" w:rsidP="00522D61">
      <w:pPr>
        <w:pStyle w:val="ListParagraph"/>
        <w:numPr>
          <w:ilvl w:val="1"/>
          <w:numId w:val="51"/>
        </w:numPr>
        <w:jc w:val="left"/>
        <w:rPr>
          <w:rFonts w:ascii="Arial" w:hAnsi="Arial" w:cs="Arial"/>
          <w:bCs/>
        </w:rPr>
      </w:pPr>
      <w:r>
        <w:rPr>
          <w:rFonts w:ascii="Arial" w:hAnsi="Arial" w:cs="Arial"/>
          <w:bCs/>
        </w:rPr>
        <w:t>Lo</w:t>
      </w:r>
      <w:r w:rsidR="00E177AB">
        <w:rPr>
          <w:rFonts w:ascii="Arial" w:hAnsi="Arial" w:cs="Arial"/>
          <w:bCs/>
        </w:rPr>
        <w:t>wer net cash</w:t>
      </w:r>
      <w:r w:rsidR="00522D61">
        <w:rPr>
          <w:rFonts w:ascii="Arial" w:hAnsi="Arial" w:cs="Arial"/>
          <w:bCs/>
        </w:rPr>
        <w:t xml:space="preserve"> reflects </w:t>
      </w:r>
      <w:r>
        <w:rPr>
          <w:rFonts w:ascii="Arial" w:hAnsi="Arial" w:cs="Arial"/>
          <w:bCs/>
        </w:rPr>
        <w:t xml:space="preserve">higher levels of </w:t>
      </w:r>
      <w:r w:rsidR="00FA4CBF">
        <w:rPr>
          <w:rFonts w:ascii="Arial" w:hAnsi="Arial" w:cs="Arial"/>
          <w:bCs/>
        </w:rPr>
        <w:t xml:space="preserve">stock </w:t>
      </w:r>
      <w:r w:rsidR="00882297">
        <w:rPr>
          <w:rFonts w:ascii="Arial" w:hAnsi="Arial" w:cs="Arial"/>
          <w:bCs/>
        </w:rPr>
        <w:t xml:space="preserve">driven </w:t>
      </w:r>
      <w:r w:rsidR="00330B19">
        <w:rPr>
          <w:rFonts w:ascii="Arial" w:hAnsi="Arial" w:cs="Arial"/>
          <w:bCs/>
        </w:rPr>
        <w:t xml:space="preserve">by </w:t>
      </w:r>
      <w:r w:rsidR="00FA4CBF">
        <w:rPr>
          <w:rFonts w:ascii="Arial" w:hAnsi="Arial" w:cs="Arial"/>
          <w:bCs/>
        </w:rPr>
        <w:t>changes to our operating model</w:t>
      </w:r>
      <w:r w:rsidR="00522D61">
        <w:rPr>
          <w:rFonts w:ascii="Arial" w:hAnsi="Arial" w:cs="Arial"/>
          <w:bCs/>
        </w:rPr>
        <w:t xml:space="preserve"> </w:t>
      </w:r>
      <w:r w:rsidR="00882297">
        <w:rPr>
          <w:rFonts w:ascii="Arial" w:hAnsi="Arial" w:cs="Arial"/>
          <w:bCs/>
        </w:rPr>
        <w:t>and to improve product availability</w:t>
      </w:r>
    </w:p>
    <w:p w14:paraId="355DADD2" w14:textId="771EAF96" w:rsidR="00A22442" w:rsidRPr="0018703F" w:rsidRDefault="00BA22AF" w:rsidP="00522D61">
      <w:pPr>
        <w:rPr>
          <w:bCs/>
          <w:sz w:val="24"/>
          <w:szCs w:val="24"/>
          <w:highlight w:val="yellow"/>
        </w:rPr>
      </w:pPr>
      <w:r w:rsidRPr="0062003B">
        <w:t xml:space="preserve"> </w:t>
      </w:r>
    </w:p>
    <w:p w14:paraId="65E22E20" w14:textId="312CFB6F" w:rsidR="00A22442" w:rsidRPr="00342365" w:rsidRDefault="0042729E" w:rsidP="00F9080F">
      <w:pPr>
        <w:jc w:val="left"/>
        <w:rPr>
          <w:rFonts w:ascii="Arial" w:hAnsi="Arial" w:cs="Arial"/>
          <w:b/>
          <w:u w:val="single"/>
        </w:rPr>
      </w:pPr>
      <w:r w:rsidRPr="00342365">
        <w:rPr>
          <w:rFonts w:ascii="Arial" w:hAnsi="Arial" w:cs="Arial"/>
          <w:b/>
          <w:u w:val="single"/>
        </w:rPr>
        <w:t>FY</w:t>
      </w:r>
      <w:r w:rsidR="001D6C65">
        <w:rPr>
          <w:rFonts w:ascii="Arial" w:hAnsi="Arial" w:cs="Arial"/>
          <w:b/>
          <w:u w:val="single"/>
        </w:rPr>
        <w:t xml:space="preserve"> </w:t>
      </w:r>
      <w:r w:rsidRPr="00342365">
        <w:rPr>
          <w:rFonts w:ascii="Arial" w:hAnsi="Arial" w:cs="Arial"/>
          <w:b/>
          <w:u w:val="single"/>
        </w:rPr>
        <w:t>18/19</w:t>
      </w:r>
      <w:r w:rsidR="00A22442" w:rsidRPr="00342365">
        <w:rPr>
          <w:rFonts w:ascii="Arial" w:hAnsi="Arial" w:cs="Arial"/>
          <w:b/>
          <w:u w:val="single"/>
        </w:rPr>
        <w:t xml:space="preserve"> and beyond</w:t>
      </w:r>
    </w:p>
    <w:p w14:paraId="30450AED" w14:textId="12CBD790" w:rsidR="008A45EB" w:rsidRDefault="008A45EB" w:rsidP="00522D61">
      <w:pPr>
        <w:pStyle w:val="ListParagraph"/>
        <w:numPr>
          <w:ilvl w:val="0"/>
          <w:numId w:val="49"/>
        </w:numPr>
        <w:jc w:val="left"/>
        <w:rPr>
          <w:rFonts w:ascii="Arial" w:hAnsi="Arial" w:cs="Arial"/>
          <w:bCs/>
        </w:rPr>
      </w:pPr>
      <w:r>
        <w:rPr>
          <w:rFonts w:ascii="Arial" w:hAnsi="Arial" w:cs="Arial"/>
          <w:bCs/>
        </w:rPr>
        <w:t>FY 18/19 another big year of implementation</w:t>
      </w:r>
      <w:r w:rsidR="00491EAB">
        <w:rPr>
          <w:rFonts w:ascii="Arial" w:hAnsi="Arial" w:cs="Arial"/>
          <w:bCs/>
        </w:rPr>
        <w:t xml:space="preserve">, </w:t>
      </w:r>
      <w:r w:rsidR="00676EBD">
        <w:rPr>
          <w:rFonts w:ascii="Arial" w:hAnsi="Arial" w:cs="Arial"/>
          <w:bCs/>
        </w:rPr>
        <w:t>aware of challenges ahead</w:t>
      </w:r>
    </w:p>
    <w:p w14:paraId="302DEB4B" w14:textId="4BB54408" w:rsidR="00F93859" w:rsidRDefault="00F93859" w:rsidP="00522D61">
      <w:pPr>
        <w:pStyle w:val="ListParagraph"/>
        <w:numPr>
          <w:ilvl w:val="1"/>
          <w:numId w:val="49"/>
        </w:numPr>
        <w:jc w:val="left"/>
        <w:rPr>
          <w:rFonts w:ascii="Arial" w:hAnsi="Arial" w:cs="Arial"/>
          <w:bCs/>
        </w:rPr>
      </w:pPr>
      <w:r>
        <w:rPr>
          <w:rFonts w:ascii="Arial" w:hAnsi="Arial" w:cs="Arial"/>
          <w:bCs/>
        </w:rPr>
        <w:t>U</w:t>
      </w:r>
      <w:r w:rsidR="006B4FBC">
        <w:rPr>
          <w:rFonts w:ascii="Arial" w:hAnsi="Arial" w:cs="Arial"/>
          <w:bCs/>
        </w:rPr>
        <w:t xml:space="preserve">nified </w:t>
      </w:r>
      <w:r>
        <w:rPr>
          <w:rFonts w:ascii="Arial" w:hAnsi="Arial" w:cs="Arial"/>
          <w:bCs/>
        </w:rPr>
        <w:t>&amp;</w:t>
      </w:r>
      <w:r w:rsidR="006B4FBC">
        <w:rPr>
          <w:rFonts w:ascii="Arial" w:hAnsi="Arial" w:cs="Arial"/>
          <w:bCs/>
        </w:rPr>
        <w:t xml:space="preserve"> unique offer</w:t>
      </w:r>
      <w:r>
        <w:rPr>
          <w:rFonts w:ascii="Arial" w:hAnsi="Arial" w:cs="Arial"/>
          <w:bCs/>
        </w:rPr>
        <w:t xml:space="preserve">: </w:t>
      </w:r>
      <w:r w:rsidR="006A63A4">
        <w:rPr>
          <w:rFonts w:ascii="Arial" w:hAnsi="Arial" w:cs="Arial"/>
          <w:bCs/>
        </w:rPr>
        <w:t>unify</w:t>
      </w:r>
      <w:r w:rsidR="007A2FE6">
        <w:rPr>
          <w:rFonts w:ascii="Arial" w:hAnsi="Arial" w:cs="Arial"/>
          <w:bCs/>
        </w:rPr>
        <w:t xml:space="preserve"> </w:t>
      </w:r>
      <w:r>
        <w:rPr>
          <w:rFonts w:ascii="Arial" w:hAnsi="Arial" w:cs="Arial"/>
          <w:bCs/>
        </w:rPr>
        <w:t>40%</w:t>
      </w:r>
      <w:r w:rsidR="006B4FBC">
        <w:rPr>
          <w:rFonts w:ascii="Arial" w:hAnsi="Arial" w:cs="Arial"/>
          <w:bCs/>
        </w:rPr>
        <w:t xml:space="preserve"> </w:t>
      </w:r>
      <w:r w:rsidR="002E0500">
        <w:rPr>
          <w:rFonts w:ascii="Arial" w:hAnsi="Arial" w:cs="Arial"/>
          <w:bCs/>
        </w:rPr>
        <w:t>of product (</w:t>
      </w:r>
      <w:r w:rsidR="007A2FE6">
        <w:rPr>
          <w:rFonts w:ascii="Arial" w:hAnsi="Arial" w:cs="Arial"/>
          <w:bCs/>
        </w:rPr>
        <w:t>cost of goods sold</w:t>
      </w:r>
      <w:r w:rsidR="002E0500">
        <w:rPr>
          <w:rFonts w:ascii="Arial" w:hAnsi="Arial" w:cs="Arial"/>
          <w:bCs/>
        </w:rPr>
        <w:t>)</w:t>
      </w:r>
      <w:r w:rsidR="007A2FE6">
        <w:rPr>
          <w:rFonts w:ascii="Arial" w:hAnsi="Arial" w:cs="Arial"/>
          <w:bCs/>
        </w:rPr>
        <w:t xml:space="preserve"> and de</w:t>
      </w:r>
      <w:r w:rsidR="008F033C">
        <w:rPr>
          <w:rFonts w:ascii="Arial" w:hAnsi="Arial" w:cs="Arial"/>
          <w:bCs/>
        </w:rPr>
        <w:t xml:space="preserve">liver </w:t>
      </w:r>
      <w:r w:rsidR="00693293">
        <w:rPr>
          <w:rFonts w:ascii="Arial" w:hAnsi="Arial" w:cs="Arial"/>
          <w:bCs/>
        </w:rPr>
        <w:t>sales growth;</w:t>
      </w:r>
      <w:r w:rsidR="006B4FBC">
        <w:rPr>
          <w:rFonts w:ascii="Arial" w:hAnsi="Arial" w:cs="Arial"/>
          <w:bCs/>
        </w:rPr>
        <w:t xml:space="preserve"> </w:t>
      </w:r>
      <w:r w:rsidR="006A63A4">
        <w:rPr>
          <w:rFonts w:ascii="Arial" w:hAnsi="Arial" w:cs="Arial"/>
          <w:bCs/>
        </w:rPr>
        <w:t>G</w:t>
      </w:r>
      <w:r w:rsidR="006B4FBC">
        <w:rPr>
          <w:rFonts w:ascii="Arial" w:hAnsi="Arial" w:cs="Arial"/>
          <w:bCs/>
        </w:rPr>
        <w:t>roup gross margin to grow</w:t>
      </w:r>
      <w:r w:rsidR="00550AFD">
        <w:rPr>
          <w:rFonts w:ascii="Arial" w:hAnsi="Arial" w:cs="Arial"/>
          <w:bCs/>
        </w:rPr>
        <w:t xml:space="preserve"> </w:t>
      </w:r>
      <w:r w:rsidR="00FE7892">
        <w:rPr>
          <w:rFonts w:ascii="Arial" w:hAnsi="Arial" w:cs="Arial"/>
          <w:bCs/>
        </w:rPr>
        <w:t>(</w:t>
      </w:r>
      <w:r w:rsidR="003E5F5A">
        <w:rPr>
          <w:rFonts w:ascii="Arial" w:hAnsi="Arial" w:cs="Arial"/>
          <w:bCs/>
        </w:rPr>
        <w:t>post clearance)</w:t>
      </w:r>
    </w:p>
    <w:p w14:paraId="2E28D28C" w14:textId="7F0281F1" w:rsidR="00F93859" w:rsidRDefault="00F93859" w:rsidP="00522D61">
      <w:pPr>
        <w:pStyle w:val="ListParagraph"/>
        <w:numPr>
          <w:ilvl w:val="1"/>
          <w:numId w:val="49"/>
        </w:numPr>
        <w:jc w:val="left"/>
        <w:rPr>
          <w:rFonts w:ascii="Arial" w:hAnsi="Arial" w:cs="Arial"/>
          <w:bCs/>
        </w:rPr>
      </w:pPr>
      <w:bookmarkStart w:id="3" w:name="_Hlk509221843"/>
      <w:r>
        <w:rPr>
          <w:rFonts w:ascii="Arial" w:hAnsi="Arial" w:cs="Arial"/>
          <w:bCs/>
        </w:rPr>
        <w:t>Digital:</w:t>
      </w:r>
      <w:r w:rsidR="00693293">
        <w:rPr>
          <w:rFonts w:ascii="Arial" w:hAnsi="Arial" w:cs="Arial"/>
          <w:bCs/>
        </w:rPr>
        <w:t xml:space="preserve"> complete </w:t>
      </w:r>
      <w:r w:rsidR="000F68C6">
        <w:rPr>
          <w:rFonts w:ascii="Arial" w:hAnsi="Arial" w:cs="Arial"/>
          <w:bCs/>
        </w:rPr>
        <w:t xml:space="preserve">final year of </w:t>
      </w:r>
      <w:r w:rsidR="00693293">
        <w:rPr>
          <w:rFonts w:ascii="Arial" w:hAnsi="Arial" w:cs="Arial"/>
          <w:bCs/>
        </w:rPr>
        <w:t xml:space="preserve">unified IT </w:t>
      </w:r>
      <w:r w:rsidR="00550AFD">
        <w:rPr>
          <w:rFonts w:ascii="Arial" w:hAnsi="Arial" w:cs="Arial"/>
          <w:bCs/>
        </w:rPr>
        <w:t xml:space="preserve">roll out </w:t>
      </w:r>
    </w:p>
    <w:bookmarkEnd w:id="3"/>
    <w:p w14:paraId="50F55B9A" w14:textId="1155C7E5" w:rsidR="00F93859" w:rsidRDefault="00550AFD" w:rsidP="00522D61">
      <w:pPr>
        <w:pStyle w:val="ListParagraph"/>
        <w:numPr>
          <w:ilvl w:val="1"/>
          <w:numId w:val="49"/>
        </w:numPr>
        <w:jc w:val="left"/>
        <w:rPr>
          <w:rFonts w:ascii="Arial" w:hAnsi="Arial" w:cs="Arial"/>
          <w:bCs/>
        </w:rPr>
      </w:pPr>
      <w:r>
        <w:rPr>
          <w:rFonts w:ascii="Arial" w:hAnsi="Arial" w:cs="Arial"/>
          <w:bCs/>
        </w:rPr>
        <w:t xml:space="preserve">Operational efficiency: </w:t>
      </w:r>
      <w:r w:rsidR="00693293">
        <w:rPr>
          <w:rFonts w:ascii="Arial" w:hAnsi="Arial" w:cs="Arial"/>
          <w:bCs/>
        </w:rPr>
        <w:t>deliver £</w:t>
      </w:r>
      <w:r w:rsidR="002701D1">
        <w:rPr>
          <w:rFonts w:ascii="Arial" w:hAnsi="Arial" w:cs="Arial"/>
          <w:bCs/>
        </w:rPr>
        <w:t>3</w:t>
      </w:r>
      <w:r w:rsidR="00693293">
        <w:rPr>
          <w:rFonts w:ascii="Arial" w:hAnsi="Arial" w:cs="Arial"/>
          <w:bCs/>
        </w:rPr>
        <w:t>0m</w:t>
      </w:r>
      <w:r w:rsidR="002374D7">
        <w:rPr>
          <w:rFonts w:ascii="Arial" w:hAnsi="Arial" w:cs="Arial"/>
          <w:bCs/>
        </w:rPr>
        <w:t xml:space="preserve"> of benefits</w:t>
      </w:r>
      <w:r w:rsidR="009B0573">
        <w:rPr>
          <w:rFonts w:ascii="Arial" w:hAnsi="Arial" w:cs="Arial"/>
          <w:bCs/>
        </w:rPr>
        <w:t xml:space="preserve"> </w:t>
      </w:r>
      <w:r w:rsidR="0038109A">
        <w:rPr>
          <w:rFonts w:ascii="Arial" w:hAnsi="Arial" w:cs="Arial"/>
          <w:bCs/>
        </w:rPr>
        <w:t>(GNFR an</w:t>
      </w:r>
      <w:r w:rsidR="000669CD">
        <w:rPr>
          <w:rFonts w:ascii="Arial" w:hAnsi="Arial" w:cs="Arial"/>
          <w:bCs/>
        </w:rPr>
        <w:t>d other efficiencies)</w:t>
      </w:r>
    </w:p>
    <w:p w14:paraId="30585A49" w14:textId="27332973" w:rsidR="00EC7E20" w:rsidRPr="009366ED" w:rsidRDefault="008A45EB" w:rsidP="00522D61">
      <w:pPr>
        <w:pStyle w:val="ListParagraph"/>
        <w:numPr>
          <w:ilvl w:val="0"/>
          <w:numId w:val="49"/>
        </w:numPr>
        <w:jc w:val="left"/>
        <w:rPr>
          <w:rFonts w:ascii="Arial" w:hAnsi="Arial" w:cs="Arial"/>
          <w:bCs/>
        </w:rPr>
      </w:pPr>
      <w:r w:rsidRPr="0029201B">
        <w:rPr>
          <w:rFonts w:ascii="Arial" w:hAnsi="Arial" w:cs="Arial"/>
          <w:bCs/>
        </w:rPr>
        <w:t>R</w:t>
      </w:r>
      <w:r w:rsidR="00EC7E20" w:rsidRPr="0029201B">
        <w:rPr>
          <w:rFonts w:ascii="Arial" w:hAnsi="Arial" w:cs="Arial"/>
          <w:bCs/>
        </w:rPr>
        <w:t xml:space="preserve">emain confident in ability to deliver </w:t>
      </w:r>
      <w:r w:rsidRPr="0029201B">
        <w:rPr>
          <w:rFonts w:ascii="Arial" w:hAnsi="Arial" w:cs="Arial"/>
          <w:bCs/>
        </w:rPr>
        <w:t xml:space="preserve">FY 20/21 </w:t>
      </w:r>
      <w:r w:rsidR="007D5BCA">
        <w:rPr>
          <w:rFonts w:ascii="Arial" w:hAnsi="Arial" w:cs="Arial"/>
          <w:bCs/>
        </w:rPr>
        <w:t>transformation plan benefits</w:t>
      </w:r>
    </w:p>
    <w:p w14:paraId="21A8A418" w14:textId="77777777" w:rsidR="000F6423" w:rsidRDefault="000F6423" w:rsidP="00440B16">
      <w:pPr>
        <w:rPr>
          <w:rFonts w:ascii="Arial" w:hAnsi="Arial" w:cs="Arial"/>
        </w:rPr>
      </w:pPr>
    </w:p>
    <w:tbl>
      <w:tblPr>
        <w:tblStyle w:val="TableGrid"/>
        <w:tblW w:w="0" w:type="auto"/>
        <w:tblLook w:val="04A0" w:firstRow="1" w:lastRow="0" w:firstColumn="1" w:lastColumn="0" w:noHBand="0" w:noVBand="1"/>
      </w:tblPr>
      <w:tblGrid>
        <w:gridCol w:w="9631"/>
      </w:tblGrid>
      <w:tr w:rsidR="000F6423" w14:paraId="0FAFF7B6" w14:textId="77777777" w:rsidTr="00522D61">
        <w:trPr>
          <w:trHeight w:val="416"/>
        </w:trPr>
        <w:tc>
          <w:tcPr>
            <w:tcW w:w="9631" w:type="dxa"/>
          </w:tcPr>
          <w:tbl>
            <w:tblPr>
              <w:tblStyle w:val="TableGrid"/>
              <w:tblW w:w="9416" w:type="dxa"/>
              <w:tblLook w:val="04A0" w:firstRow="1" w:lastRow="0" w:firstColumn="1" w:lastColumn="0" w:noHBand="0" w:noVBand="1"/>
            </w:tblPr>
            <w:tblGrid>
              <w:gridCol w:w="2586"/>
              <w:gridCol w:w="670"/>
              <w:gridCol w:w="236"/>
              <w:gridCol w:w="2496"/>
              <w:gridCol w:w="1134"/>
              <w:gridCol w:w="1456"/>
              <w:gridCol w:w="244"/>
              <w:gridCol w:w="594"/>
            </w:tblGrid>
            <w:tr w:rsidR="00E63162" w:rsidRPr="00E44B62" w14:paraId="4957D7D4" w14:textId="77777777" w:rsidTr="00522D61">
              <w:trPr>
                <w:trHeight w:val="611"/>
              </w:trPr>
              <w:tc>
                <w:tcPr>
                  <w:tcW w:w="3256" w:type="dxa"/>
                  <w:gridSpan w:val="2"/>
                  <w:tcBorders>
                    <w:top w:val="nil"/>
                    <w:left w:val="nil"/>
                    <w:bottom w:val="single" w:sz="4" w:space="0" w:color="auto"/>
                    <w:right w:val="nil"/>
                  </w:tcBorders>
                </w:tcPr>
                <w:p w14:paraId="5DABEECE" w14:textId="77777777" w:rsidR="007164D5" w:rsidRPr="00522D61" w:rsidRDefault="007164D5" w:rsidP="00A845B7">
                  <w:pPr>
                    <w:rPr>
                      <w:rFonts w:ascii="Arial" w:hAnsi="Arial" w:cs="Arial"/>
                      <w:b/>
                      <w:bCs/>
                      <w:sz w:val="12"/>
                      <w:szCs w:val="12"/>
                    </w:rPr>
                  </w:pPr>
                </w:p>
                <w:p w14:paraId="27F5369F" w14:textId="12835442" w:rsidR="007164D5" w:rsidRPr="001C66BB" w:rsidRDefault="004E4CC8" w:rsidP="00A845B7">
                  <w:pPr>
                    <w:rPr>
                      <w:sz w:val="22"/>
                      <w:szCs w:val="22"/>
                    </w:rPr>
                  </w:pPr>
                  <w:r>
                    <w:rPr>
                      <w:rFonts w:ascii="Arial" w:hAnsi="Arial" w:cs="Arial"/>
                      <w:b/>
                      <w:bCs/>
                    </w:rPr>
                    <w:t>Additional s</w:t>
                  </w:r>
                  <w:r w:rsidR="007164D5" w:rsidRPr="001C66BB">
                    <w:rPr>
                      <w:rFonts w:ascii="Arial" w:hAnsi="Arial" w:cs="Arial"/>
                      <w:b/>
                      <w:bCs/>
                    </w:rPr>
                    <w:t>tatutory reporti</w:t>
                  </w:r>
                  <w:r w:rsidR="001C66BB">
                    <w:rPr>
                      <w:rFonts w:ascii="Arial" w:hAnsi="Arial" w:cs="Arial"/>
                      <w:b/>
                      <w:bCs/>
                      <w:sz w:val="22"/>
                      <w:szCs w:val="22"/>
                    </w:rPr>
                    <w:t>n</w:t>
                  </w:r>
                  <w:r w:rsidR="007164D5" w:rsidRPr="001C66BB">
                    <w:rPr>
                      <w:rFonts w:ascii="Arial" w:hAnsi="Arial" w:cs="Arial"/>
                      <w:b/>
                      <w:bCs/>
                    </w:rPr>
                    <w:t xml:space="preserve">g </w:t>
                  </w:r>
                </w:p>
              </w:tc>
              <w:tc>
                <w:tcPr>
                  <w:tcW w:w="2732" w:type="dxa"/>
                  <w:gridSpan w:val="2"/>
                  <w:tcBorders>
                    <w:top w:val="nil"/>
                    <w:left w:val="nil"/>
                    <w:bottom w:val="single" w:sz="4" w:space="0" w:color="auto"/>
                    <w:right w:val="nil"/>
                  </w:tcBorders>
                </w:tcPr>
                <w:p w14:paraId="053D26D1" w14:textId="77777777" w:rsidR="007164D5" w:rsidRPr="00522D61" w:rsidRDefault="007164D5" w:rsidP="00A845B7">
                  <w:pPr>
                    <w:jc w:val="right"/>
                    <w:rPr>
                      <w:rFonts w:ascii="Arial" w:hAnsi="Arial" w:cs="Arial"/>
                      <w:b/>
                      <w:bCs/>
                      <w:sz w:val="12"/>
                      <w:szCs w:val="12"/>
                    </w:rPr>
                  </w:pPr>
                </w:p>
                <w:p w14:paraId="1606C41E" w14:textId="42D4C829" w:rsidR="007164D5" w:rsidRPr="00E44B62" w:rsidRDefault="007164D5" w:rsidP="00A845B7">
                  <w:pPr>
                    <w:jc w:val="right"/>
                    <w:rPr>
                      <w:rFonts w:ascii="Arial" w:hAnsi="Arial" w:cs="Arial"/>
                      <w:b/>
                      <w:bCs/>
                      <w:sz w:val="22"/>
                      <w:szCs w:val="22"/>
                    </w:rPr>
                  </w:pPr>
                  <w:r w:rsidRPr="00E44B62">
                    <w:rPr>
                      <w:rFonts w:ascii="Arial" w:hAnsi="Arial" w:cs="Arial"/>
                      <w:b/>
                      <w:bCs/>
                    </w:rPr>
                    <w:t>201</w:t>
                  </w:r>
                  <w:r w:rsidR="00290B48" w:rsidRPr="00E44B62">
                    <w:rPr>
                      <w:rFonts w:ascii="Arial" w:hAnsi="Arial" w:cs="Arial"/>
                      <w:b/>
                      <w:bCs/>
                    </w:rPr>
                    <w:t>7</w:t>
                  </w:r>
                  <w:r w:rsidRPr="00E44B62">
                    <w:rPr>
                      <w:rFonts w:ascii="Arial" w:hAnsi="Arial" w:cs="Arial"/>
                      <w:b/>
                      <w:bCs/>
                    </w:rPr>
                    <w:t>/1</w:t>
                  </w:r>
                  <w:r w:rsidR="00290B48" w:rsidRPr="00E44B62">
                    <w:rPr>
                      <w:rFonts w:ascii="Arial" w:hAnsi="Arial" w:cs="Arial"/>
                      <w:b/>
                      <w:bCs/>
                    </w:rPr>
                    <w:t>8</w:t>
                  </w:r>
                </w:p>
                <w:p w14:paraId="1C9E827A" w14:textId="77777777" w:rsidR="007164D5" w:rsidRPr="00E44B62" w:rsidRDefault="007164D5" w:rsidP="00A845B7">
                  <w:pPr>
                    <w:jc w:val="right"/>
                    <w:rPr>
                      <w:sz w:val="22"/>
                      <w:szCs w:val="22"/>
                    </w:rPr>
                  </w:pPr>
                </w:p>
              </w:tc>
              <w:tc>
                <w:tcPr>
                  <w:tcW w:w="1134" w:type="dxa"/>
                  <w:tcBorders>
                    <w:top w:val="nil"/>
                    <w:left w:val="nil"/>
                    <w:bottom w:val="single" w:sz="4" w:space="0" w:color="auto"/>
                    <w:right w:val="nil"/>
                  </w:tcBorders>
                </w:tcPr>
                <w:p w14:paraId="0800320E" w14:textId="77777777" w:rsidR="007164D5" w:rsidRPr="00522D61" w:rsidRDefault="007164D5" w:rsidP="00A845B7">
                  <w:pPr>
                    <w:jc w:val="right"/>
                    <w:rPr>
                      <w:rFonts w:ascii="Arial" w:hAnsi="Arial" w:cs="Arial"/>
                      <w:b/>
                      <w:bCs/>
                      <w:sz w:val="12"/>
                      <w:szCs w:val="12"/>
                    </w:rPr>
                  </w:pPr>
                </w:p>
                <w:p w14:paraId="0A8CEB40" w14:textId="0A1ABBE1" w:rsidR="007164D5" w:rsidRPr="00E44B62" w:rsidRDefault="007164D5" w:rsidP="00A845B7">
                  <w:pPr>
                    <w:jc w:val="right"/>
                    <w:rPr>
                      <w:rFonts w:ascii="Arial" w:hAnsi="Arial" w:cs="Arial"/>
                      <w:b/>
                      <w:bCs/>
                      <w:sz w:val="22"/>
                      <w:szCs w:val="22"/>
                    </w:rPr>
                  </w:pPr>
                  <w:r w:rsidRPr="00E44B62">
                    <w:rPr>
                      <w:rFonts w:ascii="Arial" w:hAnsi="Arial" w:cs="Arial"/>
                      <w:b/>
                      <w:bCs/>
                    </w:rPr>
                    <w:t>201</w:t>
                  </w:r>
                  <w:r w:rsidR="00290B48" w:rsidRPr="00E44B62">
                    <w:rPr>
                      <w:rFonts w:ascii="Arial" w:hAnsi="Arial" w:cs="Arial"/>
                      <w:b/>
                      <w:bCs/>
                    </w:rPr>
                    <w:t>6</w:t>
                  </w:r>
                  <w:r w:rsidRPr="00E44B62">
                    <w:rPr>
                      <w:rFonts w:ascii="Arial" w:hAnsi="Arial" w:cs="Arial"/>
                      <w:b/>
                      <w:bCs/>
                    </w:rPr>
                    <w:t>/1</w:t>
                  </w:r>
                  <w:r w:rsidR="00290B48" w:rsidRPr="00E44B62">
                    <w:rPr>
                      <w:rFonts w:ascii="Arial" w:hAnsi="Arial" w:cs="Arial"/>
                      <w:b/>
                      <w:bCs/>
                    </w:rPr>
                    <w:t>7</w:t>
                  </w:r>
                </w:p>
                <w:p w14:paraId="5B29B783" w14:textId="77777777" w:rsidR="007164D5" w:rsidRPr="00E44B62" w:rsidRDefault="007164D5" w:rsidP="00A845B7">
                  <w:pPr>
                    <w:jc w:val="right"/>
                    <w:rPr>
                      <w:sz w:val="22"/>
                      <w:szCs w:val="22"/>
                    </w:rPr>
                  </w:pPr>
                </w:p>
              </w:tc>
              <w:tc>
                <w:tcPr>
                  <w:tcW w:w="1456" w:type="dxa"/>
                  <w:tcBorders>
                    <w:top w:val="nil"/>
                    <w:left w:val="nil"/>
                    <w:bottom w:val="single" w:sz="4" w:space="0" w:color="auto"/>
                    <w:right w:val="nil"/>
                  </w:tcBorders>
                </w:tcPr>
                <w:p w14:paraId="6A71FE72" w14:textId="77777777" w:rsidR="007164D5" w:rsidRPr="00522D61" w:rsidRDefault="007164D5" w:rsidP="00A845B7">
                  <w:pPr>
                    <w:ind w:right="33"/>
                    <w:jc w:val="right"/>
                    <w:rPr>
                      <w:rFonts w:ascii="Arial" w:hAnsi="Arial" w:cs="Arial"/>
                      <w:b/>
                      <w:bCs/>
                      <w:sz w:val="12"/>
                      <w:szCs w:val="12"/>
                    </w:rPr>
                  </w:pPr>
                </w:p>
                <w:p w14:paraId="323B3DCC" w14:textId="3D8A58E1" w:rsidR="007164D5" w:rsidRPr="00E44B62" w:rsidRDefault="007164D5" w:rsidP="00A845B7">
                  <w:pPr>
                    <w:ind w:right="33"/>
                    <w:jc w:val="right"/>
                    <w:rPr>
                      <w:rFonts w:ascii="Arial" w:hAnsi="Arial" w:cs="Arial"/>
                      <w:b/>
                      <w:bCs/>
                      <w:sz w:val="22"/>
                      <w:szCs w:val="22"/>
                    </w:rPr>
                  </w:pPr>
                  <w:r w:rsidRPr="00E44B62">
                    <w:rPr>
                      <w:rFonts w:ascii="Arial" w:hAnsi="Arial" w:cs="Arial"/>
                      <w:b/>
                      <w:bCs/>
                    </w:rPr>
                    <w:t>%</w:t>
                  </w:r>
                  <w:r w:rsidR="001C66BB">
                    <w:rPr>
                      <w:rFonts w:ascii="Arial" w:hAnsi="Arial" w:cs="Arial"/>
                      <w:b/>
                      <w:bCs/>
                    </w:rPr>
                    <w:t xml:space="preserve"> Change</w:t>
                  </w:r>
                </w:p>
                <w:p w14:paraId="25BE818B" w14:textId="77777777" w:rsidR="007164D5" w:rsidRPr="00E44B62" w:rsidRDefault="007164D5" w:rsidP="00A845B7">
                  <w:pPr>
                    <w:ind w:right="33"/>
                    <w:jc w:val="right"/>
                    <w:rPr>
                      <w:sz w:val="22"/>
                      <w:szCs w:val="22"/>
                    </w:rPr>
                  </w:pPr>
                </w:p>
              </w:tc>
              <w:tc>
                <w:tcPr>
                  <w:tcW w:w="244" w:type="dxa"/>
                  <w:tcBorders>
                    <w:top w:val="nil"/>
                    <w:left w:val="nil"/>
                    <w:bottom w:val="nil"/>
                    <w:right w:val="nil"/>
                  </w:tcBorders>
                </w:tcPr>
                <w:p w14:paraId="187C8173" w14:textId="77777777" w:rsidR="007164D5" w:rsidRPr="00E44B62" w:rsidRDefault="007164D5" w:rsidP="00E63162">
                  <w:pPr>
                    <w:ind w:right="236"/>
                    <w:jc w:val="right"/>
                    <w:rPr>
                      <w:rFonts w:ascii="Arial" w:hAnsi="Arial" w:cs="Arial"/>
                      <w:b/>
                      <w:bCs/>
                      <w:sz w:val="22"/>
                      <w:szCs w:val="22"/>
                    </w:rPr>
                  </w:pPr>
                </w:p>
              </w:tc>
              <w:tc>
                <w:tcPr>
                  <w:tcW w:w="594" w:type="dxa"/>
                  <w:tcBorders>
                    <w:top w:val="nil"/>
                    <w:left w:val="nil"/>
                    <w:bottom w:val="nil"/>
                    <w:right w:val="nil"/>
                  </w:tcBorders>
                </w:tcPr>
                <w:p w14:paraId="7B7EC4FB" w14:textId="77777777" w:rsidR="007164D5" w:rsidRPr="00522D61" w:rsidRDefault="007164D5" w:rsidP="00A845B7">
                  <w:pPr>
                    <w:ind w:right="33"/>
                    <w:jc w:val="right"/>
                    <w:rPr>
                      <w:rFonts w:ascii="Arial" w:hAnsi="Arial" w:cs="Arial"/>
                      <w:b/>
                      <w:bCs/>
                      <w:sz w:val="12"/>
                      <w:szCs w:val="12"/>
                    </w:rPr>
                  </w:pPr>
                </w:p>
              </w:tc>
            </w:tr>
            <w:tr w:rsidR="00232507" w:rsidRPr="00E44B62" w14:paraId="13F18DAA" w14:textId="77777777" w:rsidTr="00522D61">
              <w:trPr>
                <w:trHeight w:val="269"/>
              </w:trPr>
              <w:tc>
                <w:tcPr>
                  <w:tcW w:w="2586" w:type="dxa"/>
                  <w:tcBorders>
                    <w:top w:val="single" w:sz="4" w:space="0" w:color="auto"/>
                    <w:left w:val="nil"/>
                    <w:bottom w:val="nil"/>
                    <w:right w:val="nil"/>
                  </w:tcBorders>
                </w:tcPr>
                <w:p w14:paraId="2F6198C0" w14:textId="77777777" w:rsidR="007164D5" w:rsidRPr="00E44B62" w:rsidRDefault="007164D5" w:rsidP="000F6423">
                  <w:pPr>
                    <w:jc w:val="left"/>
                    <w:rPr>
                      <w:rFonts w:ascii="Arial" w:hAnsi="Arial" w:cs="Arial"/>
                      <w:sz w:val="22"/>
                      <w:szCs w:val="22"/>
                    </w:rPr>
                  </w:pPr>
                  <w:r w:rsidRPr="00E44B62">
                    <w:rPr>
                      <w:rFonts w:ascii="Arial" w:hAnsi="Arial" w:cs="Arial"/>
                    </w:rPr>
                    <w:t>Statutory pre-tax profit</w:t>
                  </w:r>
                </w:p>
              </w:tc>
              <w:tc>
                <w:tcPr>
                  <w:tcW w:w="670" w:type="dxa"/>
                  <w:tcBorders>
                    <w:top w:val="single" w:sz="4" w:space="0" w:color="auto"/>
                    <w:left w:val="nil"/>
                    <w:bottom w:val="nil"/>
                    <w:right w:val="nil"/>
                  </w:tcBorders>
                </w:tcPr>
                <w:p w14:paraId="4E2DD69D" w14:textId="77777777" w:rsidR="007164D5" w:rsidRPr="00E44B62" w:rsidRDefault="007164D5" w:rsidP="000F6423">
                  <w:pPr>
                    <w:jc w:val="right"/>
                    <w:rPr>
                      <w:sz w:val="22"/>
                      <w:szCs w:val="22"/>
                    </w:rPr>
                  </w:pPr>
                </w:p>
              </w:tc>
              <w:tc>
                <w:tcPr>
                  <w:tcW w:w="236" w:type="dxa"/>
                  <w:tcBorders>
                    <w:top w:val="single" w:sz="4" w:space="0" w:color="auto"/>
                    <w:left w:val="nil"/>
                    <w:bottom w:val="nil"/>
                    <w:right w:val="nil"/>
                  </w:tcBorders>
                </w:tcPr>
                <w:p w14:paraId="4F8F2F35" w14:textId="77777777" w:rsidR="007164D5" w:rsidRPr="00A670D8" w:rsidRDefault="007164D5" w:rsidP="000F6423">
                  <w:pPr>
                    <w:jc w:val="right"/>
                    <w:rPr>
                      <w:sz w:val="22"/>
                      <w:szCs w:val="22"/>
                    </w:rPr>
                  </w:pPr>
                </w:p>
              </w:tc>
              <w:tc>
                <w:tcPr>
                  <w:tcW w:w="2496" w:type="dxa"/>
                  <w:tcBorders>
                    <w:top w:val="single" w:sz="4" w:space="0" w:color="auto"/>
                    <w:left w:val="nil"/>
                    <w:bottom w:val="nil"/>
                    <w:right w:val="nil"/>
                  </w:tcBorders>
                </w:tcPr>
                <w:p w14:paraId="4312ECDB" w14:textId="58373FD2" w:rsidR="007164D5" w:rsidRPr="00FC41B5" w:rsidRDefault="007164D5" w:rsidP="000F6423">
                  <w:pPr>
                    <w:jc w:val="right"/>
                  </w:pPr>
                  <w:r w:rsidRPr="00FC41B5">
                    <w:rPr>
                      <w:rFonts w:ascii="Arial" w:hAnsi="Arial" w:cs="Arial"/>
                    </w:rPr>
                    <w:t>£</w:t>
                  </w:r>
                  <w:r w:rsidR="00B0776C">
                    <w:rPr>
                      <w:rFonts w:ascii="Arial" w:hAnsi="Arial" w:cs="Arial"/>
                    </w:rPr>
                    <w:t>68</w:t>
                  </w:r>
                  <w:r w:rsidR="00474B6E">
                    <w:rPr>
                      <w:rFonts w:ascii="Arial" w:hAnsi="Arial" w:cs="Arial"/>
                    </w:rPr>
                    <w:t>2</w:t>
                  </w:r>
                  <w:r w:rsidR="005C6733" w:rsidRPr="00FC41B5">
                    <w:rPr>
                      <w:rFonts w:ascii="Arial" w:hAnsi="Arial" w:cs="Arial"/>
                    </w:rPr>
                    <w:t>m</w:t>
                  </w:r>
                </w:p>
              </w:tc>
              <w:tc>
                <w:tcPr>
                  <w:tcW w:w="1134" w:type="dxa"/>
                  <w:tcBorders>
                    <w:top w:val="single" w:sz="4" w:space="0" w:color="auto"/>
                    <w:left w:val="nil"/>
                    <w:bottom w:val="nil"/>
                    <w:right w:val="nil"/>
                  </w:tcBorders>
                </w:tcPr>
                <w:p w14:paraId="481556EA" w14:textId="100AB435" w:rsidR="007164D5" w:rsidRPr="00A670D8" w:rsidRDefault="007164D5" w:rsidP="000F6423">
                  <w:pPr>
                    <w:jc w:val="right"/>
                  </w:pPr>
                  <w:r w:rsidRPr="00A670D8">
                    <w:rPr>
                      <w:rFonts w:ascii="Arial" w:hAnsi="Arial" w:cs="Arial"/>
                    </w:rPr>
                    <w:t>£</w:t>
                  </w:r>
                  <w:r w:rsidR="00290B48" w:rsidRPr="00A670D8">
                    <w:rPr>
                      <w:rFonts w:ascii="Arial" w:hAnsi="Arial" w:cs="Arial"/>
                    </w:rPr>
                    <w:t>759</w:t>
                  </w:r>
                  <w:r w:rsidRPr="00A670D8">
                    <w:rPr>
                      <w:rFonts w:ascii="Arial" w:hAnsi="Arial" w:cs="Arial"/>
                    </w:rPr>
                    <w:t>m</w:t>
                  </w:r>
                </w:p>
              </w:tc>
              <w:tc>
                <w:tcPr>
                  <w:tcW w:w="1456" w:type="dxa"/>
                  <w:tcBorders>
                    <w:top w:val="single" w:sz="4" w:space="0" w:color="auto"/>
                    <w:left w:val="nil"/>
                    <w:bottom w:val="nil"/>
                    <w:right w:val="nil"/>
                  </w:tcBorders>
                </w:tcPr>
                <w:p w14:paraId="75B4222D" w14:textId="5A983E45" w:rsidR="007164D5" w:rsidRPr="00F6636F" w:rsidRDefault="00B0776C" w:rsidP="000F6423">
                  <w:pPr>
                    <w:jc w:val="right"/>
                  </w:pPr>
                  <w:r w:rsidRPr="00F6636F">
                    <w:rPr>
                      <w:rFonts w:ascii="Arial" w:hAnsi="Arial" w:cs="Arial"/>
                    </w:rPr>
                    <w:t>(</w:t>
                  </w:r>
                  <w:proofErr w:type="gramStart"/>
                  <w:r w:rsidRPr="00F6636F">
                    <w:rPr>
                      <w:rFonts w:ascii="Arial" w:hAnsi="Arial" w:cs="Arial"/>
                    </w:rPr>
                    <w:t>10.</w:t>
                  </w:r>
                  <w:r w:rsidR="00F6636F" w:rsidRPr="00D978CF">
                    <w:rPr>
                      <w:rFonts w:ascii="Arial" w:hAnsi="Arial" w:cs="Arial"/>
                    </w:rPr>
                    <w:t>1</w:t>
                  </w:r>
                  <w:r w:rsidRPr="00F6636F">
                    <w:rPr>
                      <w:rFonts w:ascii="Arial" w:hAnsi="Arial" w:cs="Arial"/>
                    </w:rPr>
                    <w:t>)%</w:t>
                  </w:r>
                  <w:proofErr w:type="gramEnd"/>
                </w:p>
              </w:tc>
              <w:tc>
                <w:tcPr>
                  <w:tcW w:w="244" w:type="dxa"/>
                  <w:tcBorders>
                    <w:top w:val="nil"/>
                    <w:left w:val="nil"/>
                    <w:bottom w:val="nil"/>
                    <w:right w:val="nil"/>
                  </w:tcBorders>
                </w:tcPr>
                <w:p w14:paraId="1A900A04" w14:textId="77777777" w:rsidR="007164D5" w:rsidRPr="00E44B62" w:rsidRDefault="007164D5" w:rsidP="000F6423">
                  <w:pPr>
                    <w:jc w:val="right"/>
                    <w:rPr>
                      <w:rFonts w:ascii="Arial" w:hAnsi="Arial" w:cs="Arial"/>
                      <w:sz w:val="22"/>
                      <w:szCs w:val="22"/>
                    </w:rPr>
                  </w:pPr>
                </w:p>
              </w:tc>
              <w:tc>
                <w:tcPr>
                  <w:tcW w:w="594" w:type="dxa"/>
                  <w:tcBorders>
                    <w:top w:val="nil"/>
                    <w:left w:val="nil"/>
                    <w:bottom w:val="nil"/>
                    <w:right w:val="nil"/>
                  </w:tcBorders>
                </w:tcPr>
                <w:p w14:paraId="22DD0410" w14:textId="77777777" w:rsidR="007164D5" w:rsidRPr="004F6F19" w:rsidRDefault="007164D5" w:rsidP="000F6423">
                  <w:pPr>
                    <w:jc w:val="right"/>
                    <w:rPr>
                      <w:rFonts w:ascii="Arial" w:hAnsi="Arial" w:cs="Arial"/>
                      <w:sz w:val="22"/>
                      <w:szCs w:val="22"/>
                    </w:rPr>
                  </w:pPr>
                </w:p>
              </w:tc>
            </w:tr>
            <w:tr w:rsidR="00232507" w:rsidRPr="00E44B62" w14:paraId="7F7FFA6D" w14:textId="77777777" w:rsidTr="00522D61">
              <w:trPr>
                <w:trHeight w:val="269"/>
              </w:trPr>
              <w:tc>
                <w:tcPr>
                  <w:tcW w:w="2586" w:type="dxa"/>
                  <w:tcBorders>
                    <w:top w:val="nil"/>
                    <w:left w:val="nil"/>
                    <w:bottom w:val="nil"/>
                    <w:right w:val="nil"/>
                  </w:tcBorders>
                </w:tcPr>
                <w:p w14:paraId="34D480E9" w14:textId="77777777" w:rsidR="007164D5" w:rsidRPr="00E44B62" w:rsidRDefault="007164D5" w:rsidP="000F6423">
                  <w:pPr>
                    <w:jc w:val="left"/>
                    <w:rPr>
                      <w:rFonts w:ascii="Arial" w:hAnsi="Arial" w:cs="Arial"/>
                      <w:sz w:val="22"/>
                      <w:szCs w:val="22"/>
                    </w:rPr>
                  </w:pPr>
                  <w:r w:rsidRPr="00E44B62">
                    <w:rPr>
                      <w:rFonts w:ascii="Arial" w:hAnsi="Arial" w:cs="Arial"/>
                    </w:rPr>
                    <w:t>Statutory post-tax profit</w:t>
                  </w:r>
                </w:p>
              </w:tc>
              <w:tc>
                <w:tcPr>
                  <w:tcW w:w="670" w:type="dxa"/>
                  <w:tcBorders>
                    <w:top w:val="nil"/>
                    <w:left w:val="nil"/>
                    <w:bottom w:val="nil"/>
                    <w:right w:val="nil"/>
                  </w:tcBorders>
                </w:tcPr>
                <w:p w14:paraId="57622F6D" w14:textId="77777777" w:rsidR="007164D5" w:rsidRPr="00E44B62" w:rsidRDefault="007164D5" w:rsidP="000F6423">
                  <w:pPr>
                    <w:jc w:val="right"/>
                    <w:rPr>
                      <w:rFonts w:ascii="Arial" w:hAnsi="Arial" w:cs="Arial"/>
                      <w:sz w:val="22"/>
                      <w:szCs w:val="22"/>
                    </w:rPr>
                  </w:pPr>
                </w:p>
              </w:tc>
              <w:tc>
                <w:tcPr>
                  <w:tcW w:w="236" w:type="dxa"/>
                  <w:tcBorders>
                    <w:top w:val="nil"/>
                    <w:left w:val="nil"/>
                    <w:bottom w:val="nil"/>
                    <w:right w:val="nil"/>
                  </w:tcBorders>
                </w:tcPr>
                <w:p w14:paraId="6CC25F0F" w14:textId="77777777" w:rsidR="007164D5" w:rsidRPr="00E44B62" w:rsidRDefault="007164D5" w:rsidP="000F6423">
                  <w:pPr>
                    <w:jc w:val="right"/>
                    <w:rPr>
                      <w:rFonts w:ascii="Arial" w:hAnsi="Arial" w:cs="Arial"/>
                      <w:sz w:val="22"/>
                      <w:szCs w:val="22"/>
                    </w:rPr>
                  </w:pPr>
                </w:p>
              </w:tc>
              <w:tc>
                <w:tcPr>
                  <w:tcW w:w="2496" w:type="dxa"/>
                  <w:tcBorders>
                    <w:top w:val="nil"/>
                    <w:left w:val="nil"/>
                    <w:bottom w:val="nil"/>
                    <w:right w:val="nil"/>
                  </w:tcBorders>
                </w:tcPr>
                <w:p w14:paraId="77C5A2F4" w14:textId="1D99B4E3" w:rsidR="007164D5" w:rsidRPr="001908E1" w:rsidRDefault="007164D5" w:rsidP="000F6423">
                  <w:pPr>
                    <w:jc w:val="right"/>
                    <w:rPr>
                      <w:rFonts w:ascii="Arial" w:hAnsi="Arial" w:cs="Arial"/>
                    </w:rPr>
                  </w:pPr>
                  <w:r w:rsidRPr="001908E1">
                    <w:rPr>
                      <w:rFonts w:ascii="Arial" w:hAnsi="Arial" w:cs="Arial"/>
                    </w:rPr>
                    <w:t>£</w:t>
                  </w:r>
                  <w:r w:rsidR="000552CC" w:rsidRPr="001908E1">
                    <w:rPr>
                      <w:rFonts w:ascii="Arial" w:hAnsi="Arial" w:cs="Arial"/>
                    </w:rPr>
                    <w:t>4</w:t>
                  </w:r>
                  <w:r w:rsidR="00474B6E">
                    <w:rPr>
                      <w:rFonts w:ascii="Arial" w:hAnsi="Arial" w:cs="Arial"/>
                    </w:rPr>
                    <w:t>85</w:t>
                  </w:r>
                  <w:r w:rsidR="000552CC" w:rsidRPr="001908E1">
                    <w:rPr>
                      <w:rFonts w:ascii="Arial" w:hAnsi="Arial" w:cs="Arial"/>
                    </w:rPr>
                    <w:t>m</w:t>
                  </w:r>
                </w:p>
              </w:tc>
              <w:tc>
                <w:tcPr>
                  <w:tcW w:w="1134" w:type="dxa"/>
                  <w:tcBorders>
                    <w:top w:val="nil"/>
                    <w:left w:val="nil"/>
                    <w:bottom w:val="nil"/>
                    <w:right w:val="nil"/>
                  </w:tcBorders>
                </w:tcPr>
                <w:p w14:paraId="7409690B" w14:textId="05B001B1" w:rsidR="007164D5" w:rsidRPr="000552CC" w:rsidRDefault="007164D5" w:rsidP="00F9080F">
                  <w:pPr>
                    <w:jc w:val="right"/>
                  </w:pPr>
                  <w:r w:rsidRPr="000552CC">
                    <w:rPr>
                      <w:rFonts w:ascii="Arial" w:hAnsi="Arial" w:cs="Arial"/>
                    </w:rPr>
                    <w:t>£</w:t>
                  </w:r>
                  <w:r w:rsidR="00290B48" w:rsidRPr="000552CC">
                    <w:rPr>
                      <w:rFonts w:ascii="Arial" w:hAnsi="Arial" w:cs="Arial"/>
                    </w:rPr>
                    <w:t>610</w:t>
                  </w:r>
                  <w:r w:rsidRPr="000552CC">
                    <w:rPr>
                      <w:rFonts w:ascii="Arial" w:hAnsi="Arial" w:cs="Arial"/>
                    </w:rPr>
                    <w:t>m</w:t>
                  </w:r>
                </w:p>
              </w:tc>
              <w:tc>
                <w:tcPr>
                  <w:tcW w:w="1456" w:type="dxa"/>
                  <w:tcBorders>
                    <w:top w:val="nil"/>
                    <w:left w:val="nil"/>
                    <w:bottom w:val="nil"/>
                    <w:right w:val="nil"/>
                  </w:tcBorders>
                </w:tcPr>
                <w:p w14:paraId="280FB552" w14:textId="6D3945FB" w:rsidR="007164D5" w:rsidRPr="00F6636F" w:rsidRDefault="000552CC" w:rsidP="00F9080F">
                  <w:pPr>
                    <w:jc w:val="right"/>
                    <w:rPr>
                      <w:rFonts w:ascii="Arial" w:hAnsi="Arial" w:cs="Arial"/>
                    </w:rPr>
                  </w:pPr>
                  <w:r w:rsidRPr="00F6636F">
                    <w:rPr>
                      <w:rFonts w:ascii="Arial" w:hAnsi="Arial" w:cs="Arial"/>
                    </w:rPr>
                    <w:t>(</w:t>
                  </w:r>
                  <w:proofErr w:type="gramStart"/>
                  <w:r w:rsidR="00F6636F" w:rsidRPr="00D978CF">
                    <w:rPr>
                      <w:rFonts w:ascii="Arial" w:hAnsi="Arial" w:cs="Arial"/>
                    </w:rPr>
                    <w:t>20</w:t>
                  </w:r>
                  <w:r w:rsidR="007164D5" w:rsidRPr="00F6636F">
                    <w:rPr>
                      <w:rFonts w:ascii="Arial" w:hAnsi="Arial" w:cs="Arial"/>
                    </w:rPr>
                    <w:t>.</w:t>
                  </w:r>
                  <w:r w:rsidR="00F6636F" w:rsidRPr="00D978CF">
                    <w:rPr>
                      <w:rFonts w:ascii="Arial" w:hAnsi="Arial" w:cs="Arial"/>
                    </w:rPr>
                    <w:t>5</w:t>
                  </w:r>
                  <w:r w:rsidRPr="00F6636F">
                    <w:rPr>
                      <w:rFonts w:ascii="Arial" w:hAnsi="Arial" w:cs="Arial"/>
                    </w:rPr>
                    <w:t>)</w:t>
                  </w:r>
                  <w:r w:rsidR="007164D5" w:rsidRPr="00F6636F">
                    <w:rPr>
                      <w:rFonts w:ascii="Arial" w:hAnsi="Arial" w:cs="Arial"/>
                    </w:rPr>
                    <w:t>%</w:t>
                  </w:r>
                  <w:proofErr w:type="gramEnd"/>
                </w:p>
              </w:tc>
              <w:tc>
                <w:tcPr>
                  <w:tcW w:w="244" w:type="dxa"/>
                  <w:tcBorders>
                    <w:top w:val="nil"/>
                    <w:left w:val="nil"/>
                    <w:bottom w:val="nil"/>
                    <w:right w:val="nil"/>
                  </w:tcBorders>
                </w:tcPr>
                <w:p w14:paraId="7DABDB09" w14:textId="77777777" w:rsidR="007164D5" w:rsidRPr="00E44B62" w:rsidRDefault="007164D5" w:rsidP="00F9080F">
                  <w:pPr>
                    <w:jc w:val="right"/>
                    <w:rPr>
                      <w:rFonts w:ascii="Arial" w:hAnsi="Arial" w:cs="Arial"/>
                      <w:sz w:val="22"/>
                      <w:szCs w:val="22"/>
                    </w:rPr>
                  </w:pPr>
                </w:p>
              </w:tc>
              <w:tc>
                <w:tcPr>
                  <w:tcW w:w="594" w:type="dxa"/>
                  <w:tcBorders>
                    <w:top w:val="nil"/>
                    <w:left w:val="nil"/>
                    <w:bottom w:val="nil"/>
                    <w:right w:val="nil"/>
                  </w:tcBorders>
                </w:tcPr>
                <w:p w14:paraId="44FED6B7" w14:textId="77777777" w:rsidR="007164D5" w:rsidRPr="004F6F19" w:rsidRDefault="007164D5" w:rsidP="00F9080F">
                  <w:pPr>
                    <w:jc w:val="right"/>
                    <w:rPr>
                      <w:rFonts w:ascii="Arial" w:hAnsi="Arial" w:cs="Arial"/>
                      <w:sz w:val="22"/>
                      <w:szCs w:val="22"/>
                    </w:rPr>
                  </w:pPr>
                </w:p>
              </w:tc>
            </w:tr>
            <w:tr w:rsidR="00232507" w:rsidRPr="00E44B62" w14:paraId="7D7C0EDE" w14:textId="77777777" w:rsidTr="00522D61">
              <w:trPr>
                <w:trHeight w:val="269"/>
              </w:trPr>
              <w:tc>
                <w:tcPr>
                  <w:tcW w:w="2586" w:type="dxa"/>
                  <w:tcBorders>
                    <w:top w:val="nil"/>
                    <w:left w:val="nil"/>
                    <w:bottom w:val="nil"/>
                    <w:right w:val="nil"/>
                  </w:tcBorders>
                </w:tcPr>
                <w:p w14:paraId="6BB72088" w14:textId="77777777" w:rsidR="007164D5" w:rsidRPr="00E44B62" w:rsidRDefault="007164D5" w:rsidP="000F6423">
                  <w:pPr>
                    <w:jc w:val="left"/>
                    <w:rPr>
                      <w:rFonts w:ascii="Arial" w:hAnsi="Arial" w:cs="Arial"/>
                      <w:sz w:val="22"/>
                      <w:szCs w:val="22"/>
                    </w:rPr>
                  </w:pPr>
                  <w:r w:rsidRPr="00E44B62">
                    <w:rPr>
                      <w:rFonts w:ascii="Arial" w:hAnsi="Arial" w:cs="Arial"/>
                    </w:rPr>
                    <w:t>Basic EPS</w:t>
                  </w:r>
                </w:p>
              </w:tc>
              <w:tc>
                <w:tcPr>
                  <w:tcW w:w="670" w:type="dxa"/>
                  <w:tcBorders>
                    <w:top w:val="nil"/>
                    <w:left w:val="nil"/>
                    <w:bottom w:val="nil"/>
                    <w:right w:val="nil"/>
                  </w:tcBorders>
                </w:tcPr>
                <w:p w14:paraId="6B67E1D6" w14:textId="77777777" w:rsidR="007164D5" w:rsidRPr="00E44B62" w:rsidRDefault="007164D5" w:rsidP="000F6423">
                  <w:pPr>
                    <w:jc w:val="right"/>
                    <w:rPr>
                      <w:rFonts w:ascii="Arial" w:hAnsi="Arial" w:cs="Arial"/>
                      <w:sz w:val="22"/>
                      <w:szCs w:val="22"/>
                    </w:rPr>
                  </w:pPr>
                </w:p>
              </w:tc>
              <w:tc>
                <w:tcPr>
                  <w:tcW w:w="236" w:type="dxa"/>
                  <w:tcBorders>
                    <w:top w:val="nil"/>
                    <w:left w:val="nil"/>
                    <w:bottom w:val="nil"/>
                    <w:right w:val="nil"/>
                  </w:tcBorders>
                </w:tcPr>
                <w:p w14:paraId="0B4FC642" w14:textId="77777777" w:rsidR="007164D5" w:rsidRPr="00E44B62" w:rsidRDefault="007164D5" w:rsidP="000F6423">
                  <w:pPr>
                    <w:jc w:val="right"/>
                    <w:rPr>
                      <w:rFonts w:ascii="Arial" w:hAnsi="Arial" w:cs="Arial"/>
                      <w:sz w:val="22"/>
                      <w:szCs w:val="22"/>
                    </w:rPr>
                  </w:pPr>
                </w:p>
              </w:tc>
              <w:tc>
                <w:tcPr>
                  <w:tcW w:w="2496" w:type="dxa"/>
                  <w:tcBorders>
                    <w:top w:val="nil"/>
                    <w:left w:val="nil"/>
                    <w:bottom w:val="nil"/>
                    <w:right w:val="nil"/>
                  </w:tcBorders>
                </w:tcPr>
                <w:p w14:paraId="0E757AAA" w14:textId="01734338" w:rsidR="007164D5" w:rsidRPr="00990F9A" w:rsidRDefault="00A670D8" w:rsidP="000F6423">
                  <w:pPr>
                    <w:jc w:val="right"/>
                    <w:rPr>
                      <w:rFonts w:ascii="Arial" w:hAnsi="Arial" w:cs="Arial"/>
                    </w:rPr>
                  </w:pPr>
                  <w:r w:rsidRPr="00F74486">
                    <w:rPr>
                      <w:rFonts w:ascii="Arial" w:hAnsi="Arial" w:cs="Arial"/>
                    </w:rPr>
                    <w:t>22</w:t>
                  </w:r>
                  <w:r w:rsidR="007164D5" w:rsidRPr="00F74486">
                    <w:rPr>
                      <w:rFonts w:ascii="Arial" w:hAnsi="Arial" w:cs="Arial"/>
                    </w:rPr>
                    <w:t>.</w:t>
                  </w:r>
                  <w:r w:rsidR="00390B7E" w:rsidRPr="00F74486">
                    <w:rPr>
                      <w:rFonts w:ascii="Arial" w:hAnsi="Arial" w:cs="Arial"/>
                    </w:rPr>
                    <w:t>1</w:t>
                  </w:r>
                  <w:r w:rsidR="005C6733" w:rsidRPr="00F74486">
                    <w:rPr>
                      <w:rFonts w:ascii="Arial" w:hAnsi="Arial" w:cs="Arial"/>
                    </w:rPr>
                    <w:t>p</w:t>
                  </w:r>
                </w:p>
              </w:tc>
              <w:tc>
                <w:tcPr>
                  <w:tcW w:w="1134" w:type="dxa"/>
                  <w:tcBorders>
                    <w:top w:val="nil"/>
                    <w:left w:val="nil"/>
                    <w:bottom w:val="nil"/>
                    <w:right w:val="nil"/>
                  </w:tcBorders>
                </w:tcPr>
                <w:p w14:paraId="4BEF976F" w14:textId="4C3D8BC3" w:rsidR="007164D5" w:rsidRPr="00990F9A" w:rsidRDefault="00290B48" w:rsidP="00F9080F">
                  <w:pPr>
                    <w:jc w:val="right"/>
                  </w:pPr>
                  <w:r w:rsidRPr="00990F9A">
                    <w:rPr>
                      <w:rFonts w:ascii="Arial" w:hAnsi="Arial" w:cs="Arial"/>
                    </w:rPr>
                    <w:t>27.1</w:t>
                  </w:r>
                  <w:r w:rsidR="007164D5" w:rsidRPr="00990F9A">
                    <w:rPr>
                      <w:rFonts w:ascii="Arial" w:hAnsi="Arial" w:cs="Arial"/>
                    </w:rPr>
                    <w:t>p</w:t>
                  </w:r>
                </w:p>
              </w:tc>
              <w:tc>
                <w:tcPr>
                  <w:tcW w:w="1456" w:type="dxa"/>
                  <w:tcBorders>
                    <w:top w:val="nil"/>
                    <w:left w:val="nil"/>
                    <w:bottom w:val="nil"/>
                    <w:right w:val="nil"/>
                  </w:tcBorders>
                </w:tcPr>
                <w:p w14:paraId="419168B2" w14:textId="25B6AD57" w:rsidR="007164D5" w:rsidRPr="00990F9A" w:rsidRDefault="00A670D8" w:rsidP="00F9080F">
                  <w:pPr>
                    <w:jc w:val="right"/>
                    <w:rPr>
                      <w:rFonts w:ascii="Arial" w:hAnsi="Arial" w:cs="Arial"/>
                    </w:rPr>
                  </w:pPr>
                  <w:r w:rsidRPr="00F74486">
                    <w:rPr>
                      <w:rFonts w:ascii="Arial" w:hAnsi="Arial" w:cs="Arial"/>
                    </w:rPr>
                    <w:t>(</w:t>
                  </w:r>
                  <w:proofErr w:type="gramStart"/>
                  <w:r w:rsidRPr="00F74486">
                    <w:rPr>
                      <w:rFonts w:ascii="Arial" w:hAnsi="Arial" w:cs="Arial"/>
                    </w:rPr>
                    <w:t>1</w:t>
                  </w:r>
                  <w:r w:rsidR="00FB6583" w:rsidRPr="00F74486">
                    <w:rPr>
                      <w:rFonts w:ascii="Arial" w:hAnsi="Arial" w:cs="Arial"/>
                    </w:rPr>
                    <w:t>8</w:t>
                  </w:r>
                  <w:r w:rsidR="007164D5" w:rsidRPr="00F74486">
                    <w:rPr>
                      <w:rFonts w:ascii="Arial" w:hAnsi="Arial" w:cs="Arial"/>
                    </w:rPr>
                    <w:t>.</w:t>
                  </w:r>
                  <w:r w:rsidR="00E00A96">
                    <w:rPr>
                      <w:rFonts w:ascii="Arial" w:hAnsi="Arial" w:cs="Arial"/>
                    </w:rPr>
                    <w:t>5</w:t>
                  </w:r>
                  <w:r w:rsidRPr="00F74486">
                    <w:rPr>
                      <w:rFonts w:ascii="Arial" w:hAnsi="Arial" w:cs="Arial"/>
                    </w:rPr>
                    <w:t>)</w:t>
                  </w:r>
                  <w:r w:rsidR="007164D5" w:rsidRPr="00F74486">
                    <w:rPr>
                      <w:rFonts w:ascii="Arial" w:hAnsi="Arial" w:cs="Arial"/>
                    </w:rPr>
                    <w:t>%</w:t>
                  </w:r>
                  <w:proofErr w:type="gramEnd"/>
                </w:p>
              </w:tc>
              <w:tc>
                <w:tcPr>
                  <w:tcW w:w="244" w:type="dxa"/>
                  <w:tcBorders>
                    <w:top w:val="nil"/>
                    <w:left w:val="nil"/>
                    <w:bottom w:val="nil"/>
                    <w:right w:val="nil"/>
                  </w:tcBorders>
                </w:tcPr>
                <w:p w14:paraId="026A59AC" w14:textId="77777777" w:rsidR="007164D5" w:rsidRPr="00E44B62" w:rsidRDefault="007164D5" w:rsidP="00F9080F">
                  <w:pPr>
                    <w:jc w:val="right"/>
                    <w:rPr>
                      <w:rFonts w:ascii="Arial" w:hAnsi="Arial" w:cs="Arial"/>
                      <w:sz w:val="22"/>
                      <w:szCs w:val="22"/>
                    </w:rPr>
                  </w:pPr>
                </w:p>
              </w:tc>
              <w:tc>
                <w:tcPr>
                  <w:tcW w:w="594" w:type="dxa"/>
                  <w:tcBorders>
                    <w:top w:val="nil"/>
                    <w:left w:val="nil"/>
                    <w:bottom w:val="nil"/>
                    <w:right w:val="nil"/>
                  </w:tcBorders>
                </w:tcPr>
                <w:p w14:paraId="44FEC944" w14:textId="77777777" w:rsidR="007164D5" w:rsidRPr="004F6F19" w:rsidRDefault="007164D5" w:rsidP="00F9080F">
                  <w:pPr>
                    <w:jc w:val="right"/>
                    <w:rPr>
                      <w:rFonts w:ascii="Arial" w:hAnsi="Arial" w:cs="Arial"/>
                      <w:sz w:val="22"/>
                      <w:szCs w:val="22"/>
                    </w:rPr>
                  </w:pPr>
                </w:p>
              </w:tc>
            </w:tr>
            <w:tr w:rsidR="0089712B" w:rsidRPr="00E44B62" w14:paraId="749A881B" w14:textId="77777777" w:rsidTr="00522D61">
              <w:trPr>
                <w:trHeight w:val="118"/>
              </w:trPr>
              <w:tc>
                <w:tcPr>
                  <w:tcW w:w="8578" w:type="dxa"/>
                  <w:gridSpan w:val="6"/>
                  <w:tcBorders>
                    <w:top w:val="single" w:sz="4" w:space="0" w:color="auto"/>
                    <w:left w:val="nil"/>
                    <w:bottom w:val="nil"/>
                    <w:right w:val="nil"/>
                  </w:tcBorders>
                </w:tcPr>
                <w:p w14:paraId="1B535156" w14:textId="77777777" w:rsidR="004D01EC" w:rsidRPr="00522D61" w:rsidRDefault="004D01EC">
                  <w:pPr>
                    <w:jc w:val="left"/>
                    <w:rPr>
                      <w:rFonts w:ascii="Arial" w:hAnsi="Arial" w:cs="Arial"/>
                      <w:sz w:val="12"/>
                      <w:szCs w:val="12"/>
                    </w:rPr>
                  </w:pPr>
                </w:p>
              </w:tc>
              <w:tc>
                <w:tcPr>
                  <w:tcW w:w="244" w:type="dxa"/>
                  <w:tcBorders>
                    <w:top w:val="nil"/>
                    <w:left w:val="nil"/>
                    <w:bottom w:val="nil"/>
                    <w:right w:val="nil"/>
                  </w:tcBorders>
                </w:tcPr>
                <w:p w14:paraId="66641F4A" w14:textId="77777777" w:rsidR="0089712B" w:rsidRPr="00522D61" w:rsidRDefault="0089712B" w:rsidP="0089712B">
                  <w:pPr>
                    <w:jc w:val="left"/>
                    <w:rPr>
                      <w:rFonts w:ascii="Arial" w:hAnsi="Arial" w:cs="Arial"/>
                      <w:sz w:val="12"/>
                      <w:szCs w:val="12"/>
                    </w:rPr>
                  </w:pPr>
                </w:p>
              </w:tc>
              <w:tc>
                <w:tcPr>
                  <w:tcW w:w="594" w:type="dxa"/>
                  <w:tcBorders>
                    <w:top w:val="nil"/>
                    <w:left w:val="nil"/>
                    <w:bottom w:val="nil"/>
                    <w:right w:val="nil"/>
                  </w:tcBorders>
                </w:tcPr>
                <w:p w14:paraId="2A114BED" w14:textId="77777777" w:rsidR="0089712B" w:rsidRPr="00522D61" w:rsidRDefault="0089712B" w:rsidP="0089712B">
                  <w:pPr>
                    <w:jc w:val="left"/>
                    <w:rPr>
                      <w:rFonts w:ascii="Arial" w:hAnsi="Arial" w:cs="Arial"/>
                      <w:sz w:val="12"/>
                      <w:szCs w:val="12"/>
                    </w:rPr>
                  </w:pPr>
                </w:p>
              </w:tc>
            </w:tr>
          </w:tbl>
          <w:p w14:paraId="676458CF" w14:textId="77777777" w:rsidR="000F6423" w:rsidRPr="00F158F2" w:rsidRDefault="000F6423" w:rsidP="00D71831">
            <w:pPr>
              <w:jc w:val="left"/>
              <w:rPr>
                <w:rFonts w:ascii="Arial" w:hAnsi="Arial" w:cs="Arial"/>
                <w:b/>
                <w:bCs/>
                <w:sz w:val="24"/>
                <w:szCs w:val="24"/>
                <w:u w:val="single"/>
              </w:rPr>
            </w:pPr>
          </w:p>
        </w:tc>
      </w:tr>
    </w:tbl>
    <w:p w14:paraId="6CBEB3EB" w14:textId="6C24982D" w:rsidR="001904C5" w:rsidRDefault="001904C5" w:rsidP="001904C5">
      <w:pPr>
        <w:jc w:val="left"/>
        <w:rPr>
          <w:rFonts w:ascii="Arial" w:hAnsi="Arial" w:cs="Arial"/>
          <w:i/>
          <w:iCs/>
          <w:sz w:val="18"/>
          <w:szCs w:val="18"/>
        </w:rPr>
      </w:pPr>
      <w:r w:rsidRPr="000C04E8">
        <w:rPr>
          <w:rFonts w:ascii="Arial" w:hAnsi="Arial" w:cs="Arial"/>
          <w:i/>
          <w:iCs/>
          <w:sz w:val="18"/>
          <w:szCs w:val="18"/>
        </w:rPr>
        <w:lastRenderedPageBreak/>
        <w:t xml:space="preserve">*Throughout this release ‘*’ indicates first instance of a term defined and explained in the Glossary (section 5). Not </w:t>
      </w:r>
      <w:proofErr w:type="gramStart"/>
      <w:r w:rsidRPr="000C04E8">
        <w:rPr>
          <w:rFonts w:ascii="Arial" w:hAnsi="Arial" w:cs="Arial"/>
          <w:i/>
          <w:iCs/>
          <w:sz w:val="18"/>
          <w:szCs w:val="18"/>
        </w:rPr>
        <w:t>all of</w:t>
      </w:r>
      <w:proofErr w:type="gramEnd"/>
      <w:r w:rsidRPr="000C04E8">
        <w:rPr>
          <w:rFonts w:ascii="Arial" w:hAnsi="Arial" w:cs="Arial"/>
          <w:i/>
          <w:iCs/>
          <w:sz w:val="18"/>
          <w:szCs w:val="18"/>
        </w:rPr>
        <w:t xml:space="preserve"> the figures and ratios used are readily available from the unaudited </w:t>
      </w:r>
      <w:r w:rsidR="00922456">
        <w:rPr>
          <w:rFonts w:ascii="Arial" w:hAnsi="Arial" w:cs="Arial"/>
          <w:i/>
          <w:iCs/>
          <w:sz w:val="18"/>
          <w:szCs w:val="18"/>
        </w:rPr>
        <w:t>final</w:t>
      </w:r>
      <w:r w:rsidRPr="000C04E8">
        <w:rPr>
          <w:rFonts w:ascii="Arial" w:hAnsi="Arial" w:cs="Arial"/>
          <w:i/>
          <w:iCs/>
          <w:sz w:val="18"/>
          <w:szCs w:val="18"/>
        </w:rPr>
        <w:t xml:space="preserve"> results included in </w:t>
      </w:r>
      <w:r>
        <w:rPr>
          <w:rFonts w:ascii="Arial" w:hAnsi="Arial" w:cs="Arial"/>
          <w:i/>
          <w:iCs/>
          <w:sz w:val="18"/>
          <w:szCs w:val="18"/>
        </w:rPr>
        <w:t>part 2 of the announcement</w:t>
      </w:r>
      <w:r w:rsidRPr="000C04E8">
        <w:rPr>
          <w:rFonts w:ascii="Arial" w:hAnsi="Arial" w:cs="Arial"/>
          <w:i/>
          <w:iCs/>
          <w:sz w:val="18"/>
          <w:szCs w:val="18"/>
        </w:rPr>
        <w:t>. These non-GAAP measures</w:t>
      </w:r>
      <w:r w:rsidR="00E57DE9">
        <w:rPr>
          <w:rFonts w:ascii="Arial" w:hAnsi="Arial" w:cs="Arial"/>
          <w:i/>
          <w:iCs/>
          <w:sz w:val="18"/>
          <w:szCs w:val="18"/>
        </w:rPr>
        <w:t xml:space="preserve"> (also known as alternative performance measures)</w:t>
      </w:r>
      <w:r w:rsidRPr="000C04E8">
        <w:rPr>
          <w:rFonts w:ascii="Arial" w:hAnsi="Arial" w:cs="Arial"/>
          <w:i/>
          <w:iCs/>
          <w:sz w:val="18"/>
          <w:szCs w:val="18"/>
        </w:rPr>
        <w:t>, including constant currency and like-for-like</w:t>
      </w:r>
      <w:r>
        <w:rPr>
          <w:rFonts w:ascii="Arial" w:hAnsi="Arial" w:cs="Arial"/>
          <w:i/>
          <w:iCs/>
          <w:sz w:val="18"/>
          <w:szCs w:val="18"/>
        </w:rPr>
        <w:t xml:space="preserve"> sales</w:t>
      </w:r>
      <w:r w:rsidRPr="000C04E8">
        <w:rPr>
          <w:rFonts w:ascii="Arial" w:hAnsi="Arial" w:cs="Arial"/>
          <w:i/>
          <w:iCs/>
          <w:sz w:val="18"/>
          <w:szCs w:val="18"/>
        </w:rPr>
        <w:t xml:space="preserve"> growth, underlying and adjusted profit measures, management believes are both useful and necessary to better understand the Group’s results. Where required, a reconciliation to statutory amounts is set out in the Financial Review (Section 4).</w:t>
      </w:r>
    </w:p>
    <w:p w14:paraId="6B091E0D" w14:textId="77777777" w:rsidR="001904C5" w:rsidRDefault="001904C5" w:rsidP="00440B16">
      <w:pPr>
        <w:rPr>
          <w:rFonts w:ascii="Arial" w:hAnsi="Arial" w:cs="Arial"/>
        </w:rPr>
      </w:pPr>
    </w:p>
    <w:p w14:paraId="57D2D747" w14:textId="77777777" w:rsidR="00FD4DC7" w:rsidRPr="00A845B7" w:rsidRDefault="00FD4DC7" w:rsidP="00AF31F4">
      <w:pPr>
        <w:jc w:val="left"/>
        <w:rPr>
          <w:rFonts w:ascii="Arial" w:hAnsi="Arial" w:cs="Arial"/>
          <w:b/>
          <w:bCs/>
        </w:rPr>
      </w:pPr>
      <w:proofErr w:type="spellStart"/>
      <w:r w:rsidRPr="00A845B7">
        <w:rPr>
          <w:rFonts w:ascii="Arial" w:hAnsi="Arial" w:cs="Arial"/>
          <w:b/>
        </w:rPr>
        <w:t>Véronique</w:t>
      </w:r>
      <w:proofErr w:type="spellEnd"/>
      <w:r w:rsidRPr="00A845B7">
        <w:rPr>
          <w:rFonts w:ascii="Arial" w:hAnsi="Arial" w:cs="Arial"/>
          <w:b/>
        </w:rPr>
        <w:t xml:space="preserve"> Laury, Chief Executive</w:t>
      </w:r>
      <w:r w:rsidR="007C47AE" w:rsidRPr="00A845B7">
        <w:rPr>
          <w:rFonts w:ascii="Arial" w:hAnsi="Arial" w:cs="Arial"/>
          <w:b/>
        </w:rPr>
        <w:t xml:space="preserve"> Officer</w:t>
      </w:r>
      <w:r w:rsidRPr="00A845B7">
        <w:rPr>
          <w:rFonts w:ascii="Arial" w:hAnsi="Arial" w:cs="Arial"/>
          <w:b/>
        </w:rPr>
        <w:t>, said</w:t>
      </w:r>
      <w:r w:rsidRPr="00A845B7">
        <w:rPr>
          <w:rFonts w:ascii="Arial" w:hAnsi="Arial" w:cs="Arial"/>
          <w:b/>
          <w:bCs/>
        </w:rPr>
        <w:t>:</w:t>
      </w:r>
    </w:p>
    <w:p w14:paraId="4E9990B0" w14:textId="77777777" w:rsidR="008A3A27" w:rsidRPr="000971B9" w:rsidRDefault="008A3A27" w:rsidP="00FD4DC7">
      <w:pPr>
        <w:rPr>
          <w:rFonts w:ascii="Arial" w:hAnsi="Arial" w:cs="Arial"/>
          <w:b/>
          <w:bCs/>
          <w:sz w:val="24"/>
          <w:szCs w:val="24"/>
        </w:rPr>
      </w:pPr>
    </w:p>
    <w:p w14:paraId="3C582461" w14:textId="7D03CBEC" w:rsidR="00E67480" w:rsidRDefault="00E67480" w:rsidP="00E67480">
      <w:pPr>
        <w:jc w:val="left"/>
        <w:rPr>
          <w:rFonts w:ascii="Arial" w:hAnsi="Arial" w:cs="Arial"/>
          <w:bCs/>
          <w:szCs w:val="24"/>
        </w:rPr>
      </w:pPr>
      <w:bookmarkStart w:id="4" w:name="_Hlk507593205"/>
      <w:bookmarkStart w:id="5" w:name="_Hlk491880840"/>
      <w:r>
        <w:rPr>
          <w:rFonts w:ascii="Arial" w:hAnsi="Arial" w:cs="Arial"/>
          <w:bCs/>
          <w:szCs w:val="24"/>
        </w:rPr>
        <w:t xml:space="preserve">“We have made good progress in this second year of our ambitious </w:t>
      </w:r>
      <w:r w:rsidR="00491EAB">
        <w:rPr>
          <w:rFonts w:ascii="Arial" w:hAnsi="Arial" w:cs="Arial"/>
          <w:bCs/>
          <w:szCs w:val="24"/>
        </w:rPr>
        <w:t>five-year</w:t>
      </w:r>
      <w:r>
        <w:rPr>
          <w:rFonts w:ascii="Arial" w:hAnsi="Arial" w:cs="Arial"/>
          <w:bCs/>
          <w:szCs w:val="24"/>
        </w:rPr>
        <w:t xml:space="preserve"> transformation after a significant step up in the level of activity. For the second year in a row, all our </w:t>
      </w:r>
      <w:r w:rsidR="00F07AFB">
        <w:rPr>
          <w:rFonts w:ascii="Arial" w:hAnsi="Arial" w:cs="Arial"/>
          <w:bCs/>
          <w:szCs w:val="24"/>
        </w:rPr>
        <w:t xml:space="preserve">key </w:t>
      </w:r>
      <w:r>
        <w:rPr>
          <w:rFonts w:ascii="Arial" w:hAnsi="Arial" w:cs="Arial"/>
          <w:bCs/>
          <w:szCs w:val="24"/>
        </w:rPr>
        <w:t xml:space="preserve">strategic milestones have been met and I am really pleased to say that we are starting to see tangible delivery of our plan. The changes are now visible across our stores and online. Over a third of our ranges have now been unified and they are being well received by customers. We are buying as ONE and are starting to see the customer and financial benefits coming through, both in sales and gross margins. Our digital initiatives are gaining momentum as we enter the final year of roll out of our unified IT platform. I am also pleased to see that our operational efficiency initiatives, focusing initially on </w:t>
      </w:r>
      <w:r w:rsidR="008F1704">
        <w:rPr>
          <w:rFonts w:ascii="Arial" w:hAnsi="Arial" w:cs="Arial"/>
          <w:bCs/>
          <w:szCs w:val="24"/>
        </w:rPr>
        <w:t>g</w:t>
      </w:r>
      <w:r>
        <w:rPr>
          <w:rFonts w:ascii="Arial" w:hAnsi="Arial" w:cs="Arial"/>
          <w:bCs/>
          <w:szCs w:val="24"/>
        </w:rPr>
        <w:t xml:space="preserve">oods </w:t>
      </w:r>
      <w:r w:rsidR="008F1704">
        <w:rPr>
          <w:rFonts w:ascii="Arial" w:hAnsi="Arial" w:cs="Arial"/>
          <w:bCs/>
          <w:szCs w:val="24"/>
        </w:rPr>
        <w:t>n</w:t>
      </w:r>
      <w:r>
        <w:rPr>
          <w:rFonts w:ascii="Arial" w:hAnsi="Arial" w:cs="Arial"/>
          <w:bCs/>
          <w:szCs w:val="24"/>
        </w:rPr>
        <w:t xml:space="preserve">ot </w:t>
      </w:r>
      <w:r w:rsidR="008F1704">
        <w:rPr>
          <w:rFonts w:ascii="Arial" w:hAnsi="Arial" w:cs="Arial"/>
          <w:bCs/>
          <w:szCs w:val="24"/>
        </w:rPr>
        <w:t>f</w:t>
      </w:r>
      <w:r>
        <w:rPr>
          <w:rFonts w:ascii="Arial" w:hAnsi="Arial" w:cs="Arial"/>
          <w:bCs/>
          <w:szCs w:val="24"/>
        </w:rPr>
        <w:t xml:space="preserve">or </w:t>
      </w:r>
      <w:r w:rsidR="008F1704">
        <w:rPr>
          <w:rFonts w:ascii="Arial" w:hAnsi="Arial" w:cs="Arial"/>
          <w:bCs/>
          <w:szCs w:val="24"/>
        </w:rPr>
        <w:t>r</w:t>
      </w:r>
      <w:r>
        <w:rPr>
          <w:rFonts w:ascii="Arial" w:hAnsi="Arial" w:cs="Arial"/>
          <w:bCs/>
          <w:szCs w:val="24"/>
        </w:rPr>
        <w:t>esale, continue to deliver and are now gathering pace as we start to unlock further opportunities.</w:t>
      </w:r>
    </w:p>
    <w:p w14:paraId="1C787A60" w14:textId="77777777" w:rsidR="00E67480" w:rsidRDefault="00E67480" w:rsidP="00E67480">
      <w:pPr>
        <w:jc w:val="left"/>
        <w:rPr>
          <w:rFonts w:ascii="Arial" w:hAnsi="Arial" w:cs="Arial"/>
          <w:bCs/>
          <w:szCs w:val="24"/>
        </w:rPr>
      </w:pPr>
      <w:r>
        <w:rPr>
          <w:rFonts w:ascii="Arial" w:hAnsi="Arial" w:cs="Arial"/>
          <w:bCs/>
          <w:szCs w:val="24"/>
        </w:rPr>
        <w:t xml:space="preserve">  </w:t>
      </w:r>
    </w:p>
    <w:p w14:paraId="5DFF69B7" w14:textId="59578355" w:rsidR="008C7E4A" w:rsidRDefault="00E67480" w:rsidP="00E67480">
      <w:pPr>
        <w:jc w:val="left"/>
        <w:rPr>
          <w:rFonts w:ascii="Arial" w:hAnsi="Arial" w:cs="Arial"/>
          <w:bCs/>
          <w:szCs w:val="24"/>
        </w:rPr>
      </w:pPr>
      <w:r>
        <w:rPr>
          <w:rFonts w:ascii="Arial" w:hAnsi="Arial" w:cs="Arial"/>
          <w:bCs/>
          <w:szCs w:val="24"/>
        </w:rPr>
        <w:t xml:space="preserve">“Our performance this year has been mixed, however, with solid growth at Screwfix and Poland, offset by continued weaker sales in France and some business disruption, principally reflecting product availability and clearance. </w:t>
      </w:r>
      <w:r w:rsidR="00FE7892">
        <w:rPr>
          <w:rFonts w:ascii="Arial" w:hAnsi="Arial" w:cs="Arial"/>
          <w:bCs/>
          <w:szCs w:val="24"/>
        </w:rPr>
        <w:t>W</w:t>
      </w:r>
      <w:r>
        <w:rPr>
          <w:rFonts w:ascii="Arial" w:hAnsi="Arial" w:cs="Arial"/>
          <w:bCs/>
          <w:szCs w:val="24"/>
        </w:rPr>
        <w:t xml:space="preserve">e are acting on the causes of this </w:t>
      </w:r>
      <w:r w:rsidR="009B56B5">
        <w:rPr>
          <w:rFonts w:ascii="Arial" w:hAnsi="Arial" w:cs="Arial"/>
          <w:bCs/>
          <w:szCs w:val="24"/>
        </w:rPr>
        <w:t>disruption</w:t>
      </w:r>
      <w:r w:rsidR="00FE7892">
        <w:rPr>
          <w:rFonts w:ascii="Arial" w:hAnsi="Arial" w:cs="Arial"/>
          <w:bCs/>
          <w:szCs w:val="24"/>
        </w:rPr>
        <w:t>, however</w:t>
      </w:r>
      <w:r w:rsidR="009B56B5">
        <w:rPr>
          <w:rFonts w:ascii="Arial" w:hAnsi="Arial" w:cs="Arial"/>
          <w:bCs/>
          <w:szCs w:val="24"/>
        </w:rPr>
        <w:t xml:space="preserve"> next year will be another big year in our transformation plan. </w:t>
      </w:r>
      <w:r>
        <w:rPr>
          <w:rFonts w:ascii="Arial" w:hAnsi="Arial" w:cs="Arial"/>
          <w:bCs/>
          <w:szCs w:val="24"/>
        </w:rPr>
        <w:t>The pace of change is quick and impactful but necessary as we build the new ONE Kingfisher engine to support our ambition to be the leading home improvement company, based on putting customer needs first.</w:t>
      </w:r>
      <w:r w:rsidR="009B56B5">
        <w:rPr>
          <w:rFonts w:ascii="Arial" w:hAnsi="Arial" w:cs="Arial"/>
          <w:bCs/>
          <w:szCs w:val="24"/>
        </w:rPr>
        <w:t xml:space="preserve"> </w:t>
      </w:r>
      <w:r>
        <w:rPr>
          <w:rFonts w:ascii="Arial" w:hAnsi="Arial" w:cs="Arial"/>
          <w:bCs/>
          <w:szCs w:val="24"/>
        </w:rPr>
        <w:t xml:space="preserve">The outlook for our main markets is </w:t>
      </w:r>
      <w:r w:rsidR="00FE7892">
        <w:rPr>
          <w:rFonts w:ascii="Arial" w:hAnsi="Arial" w:cs="Arial"/>
          <w:bCs/>
          <w:szCs w:val="24"/>
        </w:rPr>
        <w:t xml:space="preserve">also </w:t>
      </w:r>
      <w:r>
        <w:rPr>
          <w:rFonts w:ascii="Arial" w:hAnsi="Arial" w:cs="Arial"/>
          <w:bCs/>
          <w:szCs w:val="24"/>
        </w:rPr>
        <w:t xml:space="preserve">mixed. The UK </w:t>
      </w:r>
      <w:r w:rsidR="009B56B5">
        <w:rPr>
          <w:rFonts w:ascii="Arial" w:hAnsi="Arial" w:cs="Arial"/>
          <w:bCs/>
          <w:szCs w:val="24"/>
        </w:rPr>
        <w:t>is more</w:t>
      </w:r>
      <w:r>
        <w:rPr>
          <w:rFonts w:ascii="Arial" w:hAnsi="Arial" w:cs="Arial"/>
          <w:bCs/>
          <w:szCs w:val="24"/>
        </w:rPr>
        <w:t xml:space="preserve"> uncertain, France is </w:t>
      </w:r>
      <w:r w:rsidR="00491EAB" w:rsidRPr="00FE7892">
        <w:rPr>
          <w:rFonts w:ascii="Arial" w:hAnsi="Arial" w:cs="Arial"/>
          <w:bCs/>
          <w:szCs w:val="24"/>
        </w:rPr>
        <w:t>encouraging</w:t>
      </w:r>
      <w:r w:rsidR="00DF69FB" w:rsidRPr="00FE7892">
        <w:rPr>
          <w:rFonts w:ascii="Arial" w:hAnsi="Arial" w:cs="Arial"/>
          <w:bCs/>
          <w:szCs w:val="24"/>
        </w:rPr>
        <w:t xml:space="preserve"> yet volatile</w:t>
      </w:r>
      <w:r w:rsidR="00491EAB" w:rsidRPr="00FE7892">
        <w:rPr>
          <w:rFonts w:ascii="Arial" w:hAnsi="Arial" w:cs="Arial"/>
          <w:bCs/>
          <w:szCs w:val="24"/>
        </w:rPr>
        <w:t>,</w:t>
      </w:r>
      <w:r w:rsidRPr="00FE7892">
        <w:rPr>
          <w:rFonts w:ascii="Arial" w:hAnsi="Arial" w:cs="Arial"/>
          <w:bCs/>
          <w:szCs w:val="24"/>
        </w:rPr>
        <w:t xml:space="preserve"> whilst</w:t>
      </w:r>
      <w:r>
        <w:rPr>
          <w:rFonts w:ascii="Arial" w:hAnsi="Arial" w:cs="Arial"/>
          <w:bCs/>
          <w:szCs w:val="24"/>
        </w:rPr>
        <w:t xml:space="preserve"> the market in Poland remains supportive. </w:t>
      </w:r>
    </w:p>
    <w:p w14:paraId="2884342D" w14:textId="77777777" w:rsidR="008C7E4A" w:rsidRDefault="008C7E4A" w:rsidP="00E67480">
      <w:pPr>
        <w:jc w:val="left"/>
        <w:rPr>
          <w:rFonts w:ascii="Arial" w:hAnsi="Arial" w:cs="Arial"/>
          <w:bCs/>
          <w:szCs w:val="24"/>
        </w:rPr>
      </w:pPr>
    </w:p>
    <w:p w14:paraId="2828F7EA" w14:textId="55AB207C" w:rsidR="00E67480" w:rsidRDefault="008C7E4A" w:rsidP="00E67480">
      <w:pPr>
        <w:jc w:val="left"/>
        <w:rPr>
          <w:rFonts w:ascii="Arial" w:hAnsi="Arial" w:cs="Arial"/>
          <w:bCs/>
          <w:szCs w:val="24"/>
        </w:rPr>
      </w:pPr>
      <w:r>
        <w:rPr>
          <w:rFonts w:ascii="Arial" w:hAnsi="Arial" w:cs="Arial"/>
          <w:bCs/>
          <w:szCs w:val="24"/>
        </w:rPr>
        <w:t>“</w:t>
      </w:r>
      <w:r w:rsidR="00E67480">
        <w:rPr>
          <w:rFonts w:ascii="Arial" w:hAnsi="Arial" w:cs="Arial"/>
          <w:bCs/>
          <w:szCs w:val="24"/>
        </w:rPr>
        <w:t>Given our good progress so far, and supported by our highly engaged teams, I remain confident in our ability to deliver our plan and in the customer and financial benefits it will generate.”</w:t>
      </w:r>
    </w:p>
    <w:bookmarkEnd w:id="4"/>
    <w:p w14:paraId="41AFF0CA" w14:textId="3F6125A8" w:rsidR="008462C8" w:rsidRDefault="00E67480" w:rsidP="00AD5BF9">
      <w:pPr>
        <w:jc w:val="left"/>
        <w:rPr>
          <w:rFonts w:ascii="Arial" w:hAnsi="Arial" w:cs="Arial"/>
          <w:b/>
          <w:bCs/>
          <w:sz w:val="24"/>
          <w:szCs w:val="24"/>
        </w:rPr>
      </w:pPr>
      <w:r w:rsidRPr="000E0032" w:rsidDel="00E67480">
        <w:rPr>
          <w:rFonts w:ascii="Arial" w:hAnsi="Arial" w:cs="Arial"/>
          <w:bCs/>
          <w:szCs w:val="24"/>
        </w:rPr>
        <w:t xml:space="preserve"> </w:t>
      </w:r>
      <w:bookmarkEnd w:id="5"/>
    </w:p>
    <w:p w14:paraId="15B54FF9" w14:textId="77777777" w:rsidR="00E2024A" w:rsidRPr="0099702F" w:rsidRDefault="003C4FFB" w:rsidP="00AD5BF9">
      <w:pPr>
        <w:jc w:val="left"/>
        <w:rPr>
          <w:rFonts w:ascii="Arial" w:hAnsi="Arial" w:cs="Arial"/>
          <w:b/>
          <w:bCs/>
        </w:rPr>
      </w:pPr>
      <w:r w:rsidRPr="00A845B7">
        <w:rPr>
          <w:rFonts w:ascii="Arial" w:hAnsi="Arial" w:cs="Arial"/>
          <w:b/>
          <w:bCs/>
        </w:rPr>
        <w:t>Contacts</w:t>
      </w:r>
    </w:p>
    <w:tbl>
      <w:tblPr>
        <w:tblW w:w="5000" w:type="pct"/>
        <w:tblInd w:w="-106" w:type="dxa"/>
        <w:tblLook w:val="01E0" w:firstRow="1" w:lastRow="1" w:firstColumn="1" w:lastColumn="1" w:noHBand="0" w:noVBand="0"/>
      </w:tblPr>
      <w:tblGrid>
        <w:gridCol w:w="3185"/>
        <w:gridCol w:w="2935"/>
        <w:gridCol w:w="3521"/>
      </w:tblGrid>
      <w:tr w:rsidR="00EF5E0D" w14:paraId="4316D187" w14:textId="77777777" w:rsidTr="006F78D1">
        <w:tc>
          <w:tcPr>
            <w:tcW w:w="2018" w:type="pct"/>
            <w:hideMark/>
          </w:tcPr>
          <w:p w14:paraId="67C9CE15" w14:textId="77777777" w:rsidR="002802A9" w:rsidRDefault="002802A9" w:rsidP="008F7BE3">
            <w:pPr>
              <w:jc w:val="left"/>
              <w:rPr>
                <w:rFonts w:ascii="Arial" w:hAnsi="Arial" w:cs="Arial"/>
              </w:rPr>
            </w:pPr>
          </w:p>
          <w:p w14:paraId="43F3F889" w14:textId="77777777" w:rsidR="00EF5E0D" w:rsidRPr="00794BC4" w:rsidRDefault="00EF5E0D" w:rsidP="008F7BE3">
            <w:pPr>
              <w:jc w:val="left"/>
              <w:rPr>
                <w:rFonts w:ascii="Arial" w:hAnsi="Arial" w:cs="Arial"/>
              </w:rPr>
            </w:pPr>
            <w:r w:rsidRPr="00794BC4">
              <w:rPr>
                <w:rFonts w:ascii="Arial" w:hAnsi="Arial" w:cs="Arial"/>
              </w:rPr>
              <w:t>Investor Relations</w:t>
            </w:r>
          </w:p>
        </w:tc>
        <w:tc>
          <w:tcPr>
            <w:tcW w:w="1888" w:type="pct"/>
            <w:hideMark/>
          </w:tcPr>
          <w:p w14:paraId="019271BF" w14:textId="77777777" w:rsidR="00EF5E0D" w:rsidRPr="00794BC4" w:rsidRDefault="00EF5E0D">
            <w:pPr>
              <w:jc w:val="right"/>
              <w:rPr>
                <w:rFonts w:ascii="Arial" w:hAnsi="Arial" w:cs="Arial"/>
              </w:rPr>
            </w:pPr>
            <w:r w:rsidRPr="00794BC4">
              <w:rPr>
                <w:rFonts w:ascii="Arial" w:hAnsi="Arial" w:cs="Arial"/>
              </w:rPr>
              <w:t>Tel:</w:t>
            </w:r>
          </w:p>
          <w:p w14:paraId="6A2254EC" w14:textId="77777777" w:rsidR="00EF5E0D" w:rsidRPr="00794BC4" w:rsidRDefault="00EF5E0D">
            <w:pPr>
              <w:jc w:val="right"/>
              <w:rPr>
                <w:rFonts w:ascii="Arial" w:hAnsi="Arial" w:cs="Arial"/>
              </w:rPr>
            </w:pPr>
            <w:r w:rsidRPr="00794BC4">
              <w:rPr>
                <w:rFonts w:ascii="Arial" w:hAnsi="Arial" w:cs="Arial"/>
              </w:rPr>
              <w:t>+44 (0) 20 7644 1082</w:t>
            </w:r>
          </w:p>
        </w:tc>
        <w:tc>
          <w:tcPr>
            <w:tcW w:w="1095" w:type="pct"/>
          </w:tcPr>
          <w:p w14:paraId="4220C5D7" w14:textId="77777777" w:rsidR="00EF5E0D" w:rsidRPr="00794BC4" w:rsidRDefault="00EF5E0D">
            <w:pPr>
              <w:jc w:val="right"/>
              <w:rPr>
                <w:rFonts w:ascii="Arial" w:hAnsi="Arial" w:cs="Arial"/>
              </w:rPr>
            </w:pPr>
            <w:r w:rsidRPr="00794BC4">
              <w:rPr>
                <w:rFonts w:ascii="Arial" w:hAnsi="Arial" w:cs="Arial"/>
              </w:rPr>
              <w:t>Email:</w:t>
            </w:r>
          </w:p>
          <w:p w14:paraId="7E52A1D1" w14:textId="77777777" w:rsidR="00EF5E0D" w:rsidRPr="00794BC4" w:rsidRDefault="00EF5E0D">
            <w:pPr>
              <w:jc w:val="right"/>
              <w:rPr>
                <w:rFonts w:ascii="Arial" w:hAnsi="Arial" w:cs="Arial"/>
              </w:rPr>
            </w:pPr>
            <w:r w:rsidRPr="00794BC4">
              <w:rPr>
                <w:rFonts w:ascii="Arial" w:hAnsi="Arial" w:cs="Arial"/>
              </w:rPr>
              <w:t>investorenquiries@kingfisher.com</w:t>
            </w:r>
          </w:p>
        </w:tc>
      </w:tr>
      <w:tr w:rsidR="00EF5E0D" w14:paraId="7750EBA6" w14:textId="77777777" w:rsidTr="006F78D1">
        <w:tc>
          <w:tcPr>
            <w:tcW w:w="2018" w:type="pct"/>
            <w:hideMark/>
          </w:tcPr>
          <w:p w14:paraId="5D70F298" w14:textId="77777777" w:rsidR="00EF5E0D" w:rsidRPr="00794BC4" w:rsidRDefault="00EF5E0D" w:rsidP="008F7BE3">
            <w:pPr>
              <w:jc w:val="left"/>
              <w:rPr>
                <w:rFonts w:ascii="Arial" w:hAnsi="Arial" w:cs="Arial"/>
              </w:rPr>
            </w:pPr>
            <w:r w:rsidRPr="00794BC4">
              <w:rPr>
                <w:rFonts w:ascii="Arial" w:hAnsi="Arial" w:cs="Arial"/>
              </w:rPr>
              <w:t>Media Relations</w:t>
            </w:r>
          </w:p>
        </w:tc>
        <w:tc>
          <w:tcPr>
            <w:tcW w:w="1888" w:type="pct"/>
            <w:hideMark/>
          </w:tcPr>
          <w:p w14:paraId="5117A728" w14:textId="77777777" w:rsidR="00EF5E0D" w:rsidRPr="00794BC4" w:rsidRDefault="00EF5E0D">
            <w:pPr>
              <w:jc w:val="right"/>
              <w:rPr>
                <w:rFonts w:ascii="Arial" w:hAnsi="Arial" w:cs="Arial"/>
              </w:rPr>
            </w:pPr>
            <w:r w:rsidRPr="00794BC4">
              <w:rPr>
                <w:rFonts w:ascii="Arial" w:hAnsi="Arial" w:cs="Arial"/>
              </w:rPr>
              <w:t>+44 (0) 20 7644 1030</w:t>
            </w:r>
          </w:p>
        </w:tc>
        <w:tc>
          <w:tcPr>
            <w:tcW w:w="1095" w:type="pct"/>
          </w:tcPr>
          <w:p w14:paraId="13747FA0" w14:textId="77777777" w:rsidR="00EF5E0D" w:rsidRPr="00794BC4" w:rsidRDefault="002D03C6">
            <w:pPr>
              <w:jc w:val="right"/>
              <w:rPr>
                <w:rFonts w:ascii="Arial" w:hAnsi="Arial" w:cs="Arial"/>
              </w:rPr>
            </w:pPr>
            <w:r>
              <w:rPr>
                <w:rFonts w:ascii="Arial" w:hAnsi="Arial" w:cs="Arial"/>
              </w:rPr>
              <w:t>corpcomms</w:t>
            </w:r>
            <w:r w:rsidR="00EF5E0D" w:rsidRPr="00794BC4">
              <w:rPr>
                <w:rFonts w:ascii="Arial" w:hAnsi="Arial" w:cs="Arial"/>
              </w:rPr>
              <w:t>@kingfisher.com</w:t>
            </w:r>
          </w:p>
        </w:tc>
      </w:tr>
      <w:tr w:rsidR="00EF5E0D" w14:paraId="18D13EE5" w14:textId="77777777" w:rsidTr="006F78D1">
        <w:tc>
          <w:tcPr>
            <w:tcW w:w="2018" w:type="pct"/>
            <w:hideMark/>
          </w:tcPr>
          <w:p w14:paraId="766D26ED" w14:textId="77777777" w:rsidR="00EF5E0D" w:rsidRPr="00794BC4" w:rsidRDefault="00EF5E0D" w:rsidP="008356FD">
            <w:pPr>
              <w:jc w:val="left"/>
              <w:rPr>
                <w:rFonts w:ascii="Arial" w:hAnsi="Arial" w:cs="Arial"/>
              </w:rPr>
            </w:pPr>
            <w:proofErr w:type="spellStart"/>
            <w:r w:rsidRPr="00794BC4">
              <w:rPr>
                <w:rFonts w:ascii="Arial" w:hAnsi="Arial" w:cs="Arial"/>
              </w:rPr>
              <w:t>Teneo</w:t>
            </w:r>
            <w:proofErr w:type="spellEnd"/>
            <w:r w:rsidRPr="00794BC4">
              <w:rPr>
                <w:rFonts w:ascii="Arial" w:hAnsi="Arial" w:cs="Arial"/>
              </w:rPr>
              <w:t xml:space="preserve"> Blue Rubicon</w:t>
            </w:r>
          </w:p>
        </w:tc>
        <w:tc>
          <w:tcPr>
            <w:tcW w:w="1888" w:type="pct"/>
            <w:hideMark/>
          </w:tcPr>
          <w:p w14:paraId="547B5A64" w14:textId="77777777" w:rsidR="00EF5E0D" w:rsidRPr="00794BC4" w:rsidRDefault="00EF5E0D">
            <w:pPr>
              <w:jc w:val="right"/>
              <w:rPr>
                <w:rFonts w:ascii="Arial" w:hAnsi="Arial" w:cs="Arial"/>
              </w:rPr>
            </w:pPr>
            <w:r w:rsidRPr="00794BC4">
              <w:rPr>
                <w:rFonts w:ascii="Arial" w:hAnsi="Arial" w:cs="Arial"/>
              </w:rPr>
              <w:t>+44 (0) 20 7260 2700</w:t>
            </w:r>
          </w:p>
          <w:p w14:paraId="1B4797C1" w14:textId="77777777" w:rsidR="00EF5E0D" w:rsidRPr="00794BC4" w:rsidRDefault="00EF5E0D">
            <w:pPr>
              <w:jc w:val="right"/>
              <w:rPr>
                <w:rFonts w:ascii="Arial" w:hAnsi="Arial" w:cs="Arial"/>
              </w:rPr>
            </w:pPr>
          </w:p>
        </w:tc>
        <w:tc>
          <w:tcPr>
            <w:tcW w:w="1095" w:type="pct"/>
          </w:tcPr>
          <w:p w14:paraId="24959065" w14:textId="77777777" w:rsidR="00EF5E0D" w:rsidRPr="00794BC4" w:rsidRDefault="00EF5E0D">
            <w:pPr>
              <w:jc w:val="right"/>
              <w:rPr>
                <w:rFonts w:ascii="Arial" w:hAnsi="Arial" w:cs="Arial"/>
              </w:rPr>
            </w:pPr>
            <w:r w:rsidRPr="00794BC4">
              <w:rPr>
                <w:rFonts w:ascii="Arial" w:hAnsi="Arial" w:cs="Arial"/>
              </w:rPr>
              <w:t>Kfteam@teneobluerubicon.com</w:t>
            </w:r>
          </w:p>
        </w:tc>
      </w:tr>
    </w:tbl>
    <w:p w14:paraId="5355C242" w14:textId="265F97D5" w:rsidR="00CC518E" w:rsidRDefault="00E2024A" w:rsidP="00CC518E">
      <w:pPr>
        <w:autoSpaceDE w:val="0"/>
        <w:autoSpaceDN w:val="0"/>
        <w:adjustRightInd w:val="0"/>
        <w:jc w:val="left"/>
        <w:rPr>
          <w:rFonts w:ascii="Arial" w:hAnsi="Arial" w:cs="Arial"/>
          <w:szCs w:val="24"/>
        </w:rPr>
      </w:pPr>
      <w:r w:rsidRPr="00F9080F">
        <w:rPr>
          <w:rFonts w:ascii="Arial" w:hAnsi="Arial" w:cs="Arial"/>
        </w:rPr>
        <w:t xml:space="preserve">This announcement can be downloaded from </w:t>
      </w:r>
      <w:hyperlink r:id="rId8" w:history="1">
        <w:r w:rsidRPr="00F9080F">
          <w:rPr>
            <w:rStyle w:val="Hyperlink"/>
            <w:rFonts w:ascii="Arial" w:hAnsi="Arial" w:cs="Arial"/>
          </w:rPr>
          <w:t>www.kingfisher.com</w:t>
        </w:r>
      </w:hyperlink>
      <w:r w:rsidR="0042729E">
        <w:rPr>
          <w:rFonts w:ascii="Arial" w:hAnsi="Arial" w:cs="Arial"/>
        </w:rPr>
        <w:t xml:space="preserve">. </w:t>
      </w:r>
      <w:r w:rsidR="00BC7493" w:rsidRPr="00F9080F">
        <w:rPr>
          <w:rFonts w:ascii="Arial" w:hAnsi="Arial" w:cs="Arial"/>
        </w:rPr>
        <w:t>W</w:t>
      </w:r>
      <w:r w:rsidR="007C228C" w:rsidRPr="00F9080F">
        <w:rPr>
          <w:rFonts w:ascii="Arial" w:hAnsi="Arial" w:cs="Arial"/>
        </w:rPr>
        <w:t xml:space="preserve">e can be followed on </w:t>
      </w:r>
      <w:r w:rsidR="007A544D" w:rsidRPr="00F9080F">
        <w:rPr>
          <w:rFonts w:ascii="Arial" w:hAnsi="Arial" w:cs="Arial"/>
        </w:rPr>
        <w:t>T</w:t>
      </w:r>
      <w:r w:rsidR="007C228C" w:rsidRPr="00F9080F">
        <w:rPr>
          <w:rFonts w:ascii="Arial" w:hAnsi="Arial" w:cs="Arial"/>
        </w:rPr>
        <w:t>witter</w:t>
      </w:r>
      <w:r w:rsidR="00BC7493" w:rsidRPr="00F9080F">
        <w:rPr>
          <w:rFonts w:ascii="Arial" w:hAnsi="Arial" w:cs="Arial"/>
        </w:rPr>
        <w:t xml:space="preserve"> </w:t>
      </w:r>
      <w:r w:rsidR="007C228C" w:rsidRPr="00F9080F">
        <w:rPr>
          <w:rFonts w:ascii="Arial" w:hAnsi="Arial" w:cs="Arial"/>
        </w:rPr>
        <w:t>@</w:t>
      </w:r>
      <w:proofErr w:type="spellStart"/>
      <w:r w:rsidR="007C228C" w:rsidRPr="00F9080F">
        <w:rPr>
          <w:rFonts w:ascii="Arial" w:hAnsi="Arial" w:cs="Arial"/>
        </w:rPr>
        <w:t>kingfisherplc</w:t>
      </w:r>
      <w:proofErr w:type="spellEnd"/>
      <w:r w:rsidRPr="00F9080F">
        <w:rPr>
          <w:rFonts w:ascii="Arial" w:hAnsi="Arial" w:cs="Arial"/>
        </w:rPr>
        <w:t xml:space="preserve"> with the </w:t>
      </w:r>
      <w:r w:rsidR="00F764D3" w:rsidRPr="00F9080F">
        <w:rPr>
          <w:rFonts w:ascii="Arial" w:hAnsi="Arial" w:cs="Arial"/>
        </w:rPr>
        <w:t xml:space="preserve">full </w:t>
      </w:r>
      <w:r w:rsidR="007A5E76" w:rsidRPr="00F9080F">
        <w:rPr>
          <w:rFonts w:ascii="Arial" w:hAnsi="Arial" w:cs="Arial"/>
        </w:rPr>
        <w:t xml:space="preserve">year </w:t>
      </w:r>
      <w:r w:rsidRPr="00F9080F">
        <w:rPr>
          <w:rFonts w:ascii="Arial" w:hAnsi="Arial" w:cs="Arial"/>
        </w:rPr>
        <w:t>results tag #</w:t>
      </w:r>
      <w:r w:rsidR="00F764D3" w:rsidRPr="00F9080F">
        <w:rPr>
          <w:rFonts w:ascii="Arial" w:hAnsi="Arial" w:cs="Arial"/>
        </w:rPr>
        <w:t>KGFFY</w:t>
      </w:r>
      <w:r w:rsidR="007C228C" w:rsidRPr="00F9080F">
        <w:rPr>
          <w:rFonts w:ascii="Arial" w:hAnsi="Arial" w:cs="Arial"/>
        </w:rPr>
        <w:t>.</w:t>
      </w:r>
      <w:r w:rsidRPr="00F9080F">
        <w:rPr>
          <w:rFonts w:ascii="Arial" w:hAnsi="Arial" w:cs="Arial"/>
        </w:rPr>
        <w:t xml:space="preserve"> </w:t>
      </w:r>
      <w:r w:rsidR="00CC518E">
        <w:rPr>
          <w:rFonts w:ascii="Arial" w:hAnsi="Arial" w:cs="Arial"/>
          <w:szCs w:val="24"/>
        </w:rPr>
        <w:t xml:space="preserve">At </w:t>
      </w:r>
      <w:r w:rsidR="00CC518E" w:rsidRPr="008D1EF2">
        <w:rPr>
          <w:rFonts w:ascii="Arial" w:hAnsi="Arial" w:cs="Arial"/>
          <w:szCs w:val="24"/>
        </w:rPr>
        <w:t>0</w:t>
      </w:r>
      <w:r w:rsidR="008D1EF2" w:rsidRPr="0018703F">
        <w:rPr>
          <w:rFonts w:ascii="Arial" w:hAnsi="Arial" w:cs="Arial"/>
          <w:szCs w:val="24"/>
        </w:rPr>
        <w:t>8</w:t>
      </w:r>
      <w:r w:rsidR="00CC518E" w:rsidRPr="008D1EF2">
        <w:rPr>
          <w:rFonts w:ascii="Arial" w:hAnsi="Arial" w:cs="Arial"/>
          <w:szCs w:val="24"/>
        </w:rPr>
        <w:t>.</w:t>
      </w:r>
      <w:r w:rsidR="008D1EF2" w:rsidRPr="0018703F">
        <w:rPr>
          <w:rFonts w:ascii="Arial" w:hAnsi="Arial" w:cs="Arial"/>
          <w:szCs w:val="24"/>
        </w:rPr>
        <w:t>00</w:t>
      </w:r>
      <w:r w:rsidR="00CC518E" w:rsidRPr="008D1EF2">
        <w:rPr>
          <w:rFonts w:ascii="Arial" w:hAnsi="Arial" w:cs="Arial"/>
          <w:szCs w:val="24"/>
        </w:rPr>
        <w:t xml:space="preserve"> (UK time) on 21 March, a webcast covering the full year results will be available at </w:t>
      </w:r>
      <w:hyperlink r:id="rId9" w:history="1">
        <w:r w:rsidR="00CC518E" w:rsidRPr="008D1EF2">
          <w:rPr>
            <w:rStyle w:val="Hyperlink"/>
            <w:rFonts w:ascii="Arial" w:hAnsi="Arial" w:cs="Arial"/>
            <w:szCs w:val="24"/>
          </w:rPr>
          <w:t>www.kingfisher.com</w:t>
        </w:r>
      </w:hyperlink>
      <w:r w:rsidR="00CC518E" w:rsidRPr="008D1EF2">
        <w:rPr>
          <w:rFonts w:ascii="Arial" w:hAnsi="Arial" w:cs="Arial"/>
          <w:szCs w:val="24"/>
        </w:rPr>
        <w:t xml:space="preserve">. At </w:t>
      </w:r>
      <w:r w:rsidR="00095F8B" w:rsidRPr="0018703F">
        <w:rPr>
          <w:rFonts w:ascii="Arial" w:hAnsi="Arial" w:cs="Arial"/>
          <w:szCs w:val="24"/>
        </w:rPr>
        <w:t>09</w:t>
      </w:r>
      <w:r w:rsidR="00CC518E" w:rsidRPr="008D1EF2">
        <w:rPr>
          <w:rFonts w:ascii="Arial" w:hAnsi="Arial" w:cs="Arial"/>
          <w:szCs w:val="24"/>
        </w:rPr>
        <w:t>.</w:t>
      </w:r>
      <w:r w:rsidR="00095F8B" w:rsidRPr="0018703F">
        <w:rPr>
          <w:rFonts w:ascii="Arial" w:hAnsi="Arial" w:cs="Arial"/>
          <w:szCs w:val="24"/>
        </w:rPr>
        <w:t>3</w:t>
      </w:r>
      <w:r w:rsidR="00CC518E" w:rsidRPr="008D1EF2">
        <w:rPr>
          <w:rFonts w:ascii="Arial" w:hAnsi="Arial" w:cs="Arial"/>
          <w:szCs w:val="24"/>
        </w:rPr>
        <w:t>0</w:t>
      </w:r>
      <w:r w:rsidR="00CC518E">
        <w:rPr>
          <w:rFonts w:ascii="Arial" w:hAnsi="Arial" w:cs="Arial"/>
          <w:szCs w:val="24"/>
        </w:rPr>
        <w:t xml:space="preserve"> (UK time), Kingfisher will host a Q&amp;A conference call </w:t>
      </w:r>
      <w:bookmarkStart w:id="6" w:name="_Hlk493070986"/>
      <w:r w:rsidR="00CC518E">
        <w:rPr>
          <w:rFonts w:ascii="Arial" w:hAnsi="Arial" w:cs="Arial"/>
          <w:szCs w:val="24"/>
        </w:rPr>
        <w:t>for analysts and investors only</w:t>
      </w:r>
      <w:bookmarkEnd w:id="6"/>
      <w:r w:rsidR="00CC518E">
        <w:rPr>
          <w:rFonts w:ascii="Arial" w:hAnsi="Arial" w:cs="Arial"/>
          <w:szCs w:val="24"/>
        </w:rPr>
        <w:t>. To join the call please use the password already sent to you or email investorenquiries@kingfisher.com.</w:t>
      </w:r>
    </w:p>
    <w:p w14:paraId="3312C38E" w14:textId="4233DC95" w:rsidR="004F1839" w:rsidRPr="00F9080F" w:rsidRDefault="004F1839" w:rsidP="00440B16">
      <w:pPr>
        <w:autoSpaceDE w:val="0"/>
        <w:autoSpaceDN w:val="0"/>
        <w:adjustRightInd w:val="0"/>
        <w:jc w:val="left"/>
        <w:rPr>
          <w:rFonts w:ascii="Arial" w:hAnsi="Arial" w:cs="Arial"/>
        </w:rPr>
      </w:pPr>
      <w:r w:rsidRPr="00F9080F">
        <w:rPr>
          <w:rFonts w:ascii="Arial" w:hAnsi="Arial" w:cs="Arial"/>
        </w:rPr>
        <w:t>Kingfisher American Depository Receipts are traded in the US on the OTCQX platform: (OTCQX: KGF</w:t>
      </w:r>
      <w:r w:rsidR="0040721C">
        <w:rPr>
          <w:rFonts w:ascii="Arial" w:hAnsi="Arial" w:cs="Arial"/>
        </w:rPr>
        <w:t>H</w:t>
      </w:r>
      <w:r w:rsidRPr="00F9080F">
        <w:rPr>
          <w:rFonts w:ascii="Arial" w:hAnsi="Arial" w:cs="Arial"/>
        </w:rPr>
        <w:t>Y) http://www.otcmarkets.com/stock/KGF</w:t>
      </w:r>
      <w:r w:rsidR="0040721C">
        <w:rPr>
          <w:rFonts w:ascii="Arial" w:hAnsi="Arial" w:cs="Arial"/>
        </w:rPr>
        <w:t>H</w:t>
      </w:r>
      <w:r w:rsidRPr="00F9080F">
        <w:rPr>
          <w:rFonts w:ascii="Arial" w:hAnsi="Arial" w:cs="Arial"/>
        </w:rPr>
        <w:t>Y/quote</w:t>
      </w:r>
    </w:p>
    <w:p w14:paraId="77A56492" w14:textId="6116AF71" w:rsidR="00181E03" w:rsidRPr="00F9080F" w:rsidRDefault="00E2024A" w:rsidP="007C228C">
      <w:pPr>
        <w:jc w:val="left"/>
        <w:rPr>
          <w:rFonts w:ascii="Arial" w:hAnsi="Arial" w:cs="Arial"/>
        </w:rPr>
      </w:pPr>
      <w:r w:rsidRPr="00F9080F">
        <w:rPr>
          <w:rFonts w:ascii="Arial" w:hAnsi="Arial" w:cs="Arial"/>
        </w:rPr>
        <w:t xml:space="preserve">Our next announcement will be the </w:t>
      </w:r>
      <w:r w:rsidR="00565E59" w:rsidRPr="00F9080F">
        <w:rPr>
          <w:rFonts w:ascii="Arial" w:hAnsi="Arial" w:cs="Arial"/>
        </w:rPr>
        <w:t>Q</w:t>
      </w:r>
      <w:r w:rsidR="00F764D3" w:rsidRPr="00F9080F">
        <w:rPr>
          <w:rFonts w:ascii="Arial" w:hAnsi="Arial" w:cs="Arial"/>
        </w:rPr>
        <w:t>1</w:t>
      </w:r>
      <w:r w:rsidR="00565E59" w:rsidRPr="00F9080F">
        <w:rPr>
          <w:rFonts w:ascii="Arial" w:hAnsi="Arial" w:cs="Arial"/>
        </w:rPr>
        <w:t xml:space="preserve"> </w:t>
      </w:r>
      <w:r w:rsidR="008808D8" w:rsidRPr="00F9080F">
        <w:rPr>
          <w:rFonts w:ascii="Arial" w:hAnsi="Arial" w:cs="Arial"/>
        </w:rPr>
        <w:t xml:space="preserve">trading update </w:t>
      </w:r>
      <w:r w:rsidRPr="00F9080F">
        <w:rPr>
          <w:rFonts w:ascii="Arial" w:hAnsi="Arial" w:cs="Arial"/>
        </w:rPr>
        <w:t xml:space="preserve">for </w:t>
      </w:r>
      <w:r w:rsidR="004F1839" w:rsidRPr="00F9080F">
        <w:rPr>
          <w:rFonts w:ascii="Arial" w:hAnsi="Arial" w:cs="Arial"/>
        </w:rPr>
        <w:t xml:space="preserve">the </w:t>
      </w:r>
      <w:r w:rsidRPr="00F9080F">
        <w:rPr>
          <w:rFonts w:ascii="Arial" w:hAnsi="Arial" w:cs="Arial"/>
        </w:rPr>
        <w:t>period ended</w:t>
      </w:r>
      <w:r w:rsidR="00ED7733" w:rsidRPr="00F9080F">
        <w:rPr>
          <w:rFonts w:ascii="Arial" w:hAnsi="Arial" w:cs="Arial"/>
        </w:rPr>
        <w:t xml:space="preserve"> </w:t>
      </w:r>
      <w:r w:rsidR="002F5458" w:rsidRPr="00F9080F">
        <w:rPr>
          <w:rFonts w:ascii="Arial" w:hAnsi="Arial" w:cs="Arial"/>
        </w:rPr>
        <w:t>3</w:t>
      </w:r>
      <w:r w:rsidR="00F764D3" w:rsidRPr="00F9080F">
        <w:rPr>
          <w:rFonts w:ascii="Arial" w:hAnsi="Arial" w:cs="Arial"/>
        </w:rPr>
        <w:t>0</w:t>
      </w:r>
      <w:r w:rsidR="00565E59" w:rsidRPr="00F9080F">
        <w:rPr>
          <w:rFonts w:ascii="Arial" w:hAnsi="Arial" w:cs="Arial"/>
        </w:rPr>
        <w:t xml:space="preserve"> </w:t>
      </w:r>
      <w:r w:rsidR="00F764D3" w:rsidRPr="00F9080F">
        <w:rPr>
          <w:rFonts w:ascii="Arial" w:hAnsi="Arial" w:cs="Arial"/>
        </w:rPr>
        <w:t>April 201</w:t>
      </w:r>
      <w:r w:rsidR="00D13923">
        <w:rPr>
          <w:rFonts w:ascii="Arial" w:hAnsi="Arial" w:cs="Arial"/>
        </w:rPr>
        <w:t>8</w:t>
      </w:r>
      <w:r w:rsidR="00F764D3" w:rsidRPr="00F9080F">
        <w:rPr>
          <w:rFonts w:ascii="Arial" w:hAnsi="Arial" w:cs="Arial"/>
        </w:rPr>
        <w:t xml:space="preserve"> </w:t>
      </w:r>
      <w:r w:rsidRPr="00F9080F">
        <w:rPr>
          <w:rFonts w:ascii="Arial" w:hAnsi="Arial" w:cs="Arial"/>
        </w:rPr>
        <w:t xml:space="preserve">on </w:t>
      </w:r>
      <w:r w:rsidR="002F5458" w:rsidRPr="00F9080F">
        <w:rPr>
          <w:rFonts w:ascii="Arial" w:hAnsi="Arial" w:cs="Arial"/>
        </w:rPr>
        <w:t>2</w:t>
      </w:r>
      <w:r w:rsidR="00F764D3" w:rsidRPr="00F9080F">
        <w:rPr>
          <w:rFonts w:ascii="Arial" w:hAnsi="Arial" w:cs="Arial"/>
        </w:rPr>
        <w:t>4</w:t>
      </w:r>
      <w:r w:rsidR="002F5458" w:rsidRPr="00F9080F">
        <w:rPr>
          <w:rFonts w:ascii="Arial" w:hAnsi="Arial" w:cs="Arial"/>
        </w:rPr>
        <w:t xml:space="preserve"> </w:t>
      </w:r>
      <w:r w:rsidR="00F764D3" w:rsidRPr="00F9080F">
        <w:rPr>
          <w:rFonts w:ascii="Arial" w:hAnsi="Arial" w:cs="Arial"/>
        </w:rPr>
        <w:t xml:space="preserve">May </w:t>
      </w:r>
      <w:r w:rsidRPr="00F9080F">
        <w:rPr>
          <w:rFonts w:ascii="Arial" w:hAnsi="Arial" w:cs="Arial"/>
        </w:rPr>
        <w:t>201</w:t>
      </w:r>
      <w:r w:rsidR="00290B48">
        <w:rPr>
          <w:rFonts w:ascii="Arial" w:hAnsi="Arial" w:cs="Arial"/>
        </w:rPr>
        <w:t>8</w:t>
      </w:r>
      <w:r w:rsidR="004F1839" w:rsidRPr="00F9080F">
        <w:rPr>
          <w:rFonts w:ascii="Arial" w:hAnsi="Arial" w:cs="Arial"/>
        </w:rPr>
        <w:t xml:space="preserve">. </w:t>
      </w:r>
    </w:p>
    <w:p w14:paraId="1F101E04" w14:textId="77777777" w:rsidR="00025774" w:rsidRPr="00F9080F" w:rsidRDefault="00025774" w:rsidP="007C228C">
      <w:pPr>
        <w:jc w:val="left"/>
        <w:rPr>
          <w:rFonts w:ascii="Arial" w:hAnsi="Arial" w:cs="Arial"/>
        </w:rPr>
      </w:pPr>
    </w:p>
    <w:p w14:paraId="485C455C" w14:textId="77777777" w:rsidR="00CC45F6" w:rsidRPr="007A7452" w:rsidRDefault="00181E03" w:rsidP="00EE1E29">
      <w:pPr>
        <w:jc w:val="left"/>
        <w:rPr>
          <w:rFonts w:ascii="Arial" w:hAnsi="Arial" w:cs="Arial"/>
        </w:rPr>
      </w:pPr>
      <w:r w:rsidRPr="007A7452">
        <w:rPr>
          <w:rFonts w:ascii="Arial" w:hAnsi="Arial" w:cs="Arial"/>
        </w:rPr>
        <w:t xml:space="preserve">The remainder of this release </w:t>
      </w:r>
      <w:r w:rsidR="009B6367" w:rsidRPr="007A7452">
        <w:rPr>
          <w:rFonts w:ascii="Arial" w:hAnsi="Arial" w:cs="Arial"/>
        </w:rPr>
        <w:t xml:space="preserve">is broken down into </w:t>
      </w:r>
      <w:r w:rsidR="004F4BB9" w:rsidRPr="007A7452">
        <w:rPr>
          <w:rFonts w:ascii="Arial" w:hAnsi="Arial" w:cs="Arial"/>
        </w:rPr>
        <w:t xml:space="preserve">six </w:t>
      </w:r>
      <w:r w:rsidRPr="007A7452">
        <w:rPr>
          <w:rFonts w:ascii="Arial" w:hAnsi="Arial" w:cs="Arial"/>
        </w:rPr>
        <w:t>main sections:</w:t>
      </w:r>
    </w:p>
    <w:p w14:paraId="16DDC652" w14:textId="77777777" w:rsidR="00C34F2D" w:rsidRPr="007A7452" w:rsidRDefault="00317387" w:rsidP="004B173A">
      <w:pPr>
        <w:numPr>
          <w:ilvl w:val="0"/>
          <w:numId w:val="1"/>
        </w:numPr>
        <w:ind w:left="360"/>
        <w:jc w:val="left"/>
        <w:rPr>
          <w:rFonts w:ascii="Arial" w:hAnsi="Arial" w:cs="Arial"/>
        </w:rPr>
      </w:pPr>
      <w:r w:rsidRPr="007A7452">
        <w:rPr>
          <w:rFonts w:ascii="Arial" w:hAnsi="Arial" w:cs="Arial"/>
        </w:rPr>
        <w:t>ONE Kingfisher</w:t>
      </w:r>
      <w:r w:rsidR="007D43ED" w:rsidRPr="007A7452">
        <w:rPr>
          <w:rFonts w:ascii="Arial" w:hAnsi="Arial" w:cs="Arial"/>
        </w:rPr>
        <w:t xml:space="preserve"> update</w:t>
      </w:r>
      <w:r w:rsidR="004F1839" w:rsidRPr="007A7452">
        <w:rPr>
          <w:rFonts w:ascii="Arial" w:hAnsi="Arial" w:cs="Arial"/>
        </w:rPr>
        <w:t xml:space="preserve"> </w:t>
      </w:r>
    </w:p>
    <w:p w14:paraId="550E00D8" w14:textId="77777777" w:rsidR="003E3617" w:rsidRPr="007A7452" w:rsidRDefault="0058650E" w:rsidP="004B173A">
      <w:pPr>
        <w:numPr>
          <w:ilvl w:val="0"/>
          <w:numId w:val="1"/>
        </w:numPr>
        <w:ind w:left="360"/>
        <w:jc w:val="left"/>
        <w:rPr>
          <w:rFonts w:ascii="Arial" w:hAnsi="Arial" w:cs="Arial"/>
        </w:rPr>
      </w:pPr>
      <w:r w:rsidRPr="007A7452">
        <w:rPr>
          <w:rFonts w:ascii="Arial" w:hAnsi="Arial" w:cs="Arial"/>
        </w:rPr>
        <w:t>Trading</w:t>
      </w:r>
      <w:r w:rsidR="007B306A" w:rsidRPr="007A7452">
        <w:rPr>
          <w:rFonts w:ascii="Arial" w:hAnsi="Arial" w:cs="Arial"/>
        </w:rPr>
        <w:t xml:space="preserve"> rev</w:t>
      </w:r>
      <w:r w:rsidR="003E3617" w:rsidRPr="007A7452">
        <w:rPr>
          <w:rFonts w:ascii="Arial" w:hAnsi="Arial" w:cs="Arial"/>
        </w:rPr>
        <w:t xml:space="preserve">iew by </w:t>
      </w:r>
      <w:r w:rsidR="00130A12" w:rsidRPr="007A7452">
        <w:rPr>
          <w:rFonts w:ascii="Arial" w:hAnsi="Arial" w:cs="Arial"/>
        </w:rPr>
        <w:t>division</w:t>
      </w:r>
    </w:p>
    <w:p w14:paraId="15433C22" w14:textId="7F80847B" w:rsidR="0030578B" w:rsidRPr="007A7452" w:rsidRDefault="0030578B" w:rsidP="0030578B">
      <w:pPr>
        <w:numPr>
          <w:ilvl w:val="0"/>
          <w:numId w:val="1"/>
        </w:numPr>
        <w:ind w:left="360"/>
        <w:jc w:val="left"/>
        <w:rPr>
          <w:rFonts w:ascii="Arial" w:hAnsi="Arial" w:cs="Arial"/>
        </w:rPr>
      </w:pPr>
      <w:r w:rsidRPr="007A7452">
        <w:rPr>
          <w:rFonts w:ascii="Arial" w:hAnsi="Arial" w:cs="Arial"/>
        </w:rPr>
        <w:t>FY 1</w:t>
      </w:r>
      <w:r w:rsidR="00D13923" w:rsidRPr="007A7452">
        <w:rPr>
          <w:rFonts w:ascii="Arial" w:hAnsi="Arial" w:cs="Arial"/>
        </w:rPr>
        <w:t>8</w:t>
      </w:r>
      <w:r w:rsidR="00F764D3" w:rsidRPr="007A7452">
        <w:rPr>
          <w:rFonts w:ascii="Arial" w:hAnsi="Arial" w:cs="Arial"/>
        </w:rPr>
        <w:t>/1</w:t>
      </w:r>
      <w:r w:rsidR="00D13923" w:rsidRPr="007A7452">
        <w:rPr>
          <w:rFonts w:ascii="Arial" w:hAnsi="Arial" w:cs="Arial"/>
        </w:rPr>
        <w:t>9</w:t>
      </w:r>
      <w:r w:rsidRPr="007A7452">
        <w:rPr>
          <w:rFonts w:ascii="Arial" w:hAnsi="Arial" w:cs="Arial"/>
        </w:rPr>
        <w:t xml:space="preserve"> Technical guidance</w:t>
      </w:r>
    </w:p>
    <w:p w14:paraId="4F6699C6" w14:textId="00674D3C" w:rsidR="003A35D2" w:rsidRPr="007A7452" w:rsidRDefault="00F764D3" w:rsidP="004B173A">
      <w:pPr>
        <w:numPr>
          <w:ilvl w:val="0"/>
          <w:numId w:val="1"/>
        </w:numPr>
        <w:ind w:left="360"/>
        <w:jc w:val="left"/>
        <w:rPr>
          <w:rFonts w:ascii="Arial" w:hAnsi="Arial" w:cs="Arial"/>
          <w:b/>
          <w:bCs/>
        </w:rPr>
      </w:pPr>
      <w:r w:rsidRPr="007A7452">
        <w:rPr>
          <w:rFonts w:ascii="Arial" w:hAnsi="Arial" w:cs="Arial"/>
        </w:rPr>
        <w:t>F</w:t>
      </w:r>
      <w:r w:rsidR="00931630" w:rsidRPr="007A7452">
        <w:rPr>
          <w:rFonts w:ascii="Arial" w:hAnsi="Arial" w:cs="Arial"/>
        </w:rPr>
        <w:t xml:space="preserve">Y </w:t>
      </w:r>
      <w:r w:rsidR="006B02CB" w:rsidRPr="007A7452">
        <w:rPr>
          <w:rFonts w:ascii="Arial" w:hAnsi="Arial" w:cs="Arial"/>
        </w:rPr>
        <w:t>1</w:t>
      </w:r>
      <w:r w:rsidR="00D13923" w:rsidRPr="007A7452">
        <w:rPr>
          <w:rFonts w:ascii="Arial" w:hAnsi="Arial" w:cs="Arial"/>
        </w:rPr>
        <w:t>7</w:t>
      </w:r>
      <w:r w:rsidR="00931630" w:rsidRPr="007A7452">
        <w:rPr>
          <w:rFonts w:ascii="Arial" w:hAnsi="Arial" w:cs="Arial"/>
        </w:rPr>
        <w:t>/1</w:t>
      </w:r>
      <w:r w:rsidR="00D13923" w:rsidRPr="007A7452">
        <w:rPr>
          <w:rFonts w:ascii="Arial" w:hAnsi="Arial" w:cs="Arial"/>
        </w:rPr>
        <w:t>8</w:t>
      </w:r>
      <w:r w:rsidR="006B02CB" w:rsidRPr="007A7452">
        <w:rPr>
          <w:rFonts w:ascii="Arial" w:hAnsi="Arial" w:cs="Arial"/>
        </w:rPr>
        <w:t xml:space="preserve"> </w:t>
      </w:r>
      <w:r w:rsidR="003A35D2" w:rsidRPr="007A7452">
        <w:rPr>
          <w:rFonts w:ascii="Arial" w:hAnsi="Arial" w:cs="Arial"/>
        </w:rPr>
        <w:t xml:space="preserve">Financial </w:t>
      </w:r>
      <w:r w:rsidR="007341CC" w:rsidRPr="007A7452">
        <w:rPr>
          <w:rFonts w:ascii="Arial" w:hAnsi="Arial" w:cs="Arial"/>
        </w:rPr>
        <w:t>r</w:t>
      </w:r>
      <w:r w:rsidR="003A35D2" w:rsidRPr="007A7452">
        <w:rPr>
          <w:rFonts w:ascii="Arial" w:hAnsi="Arial" w:cs="Arial"/>
        </w:rPr>
        <w:t xml:space="preserve">eview and, in part 2 of this </w:t>
      </w:r>
      <w:r w:rsidR="0058650E" w:rsidRPr="007A7452">
        <w:rPr>
          <w:rFonts w:ascii="Arial" w:hAnsi="Arial" w:cs="Arial"/>
        </w:rPr>
        <w:t>announcement</w:t>
      </w:r>
      <w:r w:rsidR="003A35D2" w:rsidRPr="007A7452">
        <w:rPr>
          <w:rFonts w:ascii="Arial" w:hAnsi="Arial" w:cs="Arial"/>
        </w:rPr>
        <w:t>, the</w:t>
      </w:r>
      <w:r w:rsidR="007D43ED" w:rsidRPr="007A7452">
        <w:rPr>
          <w:rFonts w:ascii="Arial" w:hAnsi="Arial" w:cs="Arial"/>
        </w:rPr>
        <w:t xml:space="preserve"> </w:t>
      </w:r>
      <w:r w:rsidRPr="007A7452">
        <w:rPr>
          <w:rFonts w:ascii="Arial" w:hAnsi="Arial" w:cs="Arial"/>
        </w:rPr>
        <w:t xml:space="preserve">full </w:t>
      </w:r>
      <w:r w:rsidR="007A5E76" w:rsidRPr="007A7452">
        <w:rPr>
          <w:rFonts w:ascii="Arial" w:hAnsi="Arial" w:cs="Arial"/>
        </w:rPr>
        <w:t xml:space="preserve">year </w:t>
      </w:r>
      <w:r w:rsidR="003A35D2" w:rsidRPr="007A7452">
        <w:rPr>
          <w:rFonts w:ascii="Arial" w:hAnsi="Arial" w:cs="Arial"/>
        </w:rPr>
        <w:t>Financial Statements</w:t>
      </w:r>
    </w:p>
    <w:p w14:paraId="2E262E54" w14:textId="77777777" w:rsidR="008B440F" w:rsidRPr="007A7452" w:rsidRDefault="008B440F" w:rsidP="0047127B">
      <w:pPr>
        <w:numPr>
          <w:ilvl w:val="0"/>
          <w:numId w:val="1"/>
        </w:numPr>
        <w:ind w:left="360"/>
        <w:jc w:val="left"/>
        <w:rPr>
          <w:rFonts w:ascii="Arial" w:hAnsi="Arial" w:cs="Arial"/>
        </w:rPr>
      </w:pPr>
      <w:r w:rsidRPr="007A7452">
        <w:rPr>
          <w:rFonts w:ascii="Arial" w:hAnsi="Arial" w:cs="Arial"/>
        </w:rPr>
        <w:t>Glossary</w:t>
      </w:r>
    </w:p>
    <w:p w14:paraId="7347F803" w14:textId="3C35C39C" w:rsidR="00DA4C33" w:rsidRPr="009429FF" w:rsidRDefault="00F865E8" w:rsidP="001908E1">
      <w:pPr>
        <w:numPr>
          <w:ilvl w:val="0"/>
          <w:numId w:val="1"/>
        </w:numPr>
        <w:ind w:left="360"/>
        <w:jc w:val="left"/>
        <w:rPr>
          <w:rFonts w:ascii="Arial" w:hAnsi="Arial" w:cs="Arial"/>
          <w:b/>
          <w:sz w:val="24"/>
          <w:szCs w:val="24"/>
        </w:rPr>
      </w:pPr>
      <w:r w:rsidRPr="007A7452">
        <w:rPr>
          <w:rFonts w:ascii="Arial" w:hAnsi="Arial" w:cs="Arial"/>
        </w:rPr>
        <w:t>Forward-looking statements</w:t>
      </w:r>
    </w:p>
    <w:p w14:paraId="64F8453C" w14:textId="77777777" w:rsidR="000669CD" w:rsidRDefault="000669CD" w:rsidP="003E3617">
      <w:pPr>
        <w:jc w:val="left"/>
        <w:rPr>
          <w:rFonts w:ascii="Arial" w:hAnsi="Arial" w:cs="Arial"/>
          <w:b/>
        </w:rPr>
      </w:pPr>
    </w:p>
    <w:p w14:paraId="193150FB" w14:textId="149E1899" w:rsidR="008C7E4A" w:rsidRDefault="008C7E4A" w:rsidP="003E3617">
      <w:pPr>
        <w:jc w:val="left"/>
        <w:rPr>
          <w:rFonts w:ascii="Arial" w:hAnsi="Arial" w:cs="Arial"/>
          <w:b/>
        </w:rPr>
      </w:pPr>
    </w:p>
    <w:p w14:paraId="10225CBC" w14:textId="77777777" w:rsidR="00DC7A1C" w:rsidRDefault="00DC7A1C" w:rsidP="003E3617">
      <w:pPr>
        <w:jc w:val="left"/>
        <w:rPr>
          <w:rFonts w:ascii="Arial" w:hAnsi="Arial" w:cs="Arial"/>
          <w:b/>
        </w:rPr>
      </w:pPr>
    </w:p>
    <w:p w14:paraId="19767FD7" w14:textId="733A2884" w:rsidR="003E3617" w:rsidRPr="00945E62" w:rsidRDefault="005C6733" w:rsidP="003E3617">
      <w:pPr>
        <w:jc w:val="left"/>
        <w:rPr>
          <w:rFonts w:ascii="Arial" w:hAnsi="Arial" w:cs="Arial"/>
          <w:b/>
        </w:rPr>
      </w:pPr>
      <w:r w:rsidRPr="00945E62">
        <w:rPr>
          <w:rFonts w:ascii="Arial" w:hAnsi="Arial" w:cs="Arial"/>
          <w:b/>
        </w:rPr>
        <w:t>S</w:t>
      </w:r>
      <w:r w:rsidR="003E3617" w:rsidRPr="00945E62">
        <w:rPr>
          <w:rFonts w:ascii="Arial" w:hAnsi="Arial" w:cs="Arial"/>
          <w:b/>
        </w:rPr>
        <w:t>ection 1</w:t>
      </w:r>
      <w:r w:rsidR="00376255" w:rsidRPr="00945E62">
        <w:rPr>
          <w:rFonts w:ascii="Arial" w:hAnsi="Arial" w:cs="Arial"/>
          <w:b/>
        </w:rPr>
        <w:t xml:space="preserve">: </w:t>
      </w:r>
      <w:r w:rsidR="00D7499F" w:rsidRPr="00945E62">
        <w:rPr>
          <w:rFonts w:ascii="Arial" w:hAnsi="Arial" w:cs="Arial"/>
          <w:b/>
        </w:rPr>
        <w:t xml:space="preserve">ONE Kingfisher </w:t>
      </w:r>
      <w:r w:rsidR="007D43ED" w:rsidRPr="00945E62">
        <w:rPr>
          <w:rFonts w:ascii="Arial" w:hAnsi="Arial" w:cs="Arial"/>
          <w:b/>
        </w:rPr>
        <w:t xml:space="preserve">update </w:t>
      </w:r>
    </w:p>
    <w:p w14:paraId="721307AF" w14:textId="77777777" w:rsidR="00593A8E" w:rsidRPr="00945E62" w:rsidRDefault="00593A8E" w:rsidP="006C2C39">
      <w:pPr>
        <w:jc w:val="left"/>
      </w:pPr>
    </w:p>
    <w:p w14:paraId="3FD0E858" w14:textId="010B5F74" w:rsidR="00CC518E" w:rsidRPr="00945E62" w:rsidRDefault="00CC518E" w:rsidP="00CC518E">
      <w:pPr>
        <w:jc w:val="left"/>
        <w:rPr>
          <w:rFonts w:ascii="Arial" w:hAnsi="Arial" w:cs="Arial"/>
        </w:rPr>
      </w:pPr>
      <w:r w:rsidRPr="00945E62">
        <w:rPr>
          <w:rFonts w:ascii="Arial" w:hAnsi="Arial" w:cs="Arial"/>
        </w:rPr>
        <w:t>The ONE Kingfisher five</w:t>
      </w:r>
      <w:r w:rsidR="002374D7">
        <w:rPr>
          <w:rFonts w:ascii="Arial" w:hAnsi="Arial" w:cs="Arial"/>
        </w:rPr>
        <w:t>-</w:t>
      </w:r>
      <w:r w:rsidRPr="00945E62">
        <w:rPr>
          <w:rFonts w:ascii="Arial" w:hAnsi="Arial" w:cs="Arial"/>
        </w:rPr>
        <w:t>year plan, which started in FY 16</w:t>
      </w:r>
      <w:r w:rsidRPr="0060348F">
        <w:rPr>
          <w:rFonts w:ascii="Arial" w:hAnsi="Arial" w:cs="Arial"/>
        </w:rPr>
        <w:t xml:space="preserve">/17, is </w:t>
      </w:r>
      <w:r w:rsidRPr="00522D61">
        <w:rPr>
          <w:rFonts w:ascii="Arial" w:hAnsi="Arial" w:cs="Arial"/>
        </w:rPr>
        <w:t>starting to</w:t>
      </w:r>
      <w:r w:rsidRPr="0060348F">
        <w:rPr>
          <w:rFonts w:ascii="Arial" w:hAnsi="Arial" w:cs="Arial"/>
        </w:rPr>
        <w:t xml:space="preserve"> leverage</w:t>
      </w:r>
      <w:r w:rsidRPr="00945E62">
        <w:rPr>
          <w:rFonts w:ascii="Arial" w:hAnsi="Arial" w:cs="Arial"/>
        </w:rPr>
        <w:t xml:space="preserve"> the scale of the business by creating a unified company, where customer needs always come first. </w:t>
      </w:r>
    </w:p>
    <w:p w14:paraId="4C6E5ED8" w14:textId="77777777" w:rsidR="00CC518E" w:rsidRPr="00945E62" w:rsidRDefault="00CC518E" w:rsidP="00CC518E">
      <w:pPr>
        <w:jc w:val="left"/>
        <w:rPr>
          <w:rFonts w:ascii="Arial" w:hAnsi="Arial" w:cs="Arial"/>
        </w:rPr>
      </w:pPr>
    </w:p>
    <w:p w14:paraId="41396D5E" w14:textId="0385DF7B" w:rsidR="00CC518E" w:rsidRPr="00945E62" w:rsidRDefault="00CC518E" w:rsidP="00CC518E">
      <w:pPr>
        <w:jc w:val="left"/>
        <w:rPr>
          <w:rFonts w:ascii="Arial" w:hAnsi="Arial" w:cs="Arial"/>
        </w:rPr>
      </w:pPr>
      <w:r w:rsidRPr="00945E62">
        <w:rPr>
          <w:rFonts w:ascii="Arial" w:hAnsi="Arial" w:cs="Arial"/>
        </w:rPr>
        <w:t>Our intention is that this five</w:t>
      </w:r>
      <w:r w:rsidR="002374D7">
        <w:rPr>
          <w:rFonts w:ascii="Arial" w:hAnsi="Arial" w:cs="Arial"/>
        </w:rPr>
        <w:t>-</w:t>
      </w:r>
      <w:r w:rsidRPr="00945E62">
        <w:rPr>
          <w:rFonts w:ascii="Arial" w:hAnsi="Arial" w:cs="Arial"/>
        </w:rPr>
        <w:t>year transformation plan will deliver a £500m</w:t>
      </w:r>
      <w:r w:rsidRPr="00945E62">
        <w:rPr>
          <w:rFonts w:ascii="Arial" w:hAnsi="Arial" w:cs="Arial"/>
          <w:b/>
        </w:rPr>
        <w:t xml:space="preserve"> </w:t>
      </w:r>
      <w:r w:rsidRPr="00945E62">
        <w:rPr>
          <w:rFonts w:ascii="Arial" w:hAnsi="Arial" w:cs="Arial"/>
        </w:rPr>
        <w:t xml:space="preserve">sustainable annual profit uplift by the end of FY 20/21, </w:t>
      </w:r>
      <w:bookmarkStart w:id="7" w:name="_Hlk508028375"/>
      <w:r w:rsidRPr="00945E62">
        <w:rPr>
          <w:rFonts w:ascii="Arial" w:hAnsi="Arial" w:cs="Arial"/>
        </w:rPr>
        <w:t xml:space="preserve">over and above </w:t>
      </w:r>
      <w:r w:rsidR="002374D7">
        <w:rPr>
          <w:rFonts w:ascii="Arial" w:hAnsi="Arial" w:cs="Arial"/>
        </w:rPr>
        <w:t>what the business would have delivered without the plan</w:t>
      </w:r>
      <w:bookmarkEnd w:id="7"/>
      <w:r w:rsidR="002374D7">
        <w:rPr>
          <w:rFonts w:ascii="Arial" w:hAnsi="Arial" w:cs="Arial"/>
        </w:rPr>
        <w:t xml:space="preserve">. </w:t>
      </w:r>
      <w:r w:rsidRPr="00945E62">
        <w:rPr>
          <w:rFonts w:ascii="Arial" w:hAnsi="Arial" w:cs="Arial"/>
        </w:rPr>
        <w:t>Until we have unified our customer offer, we will have limited</w:t>
      </w:r>
      <w:r w:rsidR="00491EAB">
        <w:rPr>
          <w:rFonts w:ascii="Arial" w:hAnsi="Arial" w:cs="Arial"/>
        </w:rPr>
        <w:t xml:space="preserve"> store</w:t>
      </w:r>
      <w:r w:rsidRPr="00945E62">
        <w:rPr>
          <w:rFonts w:ascii="Arial" w:hAnsi="Arial" w:cs="Arial"/>
        </w:rPr>
        <w:t xml:space="preserve"> expansion, the focus of which will be Screwfix UK</w:t>
      </w:r>
      <w:r w:rsidR="006D728D">
        <w:rPr>
          <w:rFonts w:ascii="Arial" w:hAnsi="Arial" w:cs="Arial"/>
        </w:rPr>
        <w:t xml:space="preserve"> </w:t>
      </w:r>
      <w:r w:rsidRPr="00945E62">
        <w:rPr>
          <w:rFonts w:ascii="Arial" w:hAnsi="Arial" w:cs="Arial"/>
        </w:rPr>
        <w:t xml:space="preserve">in the medium-term. The total expected cash cost of the transformation is £800m (P&amp;L, exceptional and capex). </w:t>
      </w:r>
    </w:p>
    <w:p w14:paraId="53259460" w14:textId="77777777" w:rsidR="00CC518E" w:rsidRPr="00945E62" w:rsidRDefault="00CC518E" w:rsidP="00CC518E">
      <w:pPr>
        <w:jc w:val="left"/>
        <w:rPr>
          <w:rFonts w:ascii="Arial" w:hAnsi="Arial" w:cs="Arial"/>
          <w:highlight w:val="yellow"/>
        </w:rPr>
      </w:pPr>
    </w:p>
    <w:p w14:paraId="63BA0FEC" w14:textId="77777777" w:rsidR="00CC518E" w:rsidRPr="00945E62" w:rsidRDefault="00CC518E" w:rsidP="00CC518E">
      <w:pPr>
        <w:jc w:val="left"/>
        <w:rPr>
          <w:rFonts w:ascii="Arial" w:hAnsi="Arial" w:cs="Arial"/>
        </w:rPr>
      </w:pPr>
      <w:r w:rsidRPr="00945E62">
        <w:rPr>
          <w:rFonts w:ascii="Arial" w:hAnsi="Arial" w:cs="Arial"/>
        </w:rPr>
        <w:t xml:space="preserve">The focus of the transformation plan is on three key strategic pillars: </w:t>
      </w:r>
    </w:p>
    <w:p w14:paraId="7401C3E5" w14:textId="77777777" w:rsidR="00CC518E" w:rsidRPr="00945E62" w:rsidRDefault="00CC518E" w:rsidP="00CC518E">
      <w:pPr>
        <w:numPr>
          <w:ilvl w:val="0"/>
          <w:numId w:val="12"/>
        </w:numPr>
        <w:jc w:val="left"/>
        <w:rPr>
          <w:rFonts w:ascii="Arial" w:hAnsi="Arial" w:cs="Arial"/>
        </w:rPr>
      </w:pPr>
      <w:r w:rsidRPr="00945E62">
        <w:rPr>
          <w:rFonts w:ascii="Arial" w:hAnsi="Arial" w:cs="Arial"/>
        </w:rPr>
        <w:t xml:space="preserve">creating a unified, unique and leading home improvement offer; </w:t>
      </w:r>
    </w:p>
    <w:p w14:paraId="02C52F5E" w14:textId="77777777" w:rsidR="00CC518E" w:rsidRPr="00945E62" w:rsidRDefault="00CC518E" w:rsidP="00CC518E">
      <w:pPr>
        <w:numPr>
          <w:ilvl w:val="0"/>
          <w:numId w:val="12"/>
        </w:numPr>
        <w:jc w:val="left"/>
        <w:rPr>
          <w:rFonts w:ascii="Arial" w:hAnsi="Arial" w:cs="Arial"/>
        </w:rPr>
      </w:pPr>
      <w:r w:rsidRPr="00945E62">
        <w:rPr>
          <w:rFonts w:ascii="Arial" w:hAnsi="Arial" w:cs="Arial"/>
        </w:rPr>
        <w:t xml:space="preserve">driving our digital capability; and </w:t>
      </w:r>
    </w:p>
    <w:p w14:paraId="61B6D056" w14:textId="77777777" w:rsidR="00CC518E" w:rsidRPr="00945E62" w:rsidRDefault="00CC518E" w:rsidP="00CC518E">
      <w:pPr>
        <w:numPr>
          <w:ilvl w:val="0"/>
          <w:numId w:val="12"/>
        </w:numPr>
        <w:jc w:val="left"/>
        <w:rPr>
          <w:rFonts w:ascii="Arial" w:hAnsi="Arial" w:cs="Arial"/>
        </w:rPr>
      </w:pPr>
      <w:r w:rsidRPr="00945E62">
        <w:rPr>
          <w:rFonts w:ascii="Arial" w:hAnsi="Arial" w:cs="Arial"/>
        </w:rPr>
        <w:t xml:space="preserve">optimising our operational efficiency. </w:t>
      </w:r>
    </w:p>
    <w:p w14:paraId="22638948" w14:textId="77777777" w:rsidR="004752D0" w:rsidRPr="00FC41B5" w:rsidRDefault="004752D0" w:rsidP="000F07BB">
      <w:pPr>
        <w:jc w:val="left"/>
        <w:rPr>
          <w:rFonts w:ascii="Arial" w:hAnsi="Arial" w:cs="Arial"/>
          <w:highlight w:val="yellow"/>
        </w:rPr>
      </w:pPr>
    </w:p>
    <w:p w14:paraId="1E468D0A" w14:textId="781E9212" w:rsidR="00CC518E" w:rsidRDefault="00CC518E" w:rsidP="00CC518E">
      <w:pPr>
        <w:jc w:val="left"/>
        <w:rPr>
          <w:rFonts w:ascii="Arial" w:hAnsi="Arial" w:cs="Arial"/>
          <w:b/>
        </w:rPr>
      </w:pPr>
      <w:r w:rsidRPr="00FE4EBA">
        <w:rPr>
          <w:rFonts w:ascii="Arial" w:hAnsi="Arial" w:cs="Arial"/>
          <w:b/>
          <w:bCs/>
        </w:rPr>
        <w:t>Progress against our three key strategic pillars</w:t>
      </w:r>
      <w:r w:rsidRPr="00FE4EBA">
        <w:rPr>
          <w:rFonts w:ascii="Arial" w:hAnsi="Arial" w:cs="Arial"/>
          <w:b/>
        </w:rPr>
        <w:t xml:space="preserve"> </w:t>
      </w:r>
    </w:p>
    <w:p w14:paraId="47D6B194" w14:textId="12674A1E" w:rsidR="003A1476" w:rsidRDefault="003A1476" w:rsidP="00CC518E">
      <w:pPr>
        <w:jc w:val="left"/>
        <w:rPr>
          <w:rFonts w:ascii="Arial" w:hAnsi="Arial" w:cs="Arial"/>
          <w:b/>
        </w:rPr>
      </w:pPr>
    </w:p>
    <w:p w14:paraId="1F932217" w14:textId="7362ECFC" w:rsidR="003A1476" w:rsidRPr="001908E1" w:rsidRDefault="003A1476" w:rsidP="001908E1">
      <w:pPr>
        <w:pStyle w:val="ListParagraph"/>
        <w:numPr>
          <w:ilvl w:val="0"/>
          <w:numId w:val="59"/>
        </w:numPr>
        <w:jc w:val="left"/>
        <w:rPr>
          <w:rFonts w:ascii="Arial" w:hAnsi="Arial" w:cs="Arial"/>
          <w:b/>
          <w:u w:val="single"/>
        </w:rPr>
      </w:pPr>
      <w:bookmarkStart w:id="8" w:name="_Hlk508115591"/>
      <w:bookmarkStart w:id="9" w:name="_Hlk508101360"/>
      <w:r w:rsidRPr="001908E1">
        <w:rPr>
          <w:rFonts w:ascii="Arial" w:hAnsi="Arial" w:cs="Arial"/>
          <w:b/>
          <w:u w:val="single"/>
        </w:rPr>
        <w:t>Unified &amp; unique offer</w:t>
      </w:r>
    </w:p>
    <w:p w14:paraId="352A6274" w14:textId="46D4059A" w:rsidR="003A1476" w:rsidRDefault="003A1476">
      <w:pPr>
        <w:jc w:val="left"/>
        <w:rPr>
          <w:rFonts w:ascii="Arial" w:hAnsi="Arial" w:cs="Arial"/>
          <w:u w:val="single"/>
        </w:rPr>
      </w:pPr>
    </w:p>
    <w:p w14:paraId="31888B13" w14:textId="10BB85A8" w:rsidR="003A1476" w:rsidRPr="00C66741" w:rsidRDefault="003A1476" w:rsidP="003A1476">
      <w:pPr>
        <w:jc w:val="left"/>
        <w:rPr>
          <w:rFonts w:ascii="Arial" w:hAnsi="Arial" w:cs="Arial"/>
        </w:rPr>
      </w:pPr>
      <w:r w:rsidRPr="00C66741">
        <w:rPr>
          <w:rFonts w:ascii="Arial" w:hAnsi="Arial" w:cs="Arial"/>
        </w:rPr>
        <w:t xml:space="preserve">We are unifying our offer, with the same products, </w:t>
      </w:r>
      <w:r w:rsidR="002374D7">
        <w:rPr>
          <w:rFonts w:ascii="Arial" w:hAnsi="Arial" w:cs="Arial"/>
        </w:rPr>
        <w:t>available</w:t>
      </w:r>
      <w:r w:rsidRPr="00C66741">
        <w:rPr>
          <w:rFonts w:ascii="Arial" w:hAnsi="Arial" w:cs="Arial"/>
        </w:rPr>
        <w:t xml:space="preserve"> everywhere. This will deliver significant customer benefits (newer products, higher quality, better sustainability, lower prices, simpler ranges, clearer merchandising and better packaging) alongside significant business benefits (higher sales, fewer SKUs*, fewer suppliers, cost price reduction (CPR) and improved processes).</w:t>
      </w:r>
    </w:p>
    <w:p w14:paraId="5E4C1D96" w14:textId="580E1D87" w:rsidR="003A1476" w:rsidRDefault="003A1476" w:rsidP="003A1476">
      <w:pPr>
        <w:jc w:val="left"/>
        <w:rPr>
          <w:rFonts w:ascii="Arial" w:hAnsi="Arial" w:cs="Arial"/>
        </w:rPr>
      </w:pPr>
    </w:p>
    <w:p w14:paraId="18D5DEC6" w14:textId="6132D349" w:rsidR="00854C6A" w:rsidRDefault="00C53CB0" w:rsidP="00E36C56">
      <w:pPr>
        <w:jc w:val="left"/>
        <w:rPr>
          <w:rFonts w:ascii="Arial" w:hAnsi="Arial" w:cs="Arial"/>
          <w:b/>
        </w:rPr>
      </w:pPr>
      <w:r w:rsidRPr="00C53CB0">
        <w:rPr>
          <w:rFonts w:ascii="Arial" w:hAnsi="Arial" w:cs="Arial"/>
          <w:b/>
        </w:rPr>
        <w:t xml:space="preserve">Unifying </w:t>
      </w:r>
      <w:r w:rsidRPr="00D978CF">
        <w:rPr>
          <w:rFonts w:ascii="Arial" w:hAnsi="Arial" w:cs="Arial"/>
        </w:rPr>
        <w:t>ranges means rationalising the number of global SKUs and suppliers whilst improving the quality and functionality for our customers and leveraging our scale. This generates cost price reduction and better prices for customers. Products are unified across the whole range</w:t>
      </w:r>
      <w:r w:rsidR="00FE7892">
        <w:rPr>
          <w:rFonts w:ascii="Arial" w:hAnsi="Arial" w:cs="Arial"/>
        </w:rPr>
        <w:t>;</w:t>
      </w:r>
      <w:r w:rsidRPr="00D978CF">
        <w:rPr>
          <w:rFonts w:ascii="Arial" w:hAnsi="Arial" w:cs="Arial"/>
        </w:rPr>
        <w:t xml:space="preserve"> from selling the same product in all our markets to having some customer driven market adaptions where needed. Unified extends to our own exclusive brands alongside international and national brands.</w:t>
      </w:r>
    </w:p>
    <w:p w14:paraId="52A02173" w14:textId="77777777" w:rsidR="00C53CB0" w:rsidRPr="00D978CF" w:rsidRDefault="00C53CB0" w:rsidP="00E36C56">
      <w:pPr>
        <w:jc w:val="left"/>
        <w:rPr>
          <w:rFonts w:ascii="Arial" w:hAnsi="Arial" w:cs="Arial"/>
          <w:highlight w:val="yellow"/>
        </w:rPr>
      </w:pPr>
    </w:p>
    <w:p w14:paraId="2E9FA32D" w14:textId="228BE464" w:rsidR="00F750B6" w:rsidRPr="00F750B6" w:rsidRDefault="00F750B6" w:rsidP="00F750B6">
      <w:pPr>
        <w:jc w:val="left"/>
        <w:rPr>
          <w:rFonts w:ascii="Arial" w:hAnsi="Arial" w:cs="Arial"/>
          <w:b/>
        </w:rPr>
      </w:pPr>
      <w:r w:rsidRPr="00F750B6">
        <w:rPr>
          <w:rFonts w:ascii="Arial" w:hAnsi="Arial" w:cs="Arial"/>
          <w:b/>
        </w:rPr>
        <w:t xml:space="preserve">Unique </w:t>
      </w:r>
      <w:r w:rsidRPr="00D978CF">
        <w:rPr>
          <w:rFonts w:ascii="Arial" w:hAnsi="Arial" w:cs="Arial"/>
        </w:rPr>
        <w:t>ranges relate to the develop</w:t>
      </w:r>
      <w:r>
        <w:rPr>
          <w:rFonts w:ascii="Arial" w:hAnsi="Arial" w:cs="Arial"/>
        </w:rPr>
        <w:t>ment</w:t>
      </w:r>
      <w:r w:rsidRPr="00D978CF">
        <w:rPr>
          <w:rFonts w:ascii="Arial" w:hAnsi="Arial" w:cs="Arial"/>
        </w:rPr>
        <w:t xml:space="preserve"> of our own product ranges that excite customers. These ranges are not available elsewhere and are always sold under our own exclusive brands. Instead of buying products off the shelf from suppliers, we are designing the ranges ourselves based on our deep customer insights.</w:t>
      </w:r>
    </w:p>
    <w:bookmarkEnd w:id="8"/>
    <w:p w14:paraId="15D91AF1" w14:textId="77777777" w:rsidR="00E36C56" w:rsidRDefault="00E36C56" w:rsidP="003A1476">
      <w:pPr>
        <w:jc w:val="left"/>
        <w:rPr>
          <w:rFonts w:ascii="Arial" w:hAnsi="Arial" w:cs="Arial"/>
        </w:rPr>
      </w:pPr>
    </w:p>
    <w:bookmarkEnd w:id="9"/>
    <w:p w14:paraId="2917DA7C" w14:textId="7A1BC172" w:rsidR="003A1476" w:rsidRPr="00C66741" w:rsidRDefault="003A1476" w:rsidP="003A1476">
      <w:pPr>
        <w:jc w:val="left"/>
        <w:rPr>
          <w:rFonts w:ascii="Arial" w:hAnsi="Arial" w:cs="Arial"/>
        </w:rPr>
      </w:pPr>
      <w:r w:rsidRPr="00C66741">
        <w:rPr>
          <w:rFonts w:ascii="Arial" w:hAnsi="Arial" w:cs="Arial"/>
        </w:rPr>
        <w:t>FY 17/18 strategic milestone:</w:t>
      </w:r>
    </w:p>
    <w:p w14:paraId="13259C78" w14:textId="77777777" w:rsidR="003A1476" w:rsidRPr="00C66741" w:rsidRDefault="003A1476" w:rsidP="003A1476">
      <w:pPr>
        <w:jc w:val="left"/>
        <w:rPr>
          <w:rFonts w:ascii="Arial" w:hAnsi="Arial" w:cs="Arial"/>
          <w:i/>
        </w:rPr>
      </w:pPr>
    </w:p>
    <w:p w14:paraId="24F05DC5" w14:textId="70B883B7" w:rsidR="003A1476" w:rsidRPr="00C66741" w:rsidRDefault="006A63A4" w:rsidP="003A1476">
      <w:pPr>
        <w:pStyle w:val="ListParagraph"/>
        <w:numPr>
          <w:ilvl w:val="0"/>
          <w:numId w:val="9"/>
        </w:numPr>
        <w:jc w:val="left"/>
        <w:rPr>
          <w:rFonts w:ascii="Arial" w:hAnsi="Arial" w:cs="Arial"/>
          <w:i/>
        </w:rPr>
      </w:pPr>
      <w:r>
        <w:rPr>
          <w:rFonts w:ascii="Arial" w:hAnsi="Arial" w:cs="Arial"/>
          <w:i/>
        </w:rPr>
        <w:t>Unify</w:t>
      </w:r>
      <w:r w:rsidR="003A1476" w:rsidRPr="00C66741">
        <w:rPr>
          <w:rFonts w:ascii="Arial" w:hAnsi="Arial" w:cs="Arial"/>
          <w:i/>
        </w:rPr>
        <w:t xml:space="preserve"> 20% </w:t>
      </w:r>
      <w:r>
        <w:rPr>
          <w:rFonts w:ascii="Arial" w:hAnsi="Arial" w:cs="Arial"/>
          <w:i/>
        </w:rPr>
        <w:t xml:space="preserve">of </w:t>
      </w:r>
      <w:r w:rsidR="002E0500">
        <w:rPr>
          <w:rFonts w:ascii="Arial" w:hAnsi="Arial" w:cs="Arial"/>
          <w:i/>
        </w:rPr>
        <w:t>product (</w:t>
      </w:r>
      <w:r w:rsidR="003A1476" w:rsidRPr="00C66741">
        <w:rPr>
          <w:rFonts w:ascii="Arial" w:hAnsi="Arial" w:cs="Arial"/>
          <w:i/>
        </w:rPr>
        <w:t>cost of goods sold (COGS)</w:t>
      </w:r>
      <w:r w:rsidR="002E0500">
        <w:rPr>
          <w:rFonts w:ascii="Arial" w:hAnsi="Arial" w:cs="Arial"/>
          <w:i/>
        </w:rPr>
        <w:t>)</w:t>
      </w:r>
    </w:p>
    <w:p w14:paraId="344A0E8E" w14:textId="77777777" w:rsidR="003A1476" w:rsidRPr="00C66741" w:rsidRDefault="003A1476" w:rsidP="003A1476">
      <w:pPr>
        <w:pStyle w:val="ListParagraph"/>
        <w:jc w:val="left"/>
        <w:rPr>
          <w:rFonts w:ascii="Arial" w:hAnsi="Arial" w:cs="Arial"/>
          <w:i/>
          <w:highlight w:val="yellow"/>
        </w:rPr>
      </w:pPr>
    </w:p>
    <w:p w14:paraId="181D3C13" w14:textId="2367F1CD" w:rsidR="003A1476" w:rsidRPr="00C66741" w:rsidRDefault="002E0500" w:rsidP="003A1476">
      <w:pPr>
        <w:jc w:val="left"/>
        <w:rPr>
          <w:rFonts w:ascii="Arial" w:hAnsi="Arial" w:cs="Arial"/>
        </w:rPr>
      </w:pPr>
      <w:r>
        <w:rPr>
          <w:rFonts w:ascii="Arial" w:hAnsi="Arial" w:cs="Arial"/>
        </w:rPr>
        <w:t xml:space="preserve">23% of product </w:t>
      </w:r>
      <w:r w:rsidR="00E564E1">
        <w:rPr>
          <w:rFonts w:ascii="Arial" w:hAnsi="Arial" w:cs="Arial"/>
        </w:rPr>
        <w:t xml:space="preserve">have </w:t>
      </w:r>
      <w:r>
        <w:rPr>
          <w:rFonts w:ascii="Arial" w:hAnsi="Arial" w:cs="Arial"/>
        </w:rPr>
        <w:t xml:space="preserve">now </w:t>
      </w:r>
      <w:r w:rsidR="00E564E1">
        <w:rPr>
          <w:rFonts w:ascii="Arial" w:hAnsi="Arial" w:cs="Arial"/>
        </w:rPr>
        <w:t xml:space="preserve">been </w:t>
      </w:r>
      <w:r>
        <w:rPr>
          <w:rFonts w:ascii="Arial" w:hAnsi="Arial" w:cs="Arial"/>
        </w:rPr>
        <w:t>unified (</w:t>
      </w:r>
      <w:r w:rsidR="00E564E1">
        <w:rPr>
          <w:rFonts w:ascii="Arial" w:hAnsi="Arial" w:cs="Arial"/>
        </w:rPr>
        <w:t>COGS</w:t>
      </w:r>
      <w:r>
        <w:rPr>
          <w:rFonts w:ascii="Arial" w:hAnsi="Arial" w:cs="Arial"/>
        </w:rPr>
        <w:t>)</w:t>
      </w:r>
      <w:r w:rsidR="00E564E1">
        <w:rPr>
          <w:rFonts w:ascii="Arial" w:hAnsi="Arial" w:cs="Arial"/>
        </w:rPr>
        <w:t xml:space="preserve">, </w:t>
      </w:r>
      <w:r w:rsidR="007A2FE6">
        <w:rPr>
          <w:rFonts w:ascii="Arial" w:hAnsi="Arial" w:cs="Arial"/>
        </w:rPr>
        <w:t>ending the year</w:t>
      </w:r>
      <w:r w:rsidR="003A1476" w:rsidRPr="00C66741">
        <w:rPr>
          <w:rFonts w:ascii="Arial" w:hAnsi="Arial" w:cs="Arial"/>
        </w:rPr>
        <w:t xml:space="preserve"> with an exit rate of 3</w:t>
      </w:r>
      <w:r w:rsidR="00474B6E">
        <w:rPr>
          <w:rFonts w:ascii="Arial" w:hAnsi="Arial" w:cs="Arial"/>
        </w:rPr>
        <w:t>5</w:t>
      </w:r>
      <w:r w:rsidR="003A1476" w:rsidRPr="00C66741">
        <w:rPr>
          <w:rFonts w:ascii="Arial" w:hAnsi="Arial" w:cs="Arial"/>
        </w:rPr>
        <w:t>%. We have significantly reduced the number of global suppliers and SKUs, by around 80%</w:t>
      </w:r>
      <w:r w:rsidR="00E564E1">
        <w:rPr>
          <w:rFonts w:ascii="Arial" w:hAnsi="Arial" w:cs="Arial"/>
        </w:rPr>
        <w:t xml:space="preserve"> to date</w:t>
      </w:r>
      <w:r w:rsidR="003A1476" w:rsidRPr="00C66741">
        <w:rPr>
          <w:rFonts w:ascii="Arial" w:hAnsi="Arial" w:cs="Arial"/>
        </w:rPr>
        <w:t>, but are still offering customers similar breadth of choice. We also la</w:t>
      </w:r>
      <w:r w:rsidR="008F033C">
        <w:rPr>
          <w:rFonts w:ascii="Arial" w:hAnsi="Arial" w:cs="Arial"/>
        </w:rPr>
        <w:t>unched</w:t>
      </w:r>
      <w:r w:rsidR="003A1476" w:rsidRPr="00C66741">
        <w:rPr>
          <w:rFonts w:ascii="Arial" w:hAnsi="Arial" w:cs="Arial"/>
        </w:rPr>
        <w:t xml:space="preserve"> our first unique ranges in outdoor and bathroom &amp; storage.</w:t>
      </w:r>
    </w:p>
    <w:p w14:paraId="34965A41" w14:textId="77777777" w:rsidR="003A1476" w:rsidRPr="00C66741" w:rsidRDefault="003A1476" w:rsidP="003A1476">
      <w:pPr>
        <w:jc w:val="left"/>
        <w:rPr>
          <w:rFonts w:ascii="Arial" w:hAnsi="Arial" w:cs="Arial"/>
        </w:rPr>
      </w:pPr>
    </w:p>
    <w:p w14:paraId="07112FAE" w14:textId="5A51B49A" w:rsidR="003A1476" w:rsidRPr="00C66741" w:rsidRDefault="007A2FE6" w:rsidP="003A1476">
      <w:pPr>
        <w:jc w:val="left"/>
        <w:rPr>
          <w:rFonts w:ascii="Arial" w:hAnsi="Arial" w:cs="Arial"/>
        </w:rPr>
      </w:pPr>
      <w:r>
        <w:rPr>
          <w:rFonts w:ascii="Arial" w:hAnsi="Arial" w:cs="Arial"/>
        </w:rPr>
        <w:t>Sales of our u</w:t>
      </w:r>
      <w:r w:rsidR="003A1476" w:rsidRPr="00C66741">
        <w:rPr>
          <w:rFonts w:ascii="Arial" w:hAnsi="Arial" w:cs="Arial"/>
        </w:rPr>
        <w:t xml:space="preserve">nified and unique </w:t>
      </w:r>
      <w:r>
        <w:rPr>
          <w:rFonts w:ascii="Arial" w:hAnsi="Arial" w:cs="Arial"/>
        </w:rPr>
        <w:t xml:space="preserve">ranges </w:t>
      </w:r>
      <w:r w:rsidR="003A1476" w:rsidRPr="00C66741">
        <w:rPr>
          <w:rFonts w:ascii="Arial" w:hAnsi="Arial" w:cs="Arial"/>
        </w:rPr>
        <w:t>are outperforming non-unified ranges despite transformation</w:t>
      </w:r>
      <w:r>
        <w:rPr>
          <w:rFonts w:ascii="Arial" w:hAnsi="Arial" w:cs="Arial"/>
        </w:rPr>
        <w:t>-</w:t>
      </w:r>
      <w:r w:rsidR="003A1476" w:rsidRPr="00C66741">
        <w:rPr>
          <w:rFonts w:ascii="Arial" w:hAnsi="Arial" w:cs="Arial"/>
        </w:rPr>
        <w:t xml:space="preserve">related disruption during the year. </w:t>
      </w:r>
      <w:r>
        <w:rPr>
          <w:rFonts w:ascii="Arial" w:hAnsi="Arial" w:cs="Arial"/>
        </w:rPr>
        <w:t>Sales of u</w:t>
      </w:r>
      <w:r w:rsidR="003A1476" w:rsidRPr="00C66741">
        <w:rPr>
          <w:rFonts w:ascii="Arial" w:hAnsi="Arial" w:cs="Arial"/>
        </w:rPr>
        <w:t xml:space="preserve">nified and unique </w:t>
      </w:r>
      <w:r>
        <w:rPr>
          <w:rFonts w:ascii="Arial" w:hAnsi="Arial" w:cs="Arial"/>
        </w:rPr>
        <w:t>ranges</w:t>
      </w:r>
      <w:r w:rsidR="003A1476" w:rsidRPr="00C66741">
        <w:rPr>
          <w:rFonts w:ascii="Arial" w:hAnsi="Arial" w:cs="Arial"/>
        </w:rPr>
        <w:t xml:space="preserve"> excluding clearance, were up 1% compared to last year, with the second half </w:t>
      </w:r>
      <w:r w:rsidR="003A1476" w:rsidRPr="00345B78">
        <w:rPr>
          <w:rFonts w:ascii="Arial" w:hAnsi="Arial" w:cs="Arial"/>
        </w:rPr>
        <w:t xml:space="preserve">growing by </w:t>
      </w:r>
      <w:r w:rsidR="000669CD" w:rsidRPr="00882A94">
        <w:rPr>
          <w:rFonts w:ascii="Arial" w:hAnsi="Arial" w:cs="Arial"/>
        </w:rPr>
        <w:t>3</w:t>
      </w:r>
      <w:r w:rsidR="003A1476" w:rsidRPr="00345B78">
        <w:rPr>
          <w:rFonts w:ascii="Arial" w:hAnsi="Arial" w:cs="Arial"/>
        </w:rPr>
        <w:t>%. Including</w:t>
      </w:r>
      <w:r w:rsidR="003A1476" w:rsidRPr="00C66741">
        <w:rPr>
          <w:rFonts w:ascii="Arial" w:hAnsi="Arial" w:cs="Arial"/>
        </w:rPr>
        <w:t xml:space="preserve"> clearance, </w:t>
      </w:r>
      <w:r w:rsidR="00836EE7">
        <w:rPr>
          <w:rFonts w:ascii="Arial" w:hAnsi="Arial" w:cs="Arial"/>
        </w:rPr>
        <w:t xml:space="preserve">unified and unique </w:t>
      </w:r>
      <w:r w:rsidR="003A1476" w:rsidRPr="00C66741">
        <w:rPr>
          <w:rFonts w:ascii="Arial" w:hAnsi="Arial" w:cs="Arial"/>
        </w:rPr>
        <w:t>sales were broadly flat compared to last year, slightly ahead of total group sales in constant currency, which were down 0.3%.</w:t>
      </w:r>
    </w:p>
    <w:p w14:paraId="395EE54D" w14:textId="77777777" w:rsidR="003A1476" w:rsidRPr="00C66741" w:rsidRDefault="003A1476" w:rsidP="003A1476">
      <w:pPr>
        <w:jc w:val="left"/>
        <w:rPr>
          <w:rFonts w:ascii="Arial" w:hAnsi="Arial" w:cs="Arial"/>
        </w:rPr>
      </w:pPr>
    </w:p>
    <w:p w14:paraId="088F9291" w14:textId="52EEF1AE" w:rsidR="003A1476" w:rsidRPr="00C66741" w:rsidRDefault="003A1476" w:rsidP="003A1476">
      <w:pPr>
        <w:jc w:val="left"/>
        <w:rPr>
          <w:rFonts w:ascii="Arial" w:hAnsi="Arial" w:cs="Arial"/>
        </w:rPr>
      </w:pPr>
      <w:r w:rsidRPr="00C66741">
        <w:rPr>
          <w:rFonts w:ascii="Arial" w:hAnsi="Arial" w:cs="Arial"/>
        </w:rPr>
        <w:t xml:space="preserve">Growth in unique ranges, such as the new bathroom furniture and shower ranges, is ahead of unified ranges, however the mix of ranges implemented to date is weighted towards unified. For example, </w:t>
      </w:r>
      <w:r w:rsidR="007A2FE6">
        <w:rPr>
          <w:rFonts w:ascii="Arial" w:hAnsi="Arial" w:cs="Arial"/>
        </w:rPr>
        <w:t xml:space="preserve">sales of </w:t>
      </w:r>
      <w:r w:rsidRPr="00C66741">
        <w:rPr>
          <w:rFonts w:ascii="Arial" w:hAnsi="Arial" w:cs="Arial"/>
        </w:rPr>
        <w:t>unified and unique bathroom &amp; storage increased by 11% whereas total sales were broadly flat</w:t>
      </w:r>
      <w:r w:rsidR="007A2FE6">
        <w:rPr>
          <w:rFonts w:ascii="Arial" w:hAnsi="Arial" w:cs="Arial"/>
        </w:rPr>
        <w:t xml:space="preserve"> (excluding clearance)</w:t>
      </w:r>
      <w:r w:rsidRPr="00C66741">
        <w:rPr>
          <w:rFonts w:ascii="Arial" w:hAnsi="Arial" w:cs="Arial"/>
        </w:rPr>
        <w:t xml:space="preserve">. The bathroom ranges have sold well across all our </w:t>
      </w:r>
      <w:r w:rsidRPr="00C66741">
        <w:rPr>
          <w:rFonts w:ascii="Arial" w:hAnsi="Arial" w:cs="Arial"/>
        </w:rPr>
        <w:lastRenderedPageBreak/>
        <w:t>markets (e.g. France up 8%, Other International up 18%) re</w:t>
      </w:r>
      <w:r w:rsidR="00922456">
        <w:rPr>
          <w:rFonts w:ascii="Arial" w:hAnsi="Arial" w:cs="Arial"/>
        </w:rPr>
        <w:t>ceiving</w:t>
      </w:r>
      <w:r w:rsidRPr="00C66741">
        <w:rPr>
          <w:rFonts w:ascii="Arial" w:hAnsi="Arial" w:cs="Arial"/>
        </w:rPr>
        <w:t xml:space="preserve"> positive feedback from both customers and colleagues. </w:t>
      </w:r>
    </w:p>
    <w:p w14:paraId="06F6851E" w14:textId="77777777" w:rsidR="003A1476" w:rsidRPr="00C66741" w:rsidRDefault="003A1476" w:rsidP="003A1476">
      <w:pPr>
        <w:jc w:val="left"/>
        <w:rPr>
          <w:rFonts w:ascii="Arial" w:hAnsi="Arial" w:cs="Arial"/>
          <w:highlight w:val="yellow"/>
        </w:rPr>
      </w:pPr>
    </w:p>
    <w:p w14:paraId="3A5D8B78" w14:textId="281ADE73" w:rsidR="003A1476" w:rsidRPr="00C66741" w:rsidRDefault="003A1476" w:rsidP="003A1476">
      <w:pPr>
        <w:jc w:val="left"/>
        <w:rPr>
          <w:rFonts w:ascii="Arial" w:hAnsi="Arial" w:cs="Arial"/>
        </w:rPr>
      </w:pPr>
      <w:r w:rsidRPr="00C66741">
        <w:rPr>
          <w:rFonts w:ascii="Arial" w:hAnsi="Arial" w:cs="Arial"/>
        </w:rPr>
        <w:t xml:space="preserve">Cost of change (including clearance) </w:t>
      </w:r>
      <w:r w:rsidR="009742E7">
        <w:rPr>
          <w:rFonts w:ascii="Arial" w:hAnsi="Arial" w:cs="Arial"/>
        </w:rPr>
        <w:t xml:space="preserve">are </w:t>
      </w:r>
      <w:r w:rsidRPr="00C66741">
        <w:rPr>
          <w:rFonts w:ascii="Arial" w:hAnsi="Arial" w:cs="Arial"/>
        </w:rPr>
        <w:t xml:space="preserve">in-line with expectations and we remain confident in our target to deliver £350m annual profit uplift by FY 20/21, which broadly equates to a 5% reduction in cost of goods sold. </w:t>
      </w:r>
    </w:p>
    <w:p w14:paraId="31BC3D95" w14:textId="77777777" w:rsidR="003A1476" w:rsidRPr="00C66741" w:rsidRDefault="003A1476" w:rsidP="003A1476">
      <w:pPr>
        <w:jc w:val="left"/>
        <w:rPr>
          <w:rFonts w:ascii="Arial" w:hAnsi="Arial" w:cs="Arial"/>
        </w:rPr>
      </w:pPr>
    </w:p>
    <w:p w14:paraId="1D933F71" w14:textId="2659A53F" w:rsidR="003A1476" w:rsidRDefault="003A1476" w:rsidP="003A1476">
      <w:pPr>
        <w:jc w:val="left"/>
        <w:rPr>
          <w:rFonts w:ascii="Arial" w:hAnsi="Arial" w:cs="Arial"/>
        </w:rPr>
      </w:pPr>
      <w:r w:rsidRPr="00A96929">
        <w:rPr>
          <w:rFonts w:ascii="Arial" w:hAnsi="Arial" w:cs="Arial"/>
        </w:rPr>
        <w:t xml:space="preserve">Gross margin for </w:t>
      </w:r>
      <w:r w:rsidR="007A5F86" w:rsidRPr="00A96929">
        <w:rPr>
          <w:rFonts w:ascii="Arial" w:hAnsi="Arial" w:cs="Arial"/>
        </w:rPr>
        <w:t>u</w:t>
      </w:r>
      <w:r w:rsidRPr="00A96929">
        <w:rPr>
          <w:rFonts w:ascii="Arial" w:hAnsi="Arial" w:cs="Arial"/>
        </w:rPr>
        <w:t xml:space="preserve">nified and </w:t>
      </w:r>
      <w:r w:rsidR="007A5F86" w:rsidRPr="00A96929">
        <w:rPr>
          <w:rFonts w:ascii="Arial" w:hAnsi="Arial" w:cs="Arial"/>
        </w:rPr>
        <w:t>u</w:t>
      </w:r>
      <w:r w:rsidRPr="00A96929">
        <w:rPr>
          <w:rFonts w:ascii="Arial" w:hAnsi="Arial" w:cs="Arial"/>
        </w:rPr>
        <w:t xml:space="preserve">nique ranges were up </w:t>
      </w:r>
      <w:r w:rsidR="00D77F5A" w:rsidRPr="00A96929">
        <w:rPr>
          <w:rFonts w:ascii="Arial" w:hAnsi="Arial" w:cs="Arial"/>
        </w:rPr>
        <w:t>1</w:t>
      </w:r>
      <w:r w:rsidR="00D77F5A">
        <w:rPr>
          <w:rFonts w:ascii="Arial" w:hAnsi="Arial" w:cs="Arial"/>
        </w:rPr>
        <w:t>8</w:t>
      </w:r>
      <w:r w:rsidR="00D77F5A" w:rsidRPr="00A96929">
        <w:rPr>
          <w:rFonts w:ascii="Arial" w:hAnsi="Arial" w:cs="Arial"/>
        </w:rPr>
        <w:t>0</w:t>
      </w:r>
      <w:r w:rsidRPr="00A96929">
        <w:rPr>
          <w:rFonts w:ascii="Arial" w:hAnsi="Arial" w:cs="Arial"/>
        </w:rPr>
        <w:t xml:space="preserve"> basis points before</w:t>
      </w:r>
      <w:r w:rsidRPr="00C66741">
        <w:rPr>
          <w:rFonts w:ascii="Arial" w:hAnsi="Arial" w:cs="Arial"/>
        </w:rPr>
        <w:t xml:space="preserve"> clearance of old ranges. </w:t>
      </w:r>
    </w:p>
    <w:p w14:paraId="503985B6" w14:textId="29D1980E" w:rsidR="00CC7DA4" w:rsidRPr="001908E1" w:rsidRDefault="00CC7DA4" w:rsidP="00CC518E">
      <w:pPr>
        <w:jc w:val="left"/>
        <w:rPr>
          <w:rFonts w:ascii="Arial" w:hAnsi="Arial" w:cs="Arial"/>
        </w:rPr>
      </w:pPr>
    </w:p>
    <w:p w14:paraId="45D7EDDB" w14:textId="759E18B3" w:rsidR="003A1476" w:rsidRPr="001908E1" w:rsidRDefault="003A1476" w:rsidP="001908E1">
      <w:pPr>
        <w:pStyle w:val="ListParagraph"/>
        <w:numPr>
          <w:ilvl w:val="0"/>
          <w:numId w:val="59"/>
        </w:numPr>
        <w:jc w:val="left"/>
        <w:rPr>
          <w:rFonts w:ascii="Arial" w:hAnsi="Arial" w:cs="Arial"/>
          <w:b/>
        </w:rPr>
      </w:pPr>
      <w:r w:rsidRPr="001908E1">
        <w:rPr>
          <w:rFonts w:ascii="Arial" w:hAnsi="Arial" w:cs="Arial"/>
          <w:b/>
          <w:u w:val="single"/>
        </w:rPr>
        <w:t xml:space="preserve">Digital </w:t>
      </w:r>
    </w:p>
    <w:p w14:paraId="4C5ABF24" w14:textId="07CCCF7E" w:rsidR="00CC7DA4" w:rsidRDefault="00CC7DA4" w:rsidP="001908E1">
      <w:pPr>
        <w:pStyle w:val="ListParagraph"/>
      </w:pPr>
    </w:p>
    <w:p w14:paraId="1C623723" w14:textId="29D4B506" w:rsidR="003A1476" w:rsidRPr="001908E1" w:rsidRDefault="003A1476" w:rsidP="001908E1">
      <w:pPr>
        <w:jc w:val="left"/>
        <w:rPr>
          <w:rFonts w:ascii="Arial" w:hAnsi="Arial" w:cs="Arial"/>
          <w:i/>
        </w:rPr>
      </w:pPr>
      <w:r w:rsidRPr="001908E1">
        <w:rPr>
          <w:rFonts w:ascii="Arial" w:hAnsi="Arial" w:cs="Arial"/>
        </w:rPr>
        <w:t xml:space="preserve">Implementation of a unified IT system is a key enabler of our ONE Kingfisher plan. It </w:t>
      </w:r>
      <w:r w:rsidRPr="0029201B">
        <w:rPr>
          <w:rFonts w:ascii="Arial" w:hAnsi="Arial" w:cs="Arial"/>
        </w:rPr>
        <w:t>also provide</w:t>
      </w:r>
      <w:r w:rsidR="009742E7" w:rsidRPr="009366ED">
        <w:rPr>
          <w:rFonts w:ascii="Arial" w:hAnsi="Arial" w:cs="Arial"/>
        </w:rPr>
        <w:t>s</w:t>
      </w:r>
      <w:r w:rsidRPr="009366ED">
        <w:rPr>
          <w:rFonts w:ascii="Arial" w:hAnsi="Arial" w:cs="Arial"/>
        </w:rPr>
        <w:t xml:space="preserve"> a significant opportunity, with a seamless and stronger digital offer for our customers, to substantially increase sales and digital penetration. This is expected to generate £50m</w:t>
      </w:r>
      <w:r w:rsidRPr="001908E1">
        <w:rPr>
          <w:rFonts w:ascii="Arial" w:hAnsi="Arial" w:cs="Arial"/>
        </w:rPr>
        <w:t xml:space="preserve"> annual profit uplift by FY 20/21. </w:t>
      </w:r>
    </w:p>
    <w:p w14:paraId="7EE9EACA" w14:textId="77777777" w:rsidR="003A1476" w:rsidRPr="006B2843" w:rsidRDefault="003A1476" w:rsidP="003A1476">
      <w:pPr>
        <w:jc w:val="left"/>
        <w:rPr>
          <w:rFonts w:ascii="Arial" w:hAnsi="Arial" w:cs="Arial"/>
          <w:i/>
          <w:highlight w:val="yellow"/>
        </w:rPr>
      </w:pPr>
    </w:p>
    <w:p w14:paraId="6EE1469C" w14:textId="77777777" w:rsidR="003A1476" w:rsidRPr="006B2843" w:rsidRDefault="003A1476" w:rsidP="003A1476">
      <w:pPr>
        <w:jc w:val="left"/>
        <w:rPr>
          <w:rFonts w:ascii="Arial" w:hAnsi="Arial" w:cs="Arial"/>
        </w:rPr>
      </w:pPr>
      <w:r w:rsidRPr="00C66741">
        <w:rPr>
          <w:rFonts w:ascii="Arial" w:hAnsi="Arial" w:cs="Arial"/>
        </w:rPr>
        <w:t>FY 17/18 strategic milestone:</w:t>
      </w:r>
    </w:p>
    <w:p w14:paraId="535EB8FF" w14:textId="77777777" w:rsidR="003A1476" w:rsidRPr="006B2843" w:rsidRDefault="003A1476" w:rsidP="003A1476">
      <w:pPr>
        <w:jc w:val="left"/>
        <w:rPr>
          <w:rFonts w:ascii="Arial" w:hAnsi="Arial" w:cs="Arial"/>
          <w:highlight w:val="yellow"/>
        </w:rPr>
      </w:pPr>
    </w:p>
    <w:p w14:paraId="73EBDEE2" w14:textId="312CD9C4" w:rsidR="003A1476" w:rsidRPr="006B2843" w:rsidRDefault="003A1476" w:rsidP="003A1476">
      <w:pPr>
        <w:pStyle w:val="ListParagraph"/>
        <w:numPr>
          <w:ilvl w:val="0"/>
          <w:numId w:val="10"/>
        </w:numPr>
        <w:jc w:val="left"/>
        <w:rPr>
          <w:rFonts w:ascii="Arial" w:hAnsi="Arial" w:cs="Arial"/>
          <w:i/>
        </w:rPr>
      </w:pPr>
      <w:r w:rsidRPr="00C66741">
        <w:rPr>
          <w:rFonts w:ascii="Arial" w:hAnsi="Arial" w:cs="Arial"/>
          <w:i/>
        </w:rPr>
        <w:t xml:space="preserve">Deliver Year 2 of </w:t>
      </w:r>
      <w:proofErr w:type="gramStart"/>
      <w:r w:rsidRPr="00C66741">
        <w:rPr>
          <w:rFonts w:ascii="Arial" w:hAnsi="Arial" w:cs="Arial"/>
          <w:i/>
        </w:rPr>
        <w:t>3 year</w:t>
      </w:r>
      <w:proofErr w:type="gramEnd"/>
      <w:r w:rsidRPr="00C66741">
        <w:rPr>
          <w:rFonts w:ascii="Arial" w:hAnsi="Arial" w:cs="Arial"/>
          <w:i/>
        </w:rPr>
        <w:t xml:space="preserve"> unified IT platform roll out alongside </w:t>
      </w:r>
      <w:r w:rsidR="0069214D">
        <w:rPr>
          <w:rFonts w:ascii="Arial" w:hAnsi="Arial" w:cs="Arial"/>
          <w:i/>
        </w:rPr>
        <w:t xml:space="preserve">better </w:t>
      </w:r>
      <w:r w:rsidRPr="00C66741">
        <w:rPr>
          <w:rFonts w:ascii="Arial" w:hAnsi="Arial" w:cs="Arial"/>
          <w:i/>
        </w:rPr>
        <w:t>ecommerce</w:t>
      </w:r>
    </w:p>
    <w:p w14:paraId="3AD2728C" w14:textId="77777777" w:rsidR="003A1476" w:rsidRPr="006B2843" w:rsidRDefault="003A1476" w:rsidP="003A1476">
      <w:pPr>
        <w:pStyle w:val="ListParagraph"/>
        <w:jc w:val="left"/>
        <w:rPr>
          <w:rFonts w:ascii="Arial" w:hAnsi="Arial" w:cs="Arial"/>
          <w:i/>
        </w:rPr>
      </w:pPr>
    </w:p>
    <w:p w14:paraId="368134CF" w14:textId="650D1B8C" w:rsidR="003A1476" w:rsidRPr="006B2843" w:rsidRDefault="003A1476" w:rsidP="003A1476">
      <w:pPr>
        <w:spacing w:after="200"/>
        <w:contextualSpacing/>
        <w:jc w:val="left"/>
        <w:rPr>
          <w:rFonts w:ascii="Arial" w:hAnsi="Arial" w:cs="Arial"/>
        </w:rPr>
      </w:pPr>
      <w:r w:rsidRPr="00C66741">
        <w:rPr>
          <w:rFonts w:ascii="Arial" w:hAnsi="Arial" w:cs="Arial"/>
        </w:rPr>
        <w:t>This involves investing in our core ecommerce platforms, enabled by the new unified IT infrastructure, and leveraging our Screwfix best-in-class capability</w:t>
      </w:r>
      <w:r w:rsidR="00474B6E">
        <w:rPr>
          <w:rFonts w:ascii="Arial" w:hAnsi="Arial" w:cs="Arial"/>
        </w:rPr>
        <w:t xml:space="preserve">. This includes </w:t>
      </w:r>
      <w:r w:rsidRPr="00C66741">
        <w:rPr>
          <w:rFonts w:ascii="Arial" w:hAnsi="Arial" w:cs="Arial"/>
        </w:rPr>
        <w:t xml:space="preserve">upweighted digital marketing, improved site search, new checkout and launching new mobile sites. </w:t>
      </w:r>
    </w:p>
    <w:p w14:paraId="15D3BBC6" w14:textId="77777777" w:rsidR="003A1476" w:rsidRPr="006B2843" w:rsidRDefault="003A1476" w:rsidP="003A1476">
      <w:pPr>
        <w:jc w:val="left"/>
        <w:rPr>
          <w:rFonts w:ascii="Arial" w:hAnsi="Arial" w:cs="Arial"/>
          <w:highlight w:val="yellow"/>
        </w:rPr>
      </w:pPr>
    </w:p>
    <w:p w14:paraId="76D754D9" w14:textId="41FF0618" w:rsidR="003A1476" w:rsidRPr="006B2843" w:rsidRDefault="003A1476" w:rsidP="003A1476">
      <w:pPr>
        <w:jc w:val="left"/>
        <w:rPr>
          <w:rFonts w:ascii="Arial" w:hAnsi="Arial" w:cs="Arial"/>
          <w:highlight w:val="yellow"/>
        </w:rPr>
      </w:pPr>
      <w:r w:rsidRPr="00C66741">
        <w:rPr>
          <w:rFonts w:ascii="Arial" w:hAnsi="Arial" w:cs="Arial"/>
        </w:rPr>
        <w:t xml:space="preserve">During FY 17/18 we implemented all Castorama France stores with back office and supply chain to be completed in Q1 2018, meaning that by the end of FY 17/18 over 50% of Group sales were operating on the new platform. We have also now started implementation at </w:t>
      </w:r>
      <w:proofErr w:type="spellStart"/>
      <w:r w:rsidRPr="00C66741">
        <w:rPr>
          <w:rFonts w:ascii="Arial" w:hAnsi="Arial" w:cs="Arial"/>
        </w:rPr>
        <w:t>Brico</w:t>
      </w:r>
      <w:proofErr w:type="spellEnd"/>
      <w:r w:rsidRPr="00C66741">
        <w:rPr>
          <w:rFonts w:ascii="Arial" w:hAnsi="Arial" w:cs="Arial"/>
        </w:rPr>
        <w:t xml:space="preserve"> </w:t>
      </w:r>
      <w:proofErr w:type="spellStart"/>
      <w:r w:rsidRPr="00C66741">
        <w:rPr>
          <w:rFonts w:ascii="Arial" w:hAnsi="Arial" w:cs="Arial"/>
        </w:rPr>
        <w:t>Dépôt</w:t>
      </w:r>
      <w:proofErr w:type="spellEnd"/>
      <w:r w:rsidRPr="00C66741">
        <w:rPr>
          <w:rFonts w:ascii="Arial" w:hAnsi="Arial" w:cs="Arial"/>
        </w:rPr>
        <w:t xml:space="preserve"> France and Castorama Poland.</w:t>
      </w:r>
      <w:r w:rsidR="000F68C6">
        <w:rPr>
          <w:rFonts w:ascii="Arial" w:hAnsi="Arial" w:cs="Arial"/>
        </w:rPr>
        <w:t xml:space="preserve"> </w:t>
      </w:r>
    </w:p>
    <w:p w14:paraId="3DDEF255" w14:textId="77777777" w:rsidR="003A1476" w:rsidRPr="006B2843" w:rsidRDefault="003A1476" w:rsidP="003A1476">
      <w:pPr>
        <w:jc w:val="left"/>
        <w:rPr>
          <w:rFonts w:ascii="Arial" w:hAnsi="Arial" w:cs="Arial"/>
          <w:highlight w:val="yellow"/>
        </w:rPr>
      </w:pPr>
    </w:p>
    <w:p w14:paraId="2D037721" w14:textId="33BA7974" w:rsidR="003A1476" w:rsidRPr="006B2843" w:rsidRDefault="003A1476" w:rsidP="003A1476">
      <w:pPr>
        <w:jc w:val="left"/>
        <w:rPr>
          <w:rFonts w:ascii="Arial" w:hAnsi="Arial" w:cs="Arial"/>
        </w:rPr>
      </w:pPr>
      <w:r w:rsidRPr="00C66741">
        <w:rPr>
          <w:rFonts w:ascii="Arial" w:hAnsi="Arial" w:cs="Arial"/>
        </w:rPr>
        <w:t xml:space="preserve">Our ecommerce initiatives are gaining momentum. We have built a new group mobile platform and launched a new B&amp;Q mobile app in September. The app has received very positive customer feedback and is delivering </w:t>
      </w:r>
      <w:r w:rsidR="009742E7">
        <w:rPr>
          <w:rFonts w:ascii="Arial" w:hAnsi="Arial" w:cs="Arial"/>
        </w:rPr>
        <w:t>improved</w:t>
      </w:r>
      <w:r w:rsidR="009742E7" w:rsidRPr="00C66741">
        <w:rPr>
          <w:rFonts w:ascii="Arial" w:hAnsi="Arial" w:cs="Arial"/>
        </w:rPr>
        <w:t xml:space="preserve"> </w:t>
      </w:r>
      <w:r w:rsidRPr="00C66741">
        <w:rPr>
          <w:rFonts w:ascii="Arial" w:hAnsi="Arial" w:cs="Arial"/>
        </w:rPr>
        <w:t xml:space="preserve">average transaction values. One hour click &amp; collect is now available in all B&amp;Q stores. In France, we relaunched the new castorama.fr website in January with the new mobile </w:t>
      </w:r>
      <w:r w:rsidR="00B777E5">
        <w:rPr>
          <w:rFonts w:ascii="Arial" w:hAnsi="Arial" w:cs="Arial"/>
        </w:rPr>
        <w:t>site</w:t>
      </w:r>
      <w:r w:rsidRPr="00C66741">
        <w:rPr>
          <w:rFonts w:ascii="Arial" w:hAnsi="Arial" w:cs="Arial"/>
        </w:rPr>
        <w:t xml:space="preserve"> soon to follow. Total group </w:t>
      </w:r>
      <w:r w:rsidR="00FE7892">
        <w:rPr>
          <w:rFonts w:ascii="Arial" w:hAnsi="Arial" w:cs="Arial"/>
        </w:rPr>
        <w:t>digital</w:t>
      </w:r>
      <w:r w:rsidRPr="00C66741">
        <w:rPr>
          <w:rFonts w:ascii="Arial" w:hAnsi="Arial" w:cs="Arial"/>
        </w:rPr>
        <w:t xml:space="preserve"> sales are now at 6%, up from 4% last year. </w:t>
      </w:r>
    </w:p>
    <w:p w14:paraId="78FDF511" w14:textId="77777777" w:rsidR="003A1476" w:rsidRPr="006B2843" w:rsidRDefault="003A1476" w:rsidP="003A1476">
      <w:pPr>
        <w:jc w:val="left"/>
        <w:rPr>
          <w:rFonts w:ascii="Arial" w:hAnsi="Arial" w:cs="Arial"/>
        </w:rPr>
      </w:pPr>
    </w:p>
    <w:p w14:paraId="41AF8357" w14:textId="7622E62F" w:rsidR="003A1476" w:rsidRPr="006B2843" w:rsidRDefault="003A1476" w:rsidP="003A1476">
      <w:pPr>
        <w:jc w:val="left"/>
        <w:rPr>
          <w:rFonts w:ascii="Arial" w:hAnsi="Arial" w:cs="Arial"/>
        </w:rPr>
      </w:pPr>
      <w:r w:rsidRPr="00C66741">
        <w:rPr>
          <w:rFonts w:ascii="Arial" w:hAnsi="Arial" w:cs="Arial"/>
        </w:rPr>
        <w:t>We have also launched</w:t>
      </w:r>
      <w:r w:rsidR="00836EE7">
        <w:rPr>
          <w:rFonts w:ascii="Arial" w:hAnsi="Arial" w:cs="Arial"/>
        </w:rPr>
        <w:t xml:space="preserve"> the</w:t>
      </w:r>
      <w:r w:rsidRPr="00C66741">
        <w:rPr>
          <w:rFonts w:ascii="Arial" w:hAnsi="Arial" w:cs="Arial"/>
        </w:rPr>
        <w:t xml:space="preserve"> first</w:t>
      </w:r>
      <w:r w:rsidR="00836EE7">
        <w:rPr>
          <w:rFonts w:ascii="Arial" w:hAnsi="Arial" w:cs="Arial"/>
        </w:rPr>
        <w:t xml:space="preserve"> of our digital</w:t>
      </w:r>
      <w:r w:rsidRPr="00C66741">
        <w:rPr>
          <w:rFonts w:ascii="Arial" w:hAnsi="Arial" w:cs="Arial"/>
        </w:rPr>
        <w:t xml:space="preserve"> </w:t>
      </w:r>
      <w:r w:rsidRPr="006B2843">
        <w:rPr>
          <w:rFonts w:ascii="Arial" w:hAnsi="Arial" w:cs="Arial"/>
        </w:rPr>
        <w:t>home improvement services</w:t>
      </w:r>
      <w:r w:rsidRPr="00C66741">
        <w:rPr>
          <w:rFonts w:ascii="Arial" w:hAnsi="Arial" w:cs="Arial"/>
        </w:rPr>
        <w:t xml:space="preserve"> tools including a bathroom planner tool</w:t>
      </w:r>
      <w:r w:rsidR="008F1704">
        <w:rPr>
          <w:rFonts w:ascii="Arial" w:hAnsi="Arial" w:cs="Arial"/>
        </w:rPr>
        <w:t>,</w:t>
      </w:r>
      <w:r w:rsidRPr="00C66741">
        <w:rPr>
          <w:rFonts w:ascii="Arial" w:hAnsi="Arial" w:cs="Arial"/>
        </w:rPr>
        <w:t xml:space="preserve"> which is integrated into the B&amp;Q website. </w:t>
      </w:r>
    </w:p>
    <w:p w14:paraId="5740BB96" w14:textId="696946C7" w:rsidR="003A1476" w:rsidRDefault="003A1476" w:rsidP="001908E1"/>
    <w:p w14:paraId="06CD1F9B" w14:textId="2A58032C" w:rsidR="003A1476" w:rsidRPr="001908E1" w:rsidRDefault="003A1476" w:rsidP="001908E1">
      <w:pPr>
        <w:pStyle w:val="ListParagraph"/>
        <w:numPr>
          <w:ilvl w:val="0"/>
          <w:numId w:val="59"/>
        </w:numPr>
        <w:jc w:val="left"/>
        <w:rPr>
          <w:rFonts w:ascii="Arial" w:hAnsi="Arial" w:cs="Arial"/>
          <w:b/>
          <w:u w:val="single"/>
        </w:rPr>
      </w:pPr>
      <w:r w:rsidRPr="001908E1">
        <w:rPr>
          <w:rFonts w:ascii="Arial" w:hAnsi="Arial" w:cs="Arial"/>
          <w:b/>
          <w:u w:val="single"/>
        </w:rPr>
        <w:t>Operational efficiency</w:t>
      </w:r>
    </w:p>
    <w:p w14:paraId="3ABC866A" w14:textId="06DA99DC" w:rsidR="00A52F6C" w:rsidRDefault="00A52F6C" w:rsidP="00CC518E">
      <w:pPr>
        <w:jc w:val="left"/>
        <w:rPr>
          <w:rFonts w:ascii="Arial" w:hAnsi="Arial" w:cs="Arial"/>
          <w:b/>
        </w:rPr>
      </w:pPr>
    </w:p>
    <w:p w14:paraId="6125C4F6" w14:textId="4E9AF43C" w:rsidR="003A1476" w:rsidRPr="006B2843" w:rsidRDefault="003A1476" w:rsidP="003A1476">
      <w:pPr>
        <w:autoSpaceDE w:val="0"/>
        <w:autoSpaceDN w:val="0"/>
        <w:adjustRightInd w:val="0"/>
        <w:jc w:val="left"/>
        <w:rPr>
          <w:rFonts w:ascii="Arial" w:hAnsi="Arial" w:cs="Arial"/>
        </w:rPr>
      </w:pPr>
      <w:r w:rsidRPr="00C66741">
        <w:rPr>
          <w:rFonts w:ascii="Arial" w:hAnsi="Arial" w:cs="Arial"/>
          <w:color w:val="000000"/>
        </w:rPr>
        <w:t xml:space="preserve">The main driver will come from unifying the c.£1bn annual spend on GNFR. </w:t>
      </w:r>
      <w:r w:rsidRPr="00C66741">
        <w:rPr>
          <w:rFonts w:ascii="Arial" w:hAnsi="Arial" w:cs="Arial"/>
        </w:rPr>
        <w:t>This programme is a combination of cost savings, and an opportunity to work in a simpler and more effective way across the business, and is expected to generate £100m annual profit uplift by FY</w:t>
      </w:r>
      <w:r w:rsidR="008F1704">
        <w:rPr>
          <w:rFonts w:ascii="Arial" w:hAnsi="Arial" w:cs="Arial"/>
        </w:rPr>
        <w:t xml:space="preserve"> </w:t>
      </w:r>
      <w:r w:rsidRPr="00C66741">
        <w:rPr>
          <w:rFonts w:ascii="Arial" w:hAnsi="Arial" w:cs="Arial"/>
        </w:rPr>
        <w:t>20/21.</w:t>
      </w:r>
    </w:p>
    <w:p w14:paraId="0101F626" w14:textId="77777777" w:rsidR="003A1476" w:rsidRPr="006B2843" w:rsidRDefault="003A1476" w:rsidP="003A1476">
      <w:pPr>
        <w:autoSpaceDE w:val="0"/>
        <w:autoSpaceDN w:val="0"/>
        <w:adjustRightInd w:val="0"/>
        <w:jc w:val="left"/>
        <w:rPr>
          <w:rFonts w:ascii="Arial" w:hAnsi="Arial" w:cs="Arial"/>
          <w:highlight w:val="yellow"/>
        </w:rPr>
      </w:pPr>
    </w:p>
    <w:p w14:paraId="434CCF0B" w14:textId="77777777" w:rsidR="003A1476" w:rsidRPr="006B2843" w:rsidRDefault="003A1476" w:rsidP="003A1476">
      <w:pPr>
        <w:jc w:val="left"/>
        <w:rPr>
          <w:rFonts w:ascii="Arial" w:hAnsi="Arial" w:cs="Arial"/>
        </w:rPr>
      </w:pPr>
      <w:r w:rsidRPr="00C66741">
        <w:rPr>
          <w:rFonts w:ascii="Arial" w:hAnsi="Arial" w:cs="Arial"/>
        </w:rPr>
        <w:t>FY 17/18 strategic milestone:</w:t>
      </w:r>
    </w:p>
    <w:p w14:paraId="74AFBE86" w14:textId="77777777" w:rsidR="003A1476" w:rsidRPr="006B2843" w:rsidRDefault="003A1476" w:rsidP="003A1476">
      <w:pPr>
        <w:jc w:val="left"/>
        <w:rPr>
          <w:rFonts w:ascii="Arial" w:hAnsi="Arial" w:cs="Arial"/>
          <w:b/>
          <w:u w:val="single"/>
        </w:rPr>
      </w:pPr>
    </w:p>
    <w:p w14:paraId="152D04B5" w14:textId="77777777" w:rsidR="003A1476" w:rsidRPr="006B2843" w:rsidRDefault="003A1476" w:rsidP="00D978CF">
      <w:pPr>
        <w:pStyle w:val="ListParagraph"/>
        <w:numPr>
          <w:ilvl w:val="0"/>
          <w:numId w:val="10"/>
        </w:numPr>
        <w:jc w:val="left"/>
        <w:rPr>
          <w:rFonts w:ascii="Arial" w:hAnsi="Arial" w:cs="Arial"/>
          <w:i/>
        </w:rPr>
      </w:pPr>
      <w:r w:rsidRPr="00C66741">
        <w:rPr>
          <w:rFonts w:ascii="Arial" w:hAnsi="Arial" w:cs="Arial"/>
          <w:i/>
        </w:rPr>
        <w:t>Deliver a further £20m benefits from unified GNFR programme</w:t>
      </w:r>
    </w:p>
    <w:p w14:paraId="7B1A4820" w14:textId="77777777" w:rsidR="003A1476" w:rsidRPr="006B2843" w:rsidRDefault="003A1476" w:rsidP="003A1476">
      <w:pPr>
        <w:pStyle w:val="ListParagraph"/>
        <w:jc w:val="left"/>
        <w:rPr>
          <w:rFonts w:ascii="Arial" w:hAnsi="Arial" w:cs="Arial"/>
          <w:i/>
        </w:rPr>
      </w:pPr>
    </w:p>
    <w:p w14:paraId="3A4DF28E" w14:textId="314467CA" w:rsidR="003A1476" w:rsidRPr="006B2843" w:rsidRDefault="003A1476" w:rsidP="003A1476">
      <w:pPr>
        <w:spacing w:after="200"/>
        <w:contextualSpacing/>
        <w:jc w:val="left"/>
        <w:rPr>
          <w:rFonts w:ascii="Arial" w:hAnsi="Arial" w:cs="Arial"/>
        </w:rPr>
      </w:pPr>
      <w:r w:rsidRPr="00C66741">
        <w:rPr>
          <w:rFonts w:ascii="Arial" w:hAnsi="Arial" w:cs="Arial"/>
        </w:rPr>
        <w:t>In FY 17/18 we delivered a further £2</w:t>
      </w:r>
      <w:r w:rsidR="009D7293">
        <w:rPr>
          <w:rFonts w:ascii="Arial" w:hAnsi="Arial" w:cs="Arial"/>
        </w:rPr>
        <w:t>8</w:t>
      </w:r>
      <w:r w:rsidRPr="00C66741">
        <w:rPr>
          <w:rFonts w:ascii="Arial" w:hAnsi="Arial" w:cs="Arial"/>
        </w:rPr>
        <w:t xml:space="preserve">m of </w:t>
      </w:r>
      <w:r w:rsidR="007A2FE6">
        <w:rPr>
          <w:rFonts w:ascii="Arial" w:hAnsi="Arial" w:cs="Arial"/>
        </w:rPr>
        <w:t>benefits</w:t>
      </w:r>
      <w:r w:rsidRPr="00C66741">
        <w:rPr>
          <w:rFonts w:ascii="Arial" w:hAnsi="Arial" w:cs="Arial"/>
        </w:rPr>
        <w:t>, exceeding our initial target for the year, taking the cumulative benefit to £5</w:t>
      </w:r>
      <w:r w:rsidR="00027033">
        <w:rPr>
          <w:rFonts w:ascii="Arial" w:hAnsi="Arial" w:cs="Arial"/>
        </w:rPr>
        <w:t>8</w:t>
      </w:r>
      <w:r w:rsidRPr="00C66741">
        <w:rPr>
          <w:rFonts w:ascii="Arial" w:hAnsi="Arial" w:cs="Arial"/>
        </w:rPr>
        <w:t xml:space="preserve">m. This included categories such as media buying, </w:t>
      </w:r>
      <w:r w:rsidR="007A2FE6">
        <w:rPr>
          <w:rFonts w:ascii="Arial" w:hAnsi="Arial" w:cs="Arial"/>
        </w:rPr>
        <w:t>where we have moved</w:t>
      </w:r>
      <w:r w:rsidRPr="00C66741">
        <w:rPr>
          <w:rFonts w:ascii="Arial" w:hAnsi="Arial" w:cs="Arial"/>
        </w:rPr>
        <w:t xml:space="preserve"> to a global supplier for the first time; standardising the way we operate (e.g. security</w:t>
      </w:r>
      <w:r w:rsidR="00922456">
        <w:rPr>
          <w:rFonts w:ascii="Arial" w:hAnsi="Arial" w:cs="Arial"/>
        </w:rPr>
        <w:t>)</w:t>
      </w:r>
      <w:r w:rsidRPr="00C66741">
        <w:rPr>
          <w:rFonts w:ascii="Arial" w:hAnsi="Arial" w:cs="Arial"/>
        </w:rPr>
        <w:t xml:space="preserve">; and several local retenders consolidating the number of suppliers. </w:t>
      </w:r>
    </w:p>
    <w:p w14:paraId="0B4D4AE4" w14:textId="77777777" w:rsidR="003A1476" w:rsidRDefault="003A1476" w:rsidP="00CC518E">
      <w:pPr>
        <w:jc w:val="left"/>
        <w:rPr>
          <w:rFonts w:ascii="Arial" w:hAnsi="Arial" w:cs="Arial"/>
          <w:b/>
        </w:rPr>
      </w:pPr>
    </w:p>
    <w:p w14:paraId="2008A559" w14:textId="1FA48A83" w:rsidR="00285BAC" w:rsidRDefault="00285BAC" w:rsidP="00CC518E">
      <w:pPr>
        <w:jc w:val="left"/>
        <w:rPr>
          <w:rFonts w:ascii="Arial" w:hAnsi="Arial" w:cs="Arial"/>
          <w:b/>
          <w:bCs/>
          <w:szCs w:val="24"/>
        </w:rPr>
      </w:pPr>
    </w:p>
    <w:p w14:paraId="066276EB" w14:textId="77777777" w:rsidR="00DC7A1C" w:rsidRDefault="00DC7A1C" w:rsidP="00CC518E">
      <w:pPr>
        <w:jc w:val="left"/>
        <w:rPr>
          <w:rFonts w:ascii="Arial" w:hAnsi="Arial" w:cs="Arial"/>
          <w:b/>
          <w:bCs/>
          <w:szCs w:val="24"/>
        </w:rPr>
      </w:pPr>
    </w:p>
    <w:p w14:paraId="0B03C55F" w14:textId="77777777" w:rsidR="00AA12A2" w:rsidRDefault="00AA12A2" w:rsidP="00CC518E">
      <w:pPr>
        <w:jc w:val="left"/>
        <w:rPr>
          <w:rFonts w:ascii="Arial" w:hAnsi="Arial" w:cs="Arial"/>
          <w:b/>
          <w:bCs/>
          <w:szCs w:val="24"/>
        </w:rPr>
      </w:pPr>
    </w:p>
    <w:p w14:paraId="1AFA7397" w14:textId="53AC108D" w:rsidR="00CC518E" w:rsidRPr="00A14E6C" w:rsidRDefault="00CC518E" w:rsidP="00CC518E">
      <w:pPr>
        <w:jc w:val="left"/>
        <w:rPr>
          <w:rFonts w:ascii="Arial" w:hAnsi="Arial" w:cs="Arial"/>
          <w:b/>
        </w:rPr>
      </w:pPr>
      <w:r w:rsidRPr="00A14E6C">
        <w:rPr>
          <w:rFonts w:ascii="Arial" w:hAnsi="Arial" w:cs="Arial"/>
          <w:b/>
          <w:bCs/>
          <w:szCs w:val="24"/>
        </w:rPr>
        <w:lastRenderedPageBreak/>
        <w:t>Adapting our transformation approach as we progress</w:t>
      </w:r>
    </w:p>
    <w:p w14:paraId="15312394" w14:textId="77777777" w:rsidR="00CC518E" w:rsidRPr="004F6F19" w:rsidRDefault="00CC518E" w:rsidP="00CC518E">
      <w:pPr>
        <w:jc w:val="left"/>
        <w:rPr>
          <w:rFonts w:ascii="Arial" w:hAnsi="Arial" w:cs="Arial"/>
          <w:b/>
          <w:u w:val="single"/>
        </w:rPr>
      </w:pPr>
    </w:p>
    <w:p w14:paraId="192E8F54" w14:textId="7BCC9908" w:rsidR="00CC518E" w:rsidRPr="004F6F19" w:rsidRDefault="003F0FF2" w:rsidP="00CC518E">
      <w:pPr>
        <w:jc w:val="left"/>
        <w:rPr>
          <w:rFonts w:ascii="Arial" w:hAnsi="Arial" w:cs="Arial"/>
        </w:rPr>
      </w:pPr>
      <w:r>
        <w:rPr>
          <w:rFonts w:ascii="Arial" w:hAnsi="Arial" w:cs="Arial"/>
        </w:rPr>
        <w:t>G</w:t>
      </w:r>
      <w:r w:rsidR="00CC518E" w:rsidRPr="004F6F19">
        <w:rPr>
          <w:rFonts w:ascii="Arial" w:hAnsi="Arial" w:cs="Arial"/>
        </w:rPr>
        <w:t>iven the significant increase in the level of transformation activity</w:t>
      </w:r>
      <w:r>
        <w:rPr>
          <w:rFonts w:ascii="Arial" w:hAnsi="Arial" w:cs="Arial"/>
        </w:rPr>
        <w:t xml:space="preserve"> in FY</w:t>
      </w:r>
      <w:r w:rsidR="00D5103C">
        <w:rPr>
          <w:rFonts w:ascii="Arial" w:hAnsi="Arial" w:cs="Arial"/>
        </w:rPr>
        <w:t xml:space="preserve"> </w:t>
      </w:r>
      <w:r>
        <w:rPr>
          <w:rFonts w:ascii="Arial" w:hAnsi="Arial" w:cs="Arial"/>
        </w:rPr>
        <w:t>17/18</w:t>
      </w:r>
      <w:r w:rsidR="00CC518E" w:rsidRPr="004F6F19">
        <w:rPr>
          <w:rFonts w:ascii="Arial" w:hAnsi="Arial" w:cs="Arial"/>
        </w:rPr>
        <w:t xml:space="preserve">, we </w:t>
      </w:r>
      <w:r>
        <w:rPr>
          <w:rFonts w:ascii="Arial" w:hAnsi="Arial" w:cs="Arial"/>
        </w:rPr>
        <w:t xml:space="preserve">have </w:t>
      </w:r>
      <w:r w:rsidR="00CC518E" w:rsidRPr="004F6F19">
        <w:rPr>
          <w:rFonts w:ascii="Arial" w:hAnsi="Arial" w:cs="Arial"/>
        </w:rPr>
        <w:t>continue</w:t>
      </w:r>
      <w:r>
        <w:rPr>
          <w:rFonts w:ascii="Arial" w:hAnsi="Arial" w:cs="Arial"/>
        </w:rPr>
        <w:t>d</w:t>
      </w:r>
      <w:r w:rsidR="00CC518E" w:rsidRPr="004F6F19">
        <w:rPr>
          <w:rFonts w:ascii="Arial" w:hAnsi="Arial" w:cs="Arial"/>
        </w:rPr>
        <w:t xml:space="preserve"> to adapt our approach as our transformation progresses. </w:t>
      </w:r>
    </w:p>
    <w:p w14:paraId="2A3D4396" w14:textId="77777777" w:rsidR="00CC518E" w:rsidRPr="004F6F19" w:rsidRDefault="00CC518E" w:rsidP="00CC518E">
      <w:pPr>
        <w:jc w:val="left"/>
        <w:rPr>
          <w:rFonts w:ascii="Arial" w:hAnsi="Arial" w:cs="Arial"/>
        </w:rPr>
      </w:pPr>
    </w:p>
    <w:p w14:paraId="0B56A291" w14:textId="79E23788" w:rsidR="00CC518E" w:rsidRPr="004F6F19" w:rsidRDefault="00CC518E" w:rsidP="00CC518E">
      <w:pPr>
        <w:jc w:val="left"/>
        <w:rPr>
          <w:rFonts w:ascii="Arial" w:hAnsi="Arial" w:cs="Arial"/>
        </w:rPr>
      </w:pPr>
      <w:r w:rsidRPr="004F6F19">
        <w:rPr>
          <w:rFonts w:ascii="Arial" w:hAnsi="Arial" w:cs="Arial"/>
        </w:rPr>
        <w:t xml:space="preserve">During </w:t>
      </w:r>
      <w:r w:rsidR="003F0FF2">
        <w:rPr>
          <w:rFonts w:ascii="Arial" w:hAnsi="Arial" w:cs="Arial"/>
        </w:rPr>
        <w:t>the year</w:t>
      </w:r>
      <w:r w:rsidR="00A14E6C" w:rsidRPr="004F6F19">
        <w:rPr>
          <w:rFonts w:ascii="Arial" w:hAnsi="Arial" w:cs="Arial"/>
        </w:rPr>
        <w:t xml:space="preserve"> </w:t>
      </w:r>
      <w:r w:rsidRPr="004F6F19">
        <w:rPr>
          <w:rFonts w:ascii="Arial" w:hAnsi="Arial" w:cs="Arial"/>
        </w:rPr>
        <w:t>we experienced some business disruption principally reflecting product availability issues and the clearance of old ranges. We estimate a c.</w:t>
      </w:r>
      <w:r w:rsidR="00170F16">
        <w:rPr>
          <w:rFonts w:ascii="Arial" w:hAnsi="Arial" w:cs="Arial"/>
        </w:rPr>
        <w:t>1</w:t>
      </w:r>
      <w:r w:rsidR="00793186">
        <w:rPr>
          <w:rFonts w:ascii="Arial" w:hAnsi="Arial" w:cs="Arial"/>
        </w:rPr>
        <w:t>.5</w:t>
      </w:r>
      <w:r w:rsidRPr="004F6F19">
        <w:rPr>
          <w:rFonts w:ascii="Arial" w:hAnsi="Arial" w:cs="Arial"/>
        </w:rPr>
        <w:t>% LFL impact</w:t>
      </w:r>
      <w:r w:rsidR="003E5F5A">
        <w:rPr>
          <w:rFonts w:ascii="Arial" w:hAnsi="Arial" w:cs="Arial"/>
        </w:rPr>
        <w:t xml:space="preserve"> during the year.</w:t>
      </w:r>
      <w:r w:rsidRPr="004F6F19">
        <w:rPr>
          <w:rFonts w:ascii="Arial" w:hAnsi="Arial" w:cs="Arial"/>
        </w:rPr>
        <w:t xml:space="preserve"> </w:t>
      </w:r>
      <w:bookmarkStart w:id="10" w:name="_Hlk493163743"/>
      <w:r w:rsidRPr="004F6F19">
        <w:rPr>
          <w:rFonts w:ascii="Arial" w:hAnsi="Arial" w:cs="Arial"/>
        </w:rPr>
        <w:t xml:space="preserve">Availability of unified and unique ranges has </w:t>
      </w:r>
      <w:r w:rsidR="00A14E6C" w:rsidRPr="004F6F19">
        <w:rPr>
          <w:rFonts w:ascii="Arial" w:hAnsi="Arial" w:cs="Arial"/>
        </w:rPr>
        <w:t xml:space="preserve">progressively </w:t>
      </w:r>
      <w:r w:rsidRPr="004F6F19">
        <w:rPr>
          <w:rFonts w:ascii="Arial" w:hAnsi="Arial" w:cs="Arial"/>
        </w:rPr>
        <w:t>improved</w:t>
      </w:r>
      <w:bookmarkEnd w:id="10"/>
      <w:r w:rsidRPr="004F6F19">
        <w:rPr>
          <w:rFonts w:ascii="Arial" w:hAnsi="Arial" w:cs="Arial"/>
        </w:rPr>
        <w:t xml:space="preserve">. </w:t>
      </w:r>
    </w:p>
    <w:p w14:paraId="15A75CAF" w14:textId="77777777" w:rsidR="00CC518E" w:rsidRPr="004F6F19" w:rsidRDefault="00CC518E" w:rsidP="00CC518E">
      <w:pPr>
        <w:jc w:val="left"/>
        <w:rPr>
          <w:rFonts w:ascii="Arial" w:hAnsi="Arial" w:cs="Arial"/>
          <w:highlight w:val="yellow"/>
        </w:rPr>
      </w:pPr>
    </w:p>
    <w:p w14:paraId="75E75489" w14:textId="77777777" w:rsidR="00CC518E" w:rsidRPr="004F6F19" w:rsidRDefault="00CC518E" w:rsidP="00CC518E">
      <w:pPr>
        <w:jc w:val="left"/>
        <w:rPr>
          <w:rFonts w:ascii="Arial" w:hAnsi="Arial" w:cs="Arial"/>
        </w:rPr>
      </w:pPr>
      <w:r w:rsidRPr="004F6F19">
        <w:rPr>
          <w:rFonts w:ascii="Arial" w:hAnsi="Arial" w:cs="Arial"/>
        </w:rPr>
        <w:t>The root causes of this disruption relate to the combined impact of:</w:t>
      </w:r>
    </w:p>
    <w:p w14:paraId="46A2F3EB" w14:textId="77777777" w:rsidR="00CC518E" w:rsidRPr="004F6F19" w:rsidRDefault="00CC518E" w:rsidP="00CC518E">
      <w:pPr>
        <w:jc w:val="left"/>
        <w:rPr>
          <w:rFonts w:ascii="Arial" w:hAnsi="Arial" w:cs="Arial"/>
          <w:highlight w:val="yellow"/>
        </w:rPr>
      </w:pPr>
    </w:p>
    <w:p w14:paraId="74746ACA" w14:textId="0B353308" w:rsidR="00CC518E" w:rsidRPr="004F6F19" w:rsidRDefault="00CC518E" w:rsidP="00CC518E">
      <w:pPr>
        <w:pStyle w:val="ListParagraph"/>
        <w:numPr>
          <w:ilvl w:val="0"/>
          <w:numId w:val="13"/>
        </w:numPr>
        <w:ind w:left="360"/>
        <w:jc w:val="left"/>
        <w:rPr>
          <w:rFonts w:ascii="Arial" w:hAnsi="Arial" w:cs="Arial"/>
        </w:rPr>
      </w:pPr>
      <w:bookmarkStart w:id="11" w:name="_Hlk492629109"/>
      <w:r w:rsidRPr="004F6F19">
        <w:rPr>
          <w:rFonts w:ascii="Arial" w:hAnsi="Arial" w:cs="Arial"/>
        </w:rPr>
        <w:t>Clearing of old ranges and remerchandising of new ranges as we physically impact</w:t>
      </w:r>
      <w:r w:rsidR="00A14E6C" w:rsidRPr="004F6F19">
        <w:rPr>
          <w:rFonts w:ascii="Arial" w:hAnsi="Arial" w:cs="Arial"/>
        </w:rPr>
        <w:t>ed</w:t>
      </w:r>
      <w:r w:rsidRPr="004F6F19">
        <w:rPr>
          <w:rFonts w:ascii="Arial" w:hAnsi="Arial" w:cs="Arial"/>
        </w:rPr>
        <w:t xml:space="preserve"> 25% of our </w:t>
      </w:r>
      <w:r w:rsidR="007A2FE6">
        <w:rPr>
          <w:rFonts w:ascii="Arial" w:hAnsi="Arial" w:cs="Arial"/>
        </w:rPr>
        <w:t xml:space="preserve">total </w:t>
      </w:r>
      <w:r w:rsidRPr="004F6F19">
        <w:rPr>
          <w:rFonts w:ascii="Arial" w:hAnsi="Arial" w:cs="Arial"/>
        </w:rPr>
        <w:t>store space this year</w:t>
      </w:r>
    </w:p>
    <w:p w14:paraId="3131C138" w14:textId="12F37FE4" w:rsidR="00CC518E" w:rsidRPr="004F6F19" w:rsidRDefault="00CC518E" w:rsidP="00CC518E">
      <w:pPr>
        <w:pStyle w:val="ListParagraph"/>
        <w:numPr>
          <w:ilvl w:val="0"/>
          <w:numId w:val="13"/>
        </w:numPr>
        <w:ind w:left="360"/>
        <w:jc w:val="left"/>
        <w:rPr>
          <w:rFonts w:ascii="Arial" w:hAnsi="Arial" w:cs="Arial"/>
        </w:rPr>
      </w:pPr>
      <w:r w:rsidRPr="004F6F19">
        <w:rPr>
          <w:rFonts w:ascii="Arial" w:hAnsi="Arial" w:cs="Arial"/>
        </w:rPr>
        <w:t xml:space="preserve">Systems and data - the roll out of our unified IT platform remains on track, however the implementation process </w:t>
      </w:r>
      <w:r w:rsidR="007A2FE6">
        <w:rPr>
          <w:rFonts w:ascii="Arial" w:hAnsi="Arial" w:cs="Arial"/>
        </w:rPr>
        <w:t>places pressure on</w:t>
      </w:r>
      <w:r w:rsidRPr="004F6F19">
        <w:rPr>
          <w:rFonts w:ascii="Arial" w:hAnsi="Arial" w:cs="Arial"/>
        </w:rPr>
        <w:t xml:space="preserve"> some of the business functions </w:t>
      </w:r>
    </w:p>
    <w:p w14:paraId="5CCE424E" w14:textId="08B452F1" w:rsidR="00CC518E" w:rsidRPr="004F6F19" w:rsidRDefault="00CC518E" w:rsidP="00CC518E">
      <w:pPr>
        <w:pStyle w:val="ListParagraph"/>
        <w:numPr>
          <w:ilvl w:val="0"/>
          <w:numId w:val="13"/>
        </w:numPr>
        <w:ind w:left="360"/>
        <w:jc w:val="left"/>
        <w:rPr>
          <w:rFonts w:ascii="Arial" w:hAnsi="Arial" w:cs="Arial"/>
        </w:rPr>
      </w:pPr>
      <w:r w:rsidRPr="004F6F19">
        <w:rPr>
          <w:rFonts w:ascii="Arial" w:hAnsi="Arial" w:cs="Arial"/>
        </w:rPr>
        <w:t>New processes - transitioning to new</w:t>
      </w:r>
      <w:r w:rsidR="00A14E6C">
        <w:rPr>
          <w:rFonts w:ascii="Arial" w:hAnsi="Arial" w:cs="Arial"/>
        </w:rPr>
        <w:t xml:space="preserve"> </w:t>
      </w:r>
      <w:r w:rsidRPr="004F6F19">
        <w:rPr>
          <w:rFonts w:ascii="Arial" w:hAnsi="Arial" w:cs="Arial"/>
        </w:rPr>
        <w:t xml:space="preserve">ways of working takes time e.g. our new Offer and Supply Chain organisation </w:t>
      </w:r>
      <w:r w:rsidR="00A14E6C">
        <w:rPr>
          <w:rFonts w:ascii="Arial" w:hAnsi="Arial" w:cs="Arial"/>
        </w:rPr>
        <w:t>went</w:t>
      </w:r>
      <w:r w:rsidR="00A14E6C" w:rsidRPr="004F6F19">
        <w:rPr>
          <w:rFonts w:ascii="Arial" w:hAnsi="Arial" w:cs="Arial"/>
        </w:rPr>
        <w:t xml:space="preserve"> </w:t>
      </w:r>
      <w:r w:rsidR="00A14E6C">
        <w:rPr>
          <w:rFonts w:ascii="Arial" w:hAnsi="Arial" w:cs="Arial"/>
        </w:rPr>
        <w:t>live in June 2016</w:t>
      </w:r>
      <w:r w:rsidRPr="004F6F19">
        <w:rPr>
          <w:rFonts w:ascii="Arial" w:hAnsi="Arial" w:cs="Arial"/>
        </w:rPr>
        <w:t>, working as ONE team with unified global functions with new processes and accountabilities for the first time</w:t>
      </w:r>
    </w:p>
    <w:bookmarkEnd w:id="11"/>
    <w:p w14:paraId="6FD296AE" w14:textId="77777777" w:rsidR="00CC518E" w:rsidRPr="004F6F19" w:rsidRDefault="00CC518E" w:rsidP="00CC518E">
      <w:pPr>
        <w:jc w:val="left"/>
        <w:rPr>
          <w:rFonts w:ascii="Arial" w:hAnsi="Arial" w:cs="Arial"/>
          <w:highlight w:val="yellow"/>
        </w:rPr>
      </w:pPr>
    </w:p>
    <w:p w14:paraId="7CEB8413" w14:textId="4F651F81" w:rsidR="00CC518E" w:rsidRPr="004F6F19" w:rsidRDefault="00CC518E" w:rsidP="00CC518E">
      <w:pPr>
        <w:jc w:val="left"/>
        <w:rPr>
          <w:rFonts w:ascii="Arial" w:hAnsi="Arial" w:cs="Arial"/>
        </w:rPr>
      </w:pPr>
      <w:r w:rsidRPr="004F6F19">
        <w:rPr>
          <w:rFonts w:ascii="Arial" w:hAnsi="Arial" w:cs="Arial"/>
          <w:bCs/>
          <w:szCs w:val="24"/>
        </w:rPr>
        <w:t xml:space="preserve">We </w:t>
      </w:r>
      <w:r w:rsidR="00A14E6C" w:rsidRPr="004F6F19">
        <w:rPr>
          <w:rFonts w:ascii="Arial" w:hAnsi="Arial" w:cs="Arial"/>
          <w:bCs/>
          <w:szCs w:val="24"/>
        </w:rPr>
        <w:t xml:space="preserve">have </w:t>
      </w:r>
      <w:r w:rsidRPr="004F6F19">
        <w:rPr>
          <w:rFonts w:ascii="Arial" w:hAnsi="Arial" w:cs="Arial"/>
          <w:bCs/>
          <w:szCs w:val="24"/>
        </w:rPr>
        <w:t>act</w:t>
      </w:r>
      <w:r w:rsidR="00A14E6C" w:rsidRPr="004F6F19">
        <w:rPr>
          <w:rFonts w:ascii="Arial" w:hAnsi="Arial" w:cs="Arial"/>
          <w:bCs/>
          <w:szCs w:val="24"/>
        </w:rPr>
        <w:t>ed</w:t>
      </w:r>
      <w:r w:rsidRPr="004F6F19">
        <w:rPr>
          <w:rFonts w:ascii="Arial" w:hAnsi="Arial" w:cs="Arial"/>
          <w:bCs/>
          <w:szCs w:val="24"/>
        </w:rPr>
        <w:t xml:space="preserve"> on the root causes of business disruption and </w:t>
      </w:r>
      <w:r w:rsidR="003F0FF2">
        <w:rPr>
          <w:rFonts w:ascii="Arial" w:hAnsi="Arial" w:cs="Arial"/>
          <w:bCs/>
          <w:szCs w:val="24"/>
        </w:rPr>
        <w:t xml:space="preserve">are </w:t>
      </w:r>
      <w:r w:rsidRPr="004F6F19">
        <w:rPr>
          <w:rFonts w:ascii="Arial" w:hAnsi="Arial" w:cs="Arial"/>
          <w:bCs/>
          <w:szCs w:val="24"/>
        </w:rPr>
        <w:t xml:space="preserve">adapting our approach as we progress. </w:t>
      </w:r>
      <w:r w:rsidRPr="004F6F19">
        <w:rPr>
          <w:rFonts w:ascii="Arial" w:hAnsi="Arial" w:cs="Arial"/>
        </w:rPr>
        <w:t>Given the increased level of change, we appointed Steve Willett as Chief Transformation Officer</w:t>
      </w:r>
      <w:r w:rsidR="00A14E6C">
        <w:rPr>
          <w:rFonts w:ascii="Arial" w:hAnsi="Arial" w:cs="Arial"/>
        </w:rPr>
        <w:t xml:space="preserve">. We </w:t>
      </w:r>
      <w:r w:rsidRPr="004F6F19">
        <w:rPr>
          <w:rFonts w:ascii="Arial" w:hAnsi="Arial" w:cs="Arial"/>
        </w:rPr>
        <w:t xml:space="preserve">are </w:t>
      </w:r>
      <w:r w:rsidR="004576CB">
        <w:rPr>
          <w:rFonts w:ascii="Arial" w:hAnsi="Arial" w:cs="Arial"/>
        </w:rPr>
        <w:t xml:space="preserve">also </w:t>
      </w:r>
      <w:r w:rsidRPr="004F6F19">
        <w:rPr>
          <w:rFonts w:ascii="Arial" w:hAnsi="Arial" w:cs="Arial"/>
        </w:rPr>
        <w:t xml:space="preserve">prioritising the multiple transformation workstreams with a new phased approach e.g. </w:t>
      </w:r>
    </w:p>
    <w:p w14:paraId="7236B846" w14:textId="77777777" w:rsidR="00CC518E" w:rsidRPr="004F6F19" w:rsidRDefault="00CC518E" w:rsidP="00CC518E">
      <w:pPr>
        <w:pStyle w:val="ListParagraph"/>
        <w:jc w:val="left"/>
        <w:rPr>
          <w:rFonts w:ascii="Arial" w:hAnsi="Arial" w:cs="Arial"/>
        </w:rPr>
      </w:pPr>
    </w:p>
    <w:p w14:paraId="45F9686A" w14:textId="78F44B6A" w:rsidR="00CC518E" w:rsidRPr="004F6F19" w:rsidRDefault="00CC518E" w:rsidP="00CC518E">
      <w:pPr>
        <w:pStyle w:val="ListParagraph"/>
        <w:numPr>
          <w:ilvl w:val="0"/>
          <w:numId w:val="13"/>
        </w:numPr>
        <w:ind w:left="360"/>
        <w:jc w:val="left"/>
        <w:rPr>
          <w:rFonts w:ascii="Arial" w:hAnsi="Arial" w:cs="Arial"/>
        </w:rPr>
      </w:pPr>
      <w:r w:rsidRPr="004F6F19">
        <w:rPr>
          <w:rFonts w:ascii="Arial" w:hAnsi="Arial" w:cs="Arial"/>
        </w:rPr>
        <w:t xml:space="preserve">having reviewed the phasing of our </w:t>
      </w:r>
      <w:r w:rsidR="001259B8">
        <w:rPr>
          <w:rFonts w:ascii="Arial" w:hAnsi="Arial" w:cs="Arial"/>
        </w:rPr>
        <w:t>plans to roll out our</w:t>
      </w:r>
      <w:r w:rsidRPr="004F6F19">
        <w:rPr>
          <w:rFonts w:ascii="Arial" w:hAnsi="Arial" w:cs="Arial"/>
        </w:rPr>
        <w:t xml:space="preserve"> unified</w:t>
      </w:r>
      <w:r w:rsidR="00E564E1">
        <w:rPr>
          <w:rFonts w:ascii="Arial" w:hAnsi="Arial" w:cs="Arial"/>
        </w:rPr>
        <w:t xml:space="preserve"> product ranges</w:t>
      </w:r>
      <w:r w:rsidRPr="004F6F19">
        <w:rPr>
          <w:rFonts w:ascii="Arial" w:hAnsi="Arial" w:cs="Arial"/>
        </w:rPr>
        <w:t xml:space="preserve"> </w:t>
      </w:r>
      <w:r w:rsidR="00E564E1">
        <w:rPr>
          <w:rFonts w:ascii="Arial" w:hAnsi="Arial" w:cs="Arial"/>
        </w:rPr>
        <w:t>(</w:t>
      </w:r>
      <w:r w:rsidRPr="004F6F19">
        <w:rPr>
          <w:rFonts w:ascii="Arial" w:hAnsi="Arial" w:cs="Arial"/>
        </w:rPr>
        <w:t>COGS</w:t>
      </w:r>
      <w:r w:rsidR="00E564E1">
        <w:rPr>
          <w:rFonts w:ascii="Arial" w:hAnsi="Arial" w:cs="Arial"/>
        </w:rPr>
        <w:t>)</w:t>
      </w:r>
      <w:r w:rsidRPr="004F6F19">
        <w:rPr>
          <w:rFonts w:ascii="Arial" w:hAnsi="Arial" w:cs="Arial"/>
        </w:rPr>
        <w:t>, we</w:t>
      </w:r>
      <w:r w:rsidR="001259B8">
        <w:rPr>
          <w:rFonts w:ascii="Arial" w:hAnsi="Arial" w:cs="Arial"/>
        </w:rPr>
        <w:t xml:space="preserve"> announced our decision at our half year results</w:t>
      </w:r>
      <w:r w:rsidRPr="004F6F19">
        <w:rPr>
          <w:rFonts w:ascii="Arial" w:hAnsi="Arial" w:cs="Arial"/>
        </w:rPr>
        <w:t xml:space="preserve"> to smooth </w:t>
      </w:r>
      <w:r w:rsidR="008F033C">
        <w:rPr>
          <w:rFonts w:ascii="Arial" w:hAnsi="Arial" w:cs="Arial"/>
        </w:rPr>
        <w:t xml:space="preserve">and de-risk </w:t>
      </w:r>
      <w:r w:rsidRPr="004F6F19">
        <w:rPr>
          <w:rFonts w:ascii="Arial" w:hAnsi="Arial" w:cs="Arial"/>
        </w:rPr>
        <w:t>the profile for FY 18/19 and FY 19/20, moving from 55% to 40% and from 80% to 65% respectively</w:t>
      </w:r>
      <w:r w:rsidR="001259B8">
        <w:rPr>
          <w:rFonts w:ascii="Arial" w:hAnsi="Arial" w:cs="Arial"/>
        </w:rPr>
        <w:t xml:space="preserve">. The 90% target for FY 20/21 remains unchanged. </w:t>
      </w:r>
    </w:p>
    <w:p w14:paraId="5924FDE3" w14:textId="77777777" w:rsidR="00CC518E" w:rsidRPr="004F6F19" w:rsidRDefault="00CC518E" w:rsidP="007A42E8">
      <w:pPr>
        <w:jc w:val="left"/>
        <w:rPr>
          <w:rFonts w:ascii="Arial" w:hAnsi="Arial" w:cs="Arial"/>
        </w:rPr>
      </w:pPr>
    </w:p>
    <w:p w14:paraId="5BF02213" w14:textId="77777777" w:rsidR="00B50AC8" w:rsidRDefault="00B50AC8" w:rsidP="00134B83">
      <w:pPr>
        <w:spacing w:after="200"/>
        <w:contextualSpacing/>
        <w:jc w:val="left"/>
        <w:rPr>
          <w:rFonts w:ascii="Arial" w:hAnsi="Arial" w:cs="Arial"/>
          <w:b/>
        </w:rPr>
      </w:pPr>
    </w:p>
    <w:p w14:paraId="2AB5E1E4" w14:textId="07B5074F" w:rsidR="00A372A7" w:rsidRPr="00FE4EBA" w:rsidRDefault="00332C10" w:rsidP="00134B83">
      <w:pPr>
        <w:spacing w:after="200"/>
        <w:contextualSpacing/>
        <w:jc w:val="left"/>
        <w:rPr>
          <w:rFonts w:ascii="Arial" w:hAnsi="Arial" w:cs="Arial"/>
          <w:b/>
        </w:rPr>
      </w:pPr>
      <w:r w:rsidRPr="00342365">
        <w:rPr>
          <w:rFonts w:ascii="Arial" w:hAnsi="Arial" w:cs="Arial"/>
          <w:b/>
        </w:rPr>
        <w:t>Strategic</w:t>
      </w:r>
      <w:r w:rsidR="00A80137" w:rsidRPr="00342365">
        <w:rPr>
          <w:rFonts w:ascii="Arial" w:hAnsi="Arial" w:cs="Arial"/>
          <w:b/>
        </w:rPr>
        <w:t xml:space="preserve"> </w:t>
      </w:r>
      <w:r w:rsidRPr="00342365">
        <w:rPr>
          <w:rFonts w:ascii="Arial" w:hAnsi="Arial" w:cs="Arial"/>
          <w:b/>
        </w:rPr>
        <w:t>m</w:t>
      </w:r>
      <w:r w:rsidR="00A80137" w:rsidRPr="00342365">
        <w:rPr>
          <w:rFonts w:ascii="Arial" w:hAnsi="Arial" w:cs="Arial"/>
          <w:b/>
        </w:rPr>
        <w:t>ilestones</w:t>
      </w:r>
      <w:r w:rsidRPr="00342365">
        <w:rPr>
          <w:rFonts w:ascii="Arial" w:hAnsi="Arial" w:cs="Arial"/>
          <w:b/>
        </w:rPr>
        <w:t xml:space="preserve"> for </w:t>
      </w:r>
      <w:r w:rsidR="008F1704">
        <w:rPr>
          <w:rFonts w:ascii="Arial" w:hAnsi="Arial" w:cs="Arial"/>
          <w:b/>
        </w:rPr>
        <w:t xml:space="preserve">FY </w:t>
      </w:r>
      <w:r w:rsidRPr="00342365">
        <w:rPr>
          <w:rFonts w:ascii="Arial" w:hAnsi="Arial" w:cs="Arial"/>
          <w:b/>
        </w:rPr>
        <w:t>1</w:t>
      </w:r>
      <w:r w:rsidR="00D13923" w:rsidRPr="00342365">
        <w:rPr>
          <w:rFonts w:ascii="Arial" w:hAnsi="Arial" w:cs="Arial"/>
          <w:b/>
        </w:rPr>
        <w:t>8</w:t>
      </w:r>
      <w:r w:rsidRPr="00342365">
        <w:rPr>
          <w:rFonts w:ascii="Arial" w:hAnsi="Arial" w:cs="Arial"/>
          <w:b/>
        </w:rPr>
        <w:t>/1</w:t>
      </w:r>
      <w:r w:rsidR="00D13923" w:rsidRPr="00342365">
        <w:rPr>
          <w:rFonts w:ascii="Arial" w:hAnsi="Arial" w:cs="Arial"/>
          <w:b/>
        </w:rPr>
        <w:t>9</w:t>
      </w:r>
      <w:r w:rsidR="00A35D34" w:rsidRPr="00342365">
        <w:rPr>
          <w:rFonts w:ascii="Arial" w:hAnsi="Arial" w:cs="Arial"/>
          <w:b/>
        </w:rPr>
        <w:t>:</w:t>
      </w:r>
    </w:p>
    <w:p w14:paraId="5031A942" w14:textId="0D0CFF16" w:rsidR="00B50AC8" w:rsidRDefault="00B50AC8">
      <w:pPr>
        <w:jc w:val="left"/>
        <w:rPr>
          <w:rFonts w:ascii="Arial" w:hAnsi="Arial" w:cs="Arial"/>
          <w:b/>
        </w:rPr>
      </w:pPr>
    </w:p>
    <w:p w14:paraId="46A2A6E3" w14:textId="0DFEB56B" w:rsidR="009742E7" w:rsidRPr="00D978CF" w:rsidRDefault="009742E7">
      <w:pPr>
        <w:jc w:val="left"/>
        <w:rPr>
          <w:rFonts w:ascii="Arial" w:hAnsi="Arial" w:cs="Arial"/>
        </w:rPr>
      </w:pPr>
      <w:r w:rsidRPr="0029201B">
        <w:rPr>
          <w:rFonts w:ascii="Arial" w:hAnsi="Arial" w:cs="Arial"/>
        </w:rPr>
        <w:t xml:space="preserve">After </w:t>
      </w:r>
      <w:r w:rsidRPr="00D978CF">
        <w:rPr>
          <w:rFonts w:ascii="Arial" w:hAnsi="Arial" w:cs="Arial"/>
        </w:rPr>
        <w:t>two years of successful delivery of</w:t>
      </w:r>
      <w:r w:rsidR="002421EB" w:rsidRPr="0029201B">
        <w:rPr>
          <w:rFonts w:ascii="Arial" w:hAnsi="Arial" w:cs="Arial"/>
        </w:rPr>
        <w:t xml:space="preserve"> o</w:t>
      </w:r>
      <w:r w:rsidR="002421EB" w:rsidRPr="00FA4CBF">
        <w:rPr>
          <w:rFonts w:ascii="Arial" w:hAnsi="Arial" w:cs="Arial"/>
        </w:rPr>
        <w:t>ur</w:t>
      </w:r>
      <w:r w:rsidR="00F07AFB">
        <w:rPr>
          <w:rFonts w:ascii="Arial" w:hAnsi="Arial" w:cs="Arial"/>
        </w:rPr>
        <w:t xml:space="preserve"> key</w:t>
      </w:r>
      <w:r w:rsidRPr="00D978CF">
        <w:rPr>
          <w:rFonts w:ascii="Arial" w:hAnsi="Arial" w:cs="Arial"/>
        </w:rPr>
        <w:t xml:space="preserve"> strategic milestones</w:t>
      </w:r>
      <w:r w:rsidRPr="0029201B">
        <w:rPr>
          <w:rFonts w:ascii="Arial" w:hAnsi="Arial" w:cs="Arial"/>
        </w:rPr>
        <w:t xml:space="preserve"> we have set out our milestones for FY 18/</w:t>
      </w:r>
      <w:r w:rsidRPr="00FA4CBF">
        <w:rPr>
          <w:rFonts w:ascii="Arial" w:hAnsi="Arial" w:cs="Arial"/>
        </w:rPr>
        <w:t>19:</w:t>
      </w:r>
    </w:p>
    <w:p w14:paraId="713D2D8D" w14:textId="77777777" w:rsidR="009742E7" w:rsidRDefault="009742E7">
      <w:pPr>
        <w:jc w:val="left"/>
        <w:rPr>
          <w:rFonts w:ascii="Arial" w:hAnsi="Arial" w:cs="Arial"/>
          <w:b/>
        </w:rPr>
      </w:pPr>
    </w:p>
    <w:p w14:paraId="093429A1" w14:textId="48AACD3E" w:rsidR="00B50AC8" w:rsidRDefault="003A1476">
      <w:pPr>
        <w:jc w:val="left"/>
        <w:rPr>
          <w:rFonts w:ascii="Arial" w:hAnsi="Arial" w:cs="Arial"/>
          <w:u w:val="single"/>
        </w:rPr>
      </w:pPr>
      <w:r>
        <w:rPr>
          <w:rFonts w:ascii="Arial" w:hAnsi="Arial" w:cs="Arial"/>
          <w:u w:val="single"/>
        </w:rPr>
        <w:t>Unified &amp; unique o</w:t>
      </w:r>
      <w:r w:rsidR="00B50AC8" w:rsidRPr="001908E1">
        <w:rPr>
          <w:rFonts w:ascii="Arial" w:hAnsi="Arial" w:cs="Arial"/>
          <w:u w:val="single"/>
        </w:rPr>
        <w:t>ffer</w:t>
      </w:r>
    </w:p>
    <w:p w14:paraId="03E5B482" w14:textId="1E4A9062" w:rsidR="00B50AC8" w:rsidRDefault="00B50AC8">
      <w:pPr>
        <w:jc w:val="left"/>
        <w:rPr>
          <w:rFonts w:ascii="Arial" w:hAnsi="Arial" w:cs="Arial"/>
          <w:u w:val="single"/>
        </w:rPr>
      </w:pPr>
    </w:p>
    <w:p w14:paraId="0DF39D1C" w14:textId="4CFA13B1" w:rsidR="008F1704" w:rsidRPr="001908E1" w:rsidRDefault="008F1704" w:rsidP="008F1704">
      <w:pPr>
        <w:pStyle w:val="ListParagraph"/>
        <w:numPr>
          <w:ilvl w:val="0"/>
          <w:numId w:val="13"/>
        </w:numPr>
        <w:ind w:left="720"/>
        <w:jc w:val="left"/>
        <w:rPr>
          <w:rFonts w:ascii="Arial" w:hAnsi="Arial" w:cs="Arial"/>
          <w:u w:val="single"/>
        </w:rPr>
      </w:pPr>
      <w:r>
        <w:rPr>
          <w:rFonts w:ascii="Arial" w:hAnsi="Arial" w:cs="Arial"/>
          <w:i/>
        </w:rPr>
        <w:t>Deliver</w:t>
      </w:r>
      <w:r w:rsidR="006A63A4">
        <w:rPr>
          <w:rFonts w:ascii="Arial" w:hAnsi="Arial" w:cs="Arial"/>
          <w:i/>
        </w:rPr>
        <w:t xml:space="preserve"> </w:t>
      </w:r>
      <w:r>
        <w:rPr>
          <w:rFonts w:ascii="Arial" w:hAnsi="Arial" w:cs="Arial"/>
          <w:i/>
        </w:rPr>
        <w:t>growth</w:t>
      </w:r>
      <w:r w:rsidR="00832149">
        <w:rPr>
          <w:rFonts w:ascii="Arial" w:hAnsi="Arial" w:cs="Arial"/>
          <w:i/>
        </w:rPr>
        <w:t xml:space="preserve"> in</w:t>
      </w:r>
      <w:r>
        <w:rPr>
          <w:rFonts w:ascii="Arial" w:hAnsi="Arial" w:cs="Arial"/>
          <w:i/>
        </w:rPr>
        <w:t xml:space="preserve"> unified &amp; </w:t>
      </w:r>
      <w:r w:rsidR="00922456">
        <w:rPr>
          <w:rFonts w:ascii="Arial" w:hAnsi="Arial" w:cs="Arial"/>
          <w:i/>
        </w:rPr>
        <w:t>unique sales and gross margin</w:t>
      </w:r>
    </w:p>
    <w:p w14:paraId="2D91B913" w14:textId="0E0B813C" w:rsidR="00B50AC8" w:rsidRPr="001908E1" w:rsidRDefault="006A63A4" w:rsidP="00D978CF">
      <w:pPr>
        <w:pStyle w:val="ListParagraph"/>
        <w:numPr>
          <w:ilvl w:val="0"/>
          <w:numId w:val="13"/>
        </w:numPr>
        <w:ind w:left="720"/>
        <w:jc w:val="left"/>
        <w:rPr>
          <w:rFonts w:ascii="Arial" w:hAnsi="Arial" w:cs="Arial"/>
          <w:u w:val="single"/>
        </w:rPr>
      </w:pPr>
      <w:r>
        <w:rPr>
          <w:rFonts w:ascii="Arial" w:hAnsi="Arial" w:cs="Arial"/>
          <w:i/>
        </w:rPr>
        <w:t>Unify</w:t>
      </w:r>
      <w:r w:rsidR="00E564E1">
        <w:rPr>
          <w:rFonts w:ascii="Arial" w:hAnsi="Arial" w:cs="Arial"/>
          <w:i/>
        </w:rPr>
        <w:t xml:space="preserve"> </w:t>
      </w:r>
      <w:r w:rsidR="00B50AC8">
        <w:rPr>
          <w:rFonts w:ascii="Arial" w:hAnsi="Arial" w:cs="Arial"/>
          <w:i/>
        </w:rPr>
        <w:t xml:space="preserve">40% </w:t>
      </w:r>
      <w:r>
        <w:rPr>
          <w:rFonts w:ascii="Arial" w:hAnsi="Arial" w:cs="Arial"/>
          <w:i/>
        </w:rPr>
        <w:t xml:space="preserve">of </w:t>
      </w:r>
      <w:r w:rsidR="00E564E1">
        <w:rPr>
          <w:rFonts w:ascii="Arial" w:hAnsi="Arial" w:cs="Arial"/>
          <w:i/>
        </w:rPr>
        <w:t>product (</w:t>
      </w:r>
      <w:r w:rsidR="00B50AC8">
        <w:rPr>
          <w:rFonts w:ascii="Arial" w:hAnsi="Arial" w:cs="Arial"/>
          <w:i/>
        </w:rPr>
        <w:t>COGS</w:t>
      </w:r>
      <w:r w:rsidR="00E564E1">
        <w:rPr>
          <w:rFonts w:ascii="Arial" w:hAnsi="Arial" w:cs="Arial"/>
          <w:i/>
        </w:rPr>
        <w:t>)</w:t>
      </w:r>
      <w:r>
        <w:rPr>
          <w:rFonts w:ascii="Arial" w:hAnsi="Arial" w:cs="Arial"/>
          <w:i/>
        </w:rPr>
        <w:t xml:space="preserve"> </w:t>
      </w:r>
    </w:p>
    <w:p w14:paraId="243D04F5" w14:textId="77777777" w:rsidR="00B50AC8" w:rsidRPr="00FE4EBA" w:rsidRDefault="00B50AC8" w:rsidP="00D978CF">
      <w:pPr>
        <w:spacing w:after="200"/>
        <w:ind w:left="360"/>
        <w:contextualSpacing/>
        <w:jc w:val="left"/>
        <w:rPr>
          <w:rFonts w:ascii="Arial" w:hAnsi="Arial" w:cs="Arial"/>
          <w:b/>
        </w:rPr>
      </w:pPr>
    </w:p>
    <w:p w14:paraId="128B5A87" w14:textId="70F499A6" w:rsidR="00850C03" w:rsidRDefault="00B50AC8">
      <w:pPr>
        <w:jc w:val="left"/>
        <w:rPr>
          <w:rFonts w:ascii="Arial" w:hAnsi="Arial" w:cs="Arial"/>
          <w:u w:val="single"/>
        </w:rPr>
      </w:pPr>
      <w:r w:rsidRPr="001908E1">
        <w:rPr>
          <w:rFonts w:ascii="Arial" w:hAnsi="Arial" w:cs="Arial"/>
          <w:u w:val="single"/>
        </w:rPr>
        <w:t>Digital</w:t>
      </w:r>
    </w:p>
    <w:p w14:paraId="72B75D3A" w14:textId="77777777" w:rsidR="00F55A5B" w:rsidRDefault="00F55A5B">
      <w:pPr>
        <w:jc w:val="left"/>
        <w:rPr>
          <w:rFonts w:ascii="Arial" w:hAnsi="Arial" w:cs="Arial"/>
          <w:u w:val="single"/>
        </w:rPr>
      </w:pPr>
    </w:p>
    <w:p w14:paraId="5F902DE2" w14:textId="7856DA00" w:rsidR="00B50AC8" w:rsidRPr="001908E1" w:rsidRDefault="00B50AC8" w:rsidP="00D978CF">
      <w:pPr>
        <w:pStyle w:val="ListParagraph"/>
        <w:numPr>
          <w:ilvl w:val="0"/>
          <w:numId w:val="13"/>
        </w:numPr>
        <w:ind w:left="720"/>
        <w:jc w:val="left"/>
        <w:rPr>
          <w:rFonts w:ascii="Arial" w:hAnsi="Arial" w:cs="Arial"/>
          <w:i/>
        </w:rPr>
      </w:pPr>
      <w:r w:rsidRPr="001908E1">
        <w:rPr>
          <w:rFonts w:ascii="Arial" w:hAnsi="Arial" w:cs="Arial"/>
          <w:i/>
        </w:rPr>
        <w:t xml:space="preserve">Complete </w:t>
      </w:r>
      <w:r w:rsidR="000F68C6">
        <w:rPr>
          <w:rFonts w:ascii="Arial" w:hAnsi="Arial" w:cs="Arial"/>
          <w:i/>
        </w:rPr>
        <w:t xml:space="preserve">final year of </w:t>
      </w:r>
      <w:r w:rsidRPr="001908E1">
        <w:rPr>
          <w:rFonts w:ascii="Arial" w:hAnsi="Arial" w:cs="Arial"/>
          <w:i/>
        </w:rPr>
        <w:t>uni</w:t>
      </w:r>
      <w:r w:rsidR="00934D60">
        <w:rPr>
          <w:rFonts w:ascii="Arial" w:hAnsi="Arial" w:cs="Arial"/>
          <w:i/>
        </w:rPr>
        <w:t xml:space="preserve">fied IT platform roll out to </w:t>
      </w:r>
      <w:proofErr w:type="spellStart"/>
      <w:r w:rsidR="00934D60">
        <w:rPr>
          <w:rFonts w:ascii="Arial" w:hAnsi="Arial" w:cs="Arial"/>
          <w:i/>
        </w:rPr>
        <w:t>OpC</w:t>
      </w:r>
      <w:r w:rsidRPr="001908E1">
        <w:rPr>
          <w:rFonts w:ascii="Arial" w:hAnsi="Arial" w:cs="Arial"/>
          <w:i/>
        </w:rPr>
        <w:t>os</w:t>
      </w:r>
      <w:proofErr w:type="spellEnd"/>
    </w:p>
    <w:p w14:paraId="5BE23258" w14:textId="77777777" w:rsidR="00B50AC8" w:rsidRPr="002146A2" w:rsidRDefault="00B50AC8" w:rsidP="00D978CF">
      <w:pPr>
        <w:pStyle w:val="ListParagraph"/>
        <w:numPr>
          <w:ilvl w:val="0"/>
          <w:numId w:val="13"/>
        </w:numPr>
        <w:ind w:left="720"/>
        <w:jc w:val="left"/>
        <w:rPr>
          <w:rFonts w:ascii="Arial" w:hAnsi="Arial" w:cs="Arial"/>
          <w:i/>
        </w:rPr>
      </w:pPr>
      <w:r>
        <w:rPr>
          <w:rFonts w:ascii="Arial" w:hAnsi="Arial" w:cs="Arial"/>
          <w:i/>
        </w:rPr>
        <w:t xml:space="preserve">Complete ecommerce </w:t>
      </w:r>
      <w:proofErr w:type="gramStart"/>
      <w:r>
        <w:rPr>
          <w:rFonts w:ascii="Arial" w:hAnsi="Arial" w:cs="Arial"/>
          <w:i/>
        </w:rPr>
        <w:t>roll</w:t>
      </w:r>
      <w:proofErr w:type="gramEnd"/>
      <w:r>
        <w:rPr>
          <w:rFonts w:ascii="Arial" w:hAnsi="Arial" w:cs="Arial"/>
          <w:i/>
        </w:rPr>
        <w:t xml:space="preserve"> out in France &amp; Poland</w:t>
      </w:r>
    </w:p>
    <w:p w14:paraId="2C5D9673" w14:textId="4B000650" w:rsidR="00B50AC8" w:rsidRDefault="00B50AC8" w:rsidP="00D978CF">
      <w:pPr>
        <w:pStyle w:val="ListParagraph"/>
        <w:numPr>
          <w:ilvl w:val="0"/>
          <w:numId w:val="13"/>
        </w:numPr>
        <w:ind w:left="720"/>
        <w:jc w:val="left"/>
        <w:rPr>
          <w:rFonts w:ascii="Arial" w:hAnsi="Arial" w:cs="Arial"/>
          <w:i/>
        </w:rPr>
      </w:pPr>
      <w:r>
        <w:rPr>
          <w:rFonts w:ascii="Arial" w:hAnsi="Arial" w:cs="Arial"/>
          <w:i/>
        </w:rPr>
        <w:t>Market launch of first home improvement services in UK &amp; France</w:t>
      </w:r>
    </w:p>
    <w:p w14:paraId="2C1B2344" w14:textId="21BDAA3A" w:rsidR="00B50AC8" w:rsidRDefault="00B50AC8" w:rsidP="00D978CF">
      <w:pPr>
        <w:pStyle w:val="ListParagraph"/>
        <w:ind w:left="0"/>
        <w:jc w:val="left"/>
        <w:rPr>
          <w:rFonts w:ascii="Arial" w:hAnsi="Arial" w:cs="Arial"/>
          <w:i/>
        </w:rPr>
      </w:pPr>
    </w:p>
    <w:p w14:paraId="04383709" w14:textId="1BE4217B" w:rsidR="00B50AC8" w:rsidRDefault="003A1476">
      <w:pPr>
        <w:jc w:val="left"/>
        <w:rPr>
          <w:rFonts w:ascii="Arial" w:hAnsi="Arial" w:cs="Arial"/>
          <w:u w:val="single"/>
        </w:rPr>
      </w:pPr>
      <w:r>
        <w:rPr>
          <w:rFonts w:ascii="Arial" w:hAnsi="Arial" w:cs="Arial"/>
          <w:u w:val="single"/>
        </w:rPr>
        <w:t>Operational e</w:t>
      </w:r>
      <w:r w:rsidR="00B50AC8" w:rsidRPr="001908E1">
        <w:rPr>
          <w:rFonts w:ascii="Arial" w:hAnsi="Arial" w:cs="Arial"/>
          <w:u w:val="single"/>
        </w:rPr>
        <w:t>fficiency</w:t>
      </w:r>
    </w:p>
    <w:p w14:paraId="4EFFE5F6" w14:textId="4A25E1E9" w:rsidR="00B50AC8" w:rsidRDefault="00B50AC8">
      <w:pPr>
        <w:jc w:val="left"/>
        <w:rPr>
          <w:rFonts w:ascii="Arial" w:hAnsi="Arial" w:cs="Arial"/>
          <w:u w:val="single"/>
        </w:rPr>
      </w:pPr>
    </w:p>
    <w:p w14:paraId="282B8450" w14:textId="77777777" w:rsidR="0038109A" w:rsidRPr="002146A2" w:rsidRDefault="0038109A" w:rsidP="0038109A">
      <w:pPr>
        <w:pStyle w:val="ListParagraph"/>
        <w:numPr>
          <w:ilvl w:val="0"/>
          <w:numId w:val="56"/>
        </w:numPr>
        <w:jc w:val="left"/>
        <w:rPr>
          <w:rFonts w:ascii="Arial" w:hAnsi="Arial" w:cs="Arial"/>
        </w:rPr>
      </w:pPr>
      <w:r>
        <w:rPr>
          <w:rFonts w:ascii="Arial" w:hAnsi="Arial" w:cs="Arial"/>
          <w:i/>
        </w:rPr>
        <w:t xml:space="preserve">Implement finance shared services in at least two </w:t>
      </w:r>
      <w:proofErr w:type="spellStart"/>
      <w:r>
        <w:rPr>
          <w:rFonts w:ascii="Arial" w:hAnsi="Arial" w:cs="Arial"/>
          <w:i/>
        </w:rPr>
        <w:t>OpCos</w:t>
      </w:r>
      <w:proofErr w:type="spellEnd"/>
    </w:p>
    <w:p w14:paraId="560D89F8" w14:textId="173E75EE" w:rsidR="00B50AC8" w:rsidRPr="002146A2" w:rsidRDefault="00B50AC8" w:rsidP="00B50AC8">
      <w:pPr>
        <w:pStyle w:val="ListParagraph"/>
        <w:numPr>
          <w:ilvl w:val="0"/>
          <w:numId w:val="56"/>
        </w:numPr>
        <w:jc w:val="left"/>
        <w:rPr>
          <w:rFonts w:ascii="Arial" w:hAnsi="Arial" w:cs="Arial"/>
        </w:rPr>
      </w:pPr>
      <w:r>
        <w:rPr>
          <w:rFonts w:ascii="Arial" w:hAnsi="Arial" w:cs="Arial"/>
          <w:i/>
        </w:rPr>
        <w:t>Deliver £</w:t>
      </w:r>
      <w:r w:rsidR="0038109A">
        <w:rPr>
          <w:rFonts w:ascii="Arial" w:hAnsi="Arial" w:cs="Arial"/>
          <w:i/>
        </w:rPr>
        <w:t>3</w:t>
      </w:r>
      <w:r>
        <w:rPr>
          <w:rFonts w:ascii="Arial" w:hAnsi="Arial" w:cs="Arial"/>
          <w:i/>
        </w:rPr>
        <w:t xml:space="preserve">0m benefits </w:t>
      </w:r>
      <w:r w:rsidR="0038109A">
        <w:rPr>
          <w:rFonts w:ascii="Arial" w:hAnsi="Arial" w:cs="Arial"/>
          <w:i/>
        </w:rPr>
        <w:t>(</w:t>
      </w:r>
      <w:r>
        <w:rPr>
          <w:rFonts w:ascii="Arial" w:hAnsi="Arial" w:cs="Arial"/>
          <w:i/>
        </w:rPr>
        <w:t>from unified GNFR programme</w:t>
      </w:r>
      <w:r w:rsidR="0038109A">
        <w:rPr>
          <w:rFonts w:ascii="Arial" w:hAnsi="Arial" w:cs="Arial"/>
          <w:i/>
        </w:rPr>
        <w:t xml:space="preserve"> and other efficiencies)</w:t>
      </w:r>
    </w:p>
    <w:p w14:paraId="2A5895CA" w14:textId="32EBB873" w:rsidR="00B50AC8" w:rsidRDefault="00B50AC8">
      <w:pPr>
        <w:jc w:val="left"/>
        <w:rPr>
          <w:rFonts w:ascii="Arial" w:hAnsi="Arial" w:cs="Arial"/>
          <w:u w:val="single"/>
        </w:rPr>
      </w:pPr>
    </w:p>
    <w:p w14:paraId="180FD737" w14:textId="5AAAB530" w:rsidR="00B50AC8" w:rsidRDefault="003A1476">
      <w:pPr>
        <w:jc w:val="left"/>
        <w:rPr>
          <w:rFonts w:ascii="Arial" w:hAnsi="Arial" w:cs="Arial"/>
          <w:u w:val="single"/>
        </w:rPr>
      </w:pPr>
      <w:bookmarkStart w:id="12" w:name="_Hlk508892733"/>
      <w:r>
        <w:rPr>
          <w:rFonts w:ascii="Arial" w:hAnsi="Arial" w:cs="Arial"/>
          <w:u w:val="single"/>
        </w:rPr>
        <w:t>Retail o</w:t>
      </w:r>
      <w:r w:rsidR="00B50AC8">
        <w:rPr>
          <w:rFonts w:ascii="Arial" w:hAnsi="Arial" w:cs="Arial"/>
          <w:u w:val="single"/>
        </w:rPr>
        <w:t>perations</w:t>
      </w:r>
    </w:p>
    <w:p w14:paraId="4C8877B7" w14:textId="2A6587C4" w:rsidR="00B50AC8" w:rsidRDefault="00B50AC8">
      <w:pPr>
        <w:jc w:val="left"/>
        <w:rPr>
          <w:rFonts w:ascii="Arial" w:hAnsi="Arial" w:cs="Arial"/>
          <w:u w:val="single"/>
        </w:rPr>
      </w:pPr>
    </w:p>
    <w:p w14:paraId="14162D58" w14:textId="23018729" w:rsidR="00B50AC8" w:rsidRPr="00E34E41" w:rsidRDefault="00B50AC8" w:rsidP="00D978CF">
      <w:pPr>
        <w:pStyle w:val="ListParagraph"/>
        <w:numPr>
          <w:ilvl w:val="0"/>
          <w:numId w:val="57"/>
        </w:numPr>
        <w:jc w:val="left"/>
        <w:rPr>
          <w:rFonts w:ascii="Arial" w:hAnsi="Arial" w:cs="Arial"/>
          <w:u w:val="single"/>
        </w:rPr>
      </w:pPr>
      <w:r w:rsidRPr="00E34E41">
        <w:rPr>
          <w:rFonts w:ascii="Arial" w:hAnsi="Arial" w:cs="Arial"/>
          <w:i/>
        </w:rPr>
        <w:t>Maintain higher colleague engagement scores</w:t>
      </w:r>
      <w:r w:rsidR="00D5103C" w:rsidRPr="00E34E41">
        <w:rPr>
          <w:rFonts w:ascii="Arial" w:hAnsi="Arial" w:cs="Arial"/>
          <w:i/>
        </w:rPr>
        <w:t xml:space="preserve"> than retail sector</w:t>
      </w:r>
    </w:p>
    <w:bookmarkEnd w:id="12"/>
    <w:p w14:paraId="77421E09" w14:textId="77777777" w:rsidR="00B50AC8" w:rsidRPr="002146A2" w:rsidRDefault="00B50AC8">
      <w:pPr>
        <w:jc w:val="left"/>
        <w:rPr>
          <w:rFonts w:ascii="Arial" w:hAnsi="Arial" w:cs="Arial"/>
          <w:b/>
        </w:rPr>
      </w:pPr>
    </w:p>
    <w:p w14:paraId="1A65CD12" w14:textId="50B1DF35" w:rsidR="00850C03" w:rsidRPr="00FE4EBA" w:rsidRDefault="00850C03">
      <w:pPr>
        <w:jc w:val="left"/>
        <w:rPr>
          <w:rFonts w:ascii="Arial" w:hAnsi="Arial" w:cs="Arial"/>
          <w:b/>
          <w:highlight w:val="yellow"/>
        </w:rPr>
      </w:pPr>
    </w:p>
    <w:p w14:paraId="70B164CD" w14:textId="779C881F" w:rsidR="00F750B6" w:rsidRDefault="00F750B6" w:rsidP="00850C03">
      <w:pPr>
        <w:jc w:val="left"/>
        <w:rPr>
          <w:rFonts w:ascii="Arial" w:hAnsi="Arial" w:cs="Arial"/>
          <w:b/>
        </w:rPr>
      </w:pPr>
    </w:p>
    <w:p w14:paraId="0C551B64" w14:textId="0A15E21A" w:rsidR="00850C03" w:rsidRPr="00A4162D" w:rsidRDefault="00850C03" w:rsidP="00850C03">
      <w:pPr>
        <w:jc w:val="left"/>
        <w:rPr>
          <w:rFonts w:ascii="Arial" w:hAnsi="Arial" w:cs="Arial"/>
          <w:lang w:val="en-US"/>
        </w:rPr>
      </w:pPr>
      <w:r w:rsidRPr="00A845B7">
        <w:rPr>
          <w:rFonts w:ascii="Arial" w:hAnsi="Arial" w:cs="Arial"/>
          <w:b/>
        </w:rPr>
        <w:lastRenderedPageBreak/>
        <w:t>Sustainability</w:t>
      </w:r>
      <w:r>
        <w:rPr>
          <w:rFonts w:ascii="Arial" w:hAnsi="Arial" w:cs="Arial"/>
          <w:b/>
        </w:rPr>
        <w:t xml:space="preserve">: </w:t>
      </w:r>
      <w:r w:rsidRPr="00342365">
        <w:rPr>
          <w:rFonts w:ascii="Arial" w:hAnsi="Arial" w:cs="Arial"/>
          <w:b/>
          <w:lang w:val="en-US"/>
        </w:rPr>
        <w:t>Creating Good Homes for Everyone</w:t>
      </w:r>
    </w:p>
    <w:p w14:paraId="38087357" w14:textId="77777777" w:rsidR="00850C03" w:rsidRPr="00BC3AEE" w:rsidRDefault="00850C03" w:rsidP="00850C03">
      <w:pPr>
        <w:jc w:val="left"/>
        <w:rPr>
          <w:rFonts w:ascii="Arial" w:hAnsi="Arial" w:cs="Arial"/>
          <w:sz w:val="24"/>
          <w:szCs w:val="24"/>
        </w:rPr>
      </w:pPr>
    </w:p>
    <w:p w14:paraId="373DAA4C" w14:textId="62958B59" w:rsidR="00850C03" w:rsidRPr="00A4162D" w:rsidRDefault="00850C03" w:rsidP="00850C03">
      <w:pPr>
        <w:jc w:val="left"/>
        <w:rPr>
          <w:rFonts w:ascii="Arial" w:hAnsi="Arial" w:cs="Arial"/>
          <w:lang w:val="en-US"/>
        </w:rPr>
      </w:pPr>
      <w:bookmarkStart w:id="13" w:name="_Hlk508881941"/>
      <w:r w:rsidRPr="00A4162D">
        <w:rPr>
          <w:rFonts w:ascii="Arial" w:hAnsi="Arial" w:cs="Arial"/>
          <w:lang w:val="en-US"/>
        </w:rPr>
        <w:t xml:space="preserve">This year, </w:t>
      </w:r>
      <w:r w:rsidR="00D5103C">
        <w:rPr>
          <w:rFonts w:ascii="Arial" w:hAnsi="Arial" w:cs="Arial"/>
          <w:lang w:val="en-US"/>
        </w:rPr>
        <w:t xml:space="preserve">we </w:t>
      </w:r>
      <w:r w:rsidRPr="00A4162D">
        <w:rPr>
          <w:rFonts w:ascii="Arial" w:hAnsi="Arial" w:cs="Arial"/>
          <w:lang w:val="en-US"/>
        </w:rPr>
        <w:t xml:space="preserve">launched </w:t>
      </w:r>
      <w:r w:rsidR="00D5103C">
        <w:rPr>
          <w:rFonts w:ascii="Arial" w:hAnsi="Arial" w:cs="Arial"/>
          <w:lang w:val="en-US"/>
        </w:rPr>
        <w:t xml:space="preserve">our </w:t>
      </w:r>
      <w:r w:rsidRPr="00A4162D">
        <w:rPr>
          <w:rFonts w:ascii="Arial" w:hAnsi="Arial" w:cs="Arial"/>
          <w:lang w:val="en-US"/>
        </w:rPr>
        <w:t xml:space="preserve">sustainable growth plan which sets out the next stage on </w:t>
      </w:r>
      <w:r w:rsidR="00D5103C">
        <w:rPr>
          <w:rFonts w:ascii="Arial" w:hAnsi="Arial" w:cs="Arial"/>
          <w:lang w:val="en-US"/>
        </w:rPr>
        <w:t xml:space="preserve">our </w:t>
      </w:r>
      <w:r w:rsidRPr="00A4162D">
        <w:rPr>
          <w:rFonts w:ascii="Arial" w:hAnsi="Arial" w:cs="Arial"/>
          <w:lang w:val="en-US"/>
        </w:rPr>
        <w:t>journey towards being a net positive business. The plan is at the core of our ONE Kingfisher</w:t>
      </w:r>
      <w:r>
        <w:rPr>
          <w:rFonts w:ascii="Arial" w:hAnsi="Arial" w:cs="Arial"/>
          <w:lang w:val="en-US"/>
        </w:rPr>
        <w:t xml:space="preserve"> plan</w:t>
      </w:r>
      <w:r w:rsidRPr="00A4162D">
        <w:rPr>
          <w:rFonts w:ascii="Arial" w:hAnsi="Arial" w:cs="Arial"/>
          <w:lang w:val="en-US"/>
        </w:rPr>
        <w:t xml:space="preserve"> which is unifying the business behind one clear ambition and purpose: to create good homes by making home improvement accessible for everyone. </w:t>
      </w:r>
    </w:p>
    <w:p w14:paraId="53BAE958" w14:textId="77777777" w:rsidR="00850C03" w:rsidRDefault="00850C03" w:rsidP="00850C03">
      <w:pPr>
        <w:jc w:val="left"/>
        <w:rPr>
          <w:rFonts w:ascii="Arial" w:hAnsi="Arial" w:cs="Arial"/>
          <w:lang w:val="en-US"/>
        </w:rPr>
      </w:pPr>
    </w:p>
    <w:p w14:paraId="4496B69A" w14:textId="4119D59F" w:rsidR="00850C03" w:rsidRDefault="00850C03" w:rsidP="00850C03">
      <w:pPr>
        <w:jc w:val="left"/>
        <w:rPr>
          <w:rFonts w:ascii="Arial" w:hAnsi="Arial" w:cs="Arial"/>
          <w:lang w:val="en-US"/>
        </w:rPr>
      </w:pPr>
      <w:r w:rsidRPr="00A4162D">
        <w:rPr>
          <w:rFonts w:ascii="Arial" w:hAnsi="Arial" w:cs="Arial"/>
          <w:lang w:val="en-US"/>
        </w:rPr>
        <w:t>Grounded in our understanding of the customer</w:t>
      </w:r>
      <w:r>
        <w:rPr>
          <w:rFonts w:ascii="Arial" w:hAnsi="Arial" w:cs="Arial"/>
          <w:lang w:val="en-US"/>
        </w:rPr>
        <w:t>,</w:t>
      </w:r>
      <w:r w:rsidRPr="00A4162D">
        <w:rPr>
          <w:rFonts w:ascii="Arial" w:hAnsi="Arial" w:cs="Arial"/>
          <w:lang w:val="en-US"/>
        </w:rPr>
        <w:t xml:space="preserve"> we have established four big goals which challenge our own operations and make it eas</w:t>
      </w:r>
      <w:r w:rsidR="00D5103C">
        <w:rPr>
          <w:rFonts w:ascii="Arial" w:hAnsi="Arial" w:cs="Arial"/>
          <w:lang w:val="en-US"/>
        </w:rPr>
        <w:t>ier</w:t>
      </w:r>
      <w:r w:rsidRPr="00A4162D">
        <w:rPr>
          <w:rFonts w:ascii="Arial" w:hAnsi="Arial" w:cs="Arial"/>
          <w:lang w:val="en-US"/>
        </w:rPr>
        <w:t xml:space="preserve"> for customers to live more sustainably. The goals </w:t>
      </w:r>
      <w:r w:rsidR="00D5103C">
        <w:rPr>
          <w:rFonts w:ascii="Arial" w:hAnsi="Arial" w:cs="Arial"/>
          <w:lang w:val="en-US"/>
        </w:rPr>
        <w:t>are:</w:t>
      </w:r>
      <w:r w:rsidR="00D5103C" w:rsidRPr="00A4162D">
        <w:rPr>
          <w:rFonts w:ascii="Arial" w:hAnsi="Arial" w:cs="Arial"/>
          <w:lang w:val="en-US"/>
        </w:rPr>
        <w:t xml:space="preserve"> </w:t>
      </w:r>
      <w:r w:rsidRPr="00A4162D">
        <w:rPr>
          <w:rFonts w:ascii="Arial" w:hAnsi="Arial" w:cs="Arial"/>
          <w:lang w:val="en-US"/>
        </w:rPr>
        <w:t xml:space="preserve">save money by saving water and energy; live smarter by getting more from less, re-using or using longer; create a healthier home </w:t>
      </w:r>
      <w:r w:rsidR="00CC2DA5">
        <w:rPr>
          <w:rFonts w:ascii="Arial" w:hAnsi="Arial" w:cs="Arial"/>
          <w:lang w:val="en-US"/>
        </w:rPr>
        <w:t xml:space="preserve">and </w:t>
      </w:r>
      <w:r w:rsidRPr="00A4162D">
        <w:rPr>
          <w:rFonts w:ascii="Arial" w:hAnsi="Arial" w:cs="Arial"/>
          <w:lang w:val="en-US"/>
        </w:rPr>
        <w:t>connect with nature; and be part of a community that helps millions</w:t>
      </w:r>
      <w:r w:rsidR="00CC2DA5">
        <w:rPr>
          <w:rFonts w:ascii="Arial" w:hAnsi="Arial" w:cs="Arial"/>
          <w:lang w:val="en-US"/>
        </w:rPr>
        <w:t xml:space="preserve"> more</w:t>
      </w:r>
      <w:r w:rsidRPr="00A4162D">
        <w:rPr>
          <w:rFonts w:ascii="Arial" w:hAnsi="Arial" w:cs="Arial"/>
          <w:lang w:val="en-US"/>
        </w:rPr>
        <w:t xml:space="preserve"> people</w:t>
      </w:r>
      <w:r w:rsidR="00CC2DA5">
        <w:rPr>
          <w:rFonts w:ascii="Arial" w:hAnsi="Arial" w:cs="Arial"/>
          <w:lang w:val="en-US"/>
        </w:rPr>
        <w:t xml:space="preserve"> improve their home</w:t>
      </w:r>
      <w:r w:rsidRPr="00A4162D">
        <w:rPr>
          <w:rFonts w:ascii="Arial" w:hAnsi="Arial" w:cs="Arial"/>
          <w:lang w:val="en-US"/>
        </w:rPr>
        <w:t xml:space="preserve">. </w:t>
      </w:r>
    </w:p>
    <w:p w14:paraId="64E7FF6B" w14:textId="77777777" w:rsidR="00850C03" w:rsidRPr="00A4162D" w:rsidRDefault="00850C03" w:rsidP="00850C03">
      <w:pPr>
        <w:jc w:val="left"/>
        <w:rPr>
          <w:rFonts w:ascii="Arial" w:hAnsi="Arial" w:cs="Arial"/>
          <w:lang w:val="en-US"/>
        </w:rPr>
      </w:pPr>
    </w:p>
    <w:p w14:paraId="333EA508" w14:textId="52CCD177" w:rsidR="00850C03" w:rsidRDefault="00850C03" w:rsidP="00850C03">
      <w:pPr>
        <w:tabs>
          <w:tab w:val="right" w:pos="9356"/>
        </w:tabs>
        <w:jc w:val="left"/>
        <w:rPr>
          <w:rFonts w:ascii="Arial" w:hAnsi="Arial" w:cs="Arial"/>
          <w:b/>
          <w:sz w:val="24"/>
          <w:szCs w:val="24"/>
        </w:rPr>
      </w:pPr>
      <w:r w:rsidRPr="00A4162D">
        <w:rPr>
          <w:rFonts w:ascii="Arial" w:hAnsi="Arial" w:cs="Arial"/>
          <w:lang w:val="en-US"/>
        </w:rPr>
        <w:t>This is the next stage of our journey towards being a truly sustainable business, starting with what customers care about; their families, their homes and their communities.</w:t>
      </w:r>
      <w:r w:rsidR="007C56EA">
        <w:rPr>
          <w:rFonts w:ascii="Arial" w:hAnsi="Arial" w:cs="Arial"/>
          <w:lang w:val="en-US"/>
        </w:rPr>
        <w:t xml:space="preserve"> </w:t>
      </w:r>
      <w:hyperlink r:id="rId10" w:history="1">
        <w:r w:rsidRPr="00A4162D">
          <w:rPr>
            <w:rStyle w:val="Hyperlink"/>
            <w:rFonts w:ascii="Arial" w:hAnsi="Arial" w:cs="Arial"/>
          </w:rPr>
          <w:t>www.kingfisher.com/sustainability</w:t>
        </w:r>
      </w:hyperlink>
      <w:r w:rsidRPr="00A4162D">
        <w:rPr>
          <w:rFonts w:ascii="Arial" w:hAnsi="Arial" w:cs="Arial"/>
        </w:rPr>
        <w:t xml:space="preserve"> </w:t>
      </w:r>
    </w:p>
    <w:bookmarkEnd w:id="13"/>
    <w:p w14:paraId="3F932DE9" w14:textId="77777777" w:rsidR="00850C03" w:rsidRDefault="00850C03" w:rsidP="00134B83">
      <w:pPr>
        <w:spacing w:after="200"/>
        <w:contextualSpacing/>
        <w:jc w:val="left"/>
        <w:rPr>
          <w:rFonts w:ascii="Arial" w:hAnsi="Arial" w:cs="Arial"/>
          <w:b/>
        </w:rPr>
      </w:pPr>
    </w:p>
    <w:p w14:paraId="22C54AFF" w14:textId="45393AD7" w:rsidR="00134B83" w:rsidRPr="00FC41B5" w:rsidRDefault="00134B83" w:rsidP="00134B83">
      <w:pPr>
        <w:spacing w:after="200"/>
        <w:contextualSpacing/>
        <w:jc w:val="left"/>
        <w:rPr>
          <w:rFonts w:ascii="Arial" w:hAnsi="Arial" w:cs="Arial"/>
          <w:b/>
        </w:rPr>
      </w:pPr>
      <w:r w:rsidRPr="00FC41B5">
        <w:rPr>
          <w:rFonts w:ascii="Arial" w:hAnsi="Arial" w:cs="Arial"/>
          <w:b/>
        </w:rPr>
        <w:t>Summary</w:t>
      </w:r>
      <w:r w:rsidR="00CC518E" w:rsidRPr="00FC41B5">
        <w:rPr>
          <w:rFonts w:ascii="Arial" w:hAnsi="Arial" w:cs="Arial"/>
          <w:b/>
        </w:rPr>
        <w:t xml:space="preserve"> &amp; outlook</w:t>
      </w:r>
    </w:p>
    <w:p w14:paraId="05DACC6B" w14:textId="77777777" w:rsidR="00134B83" w:rsidRPr="00FE4EBA" w:rsidRDefault="00134B83" w:rsidP="00134B83">
      <w:pPr>
        <w:spacing w:after="200"/>
        <w:contextualSpacing/>
        <w:jc w:val="left"/>
        <w:rPr>
          <w:rFonts w:ascii="Arial" w:hAnsi="Arial" w:cs="Arial"/>
          <w:highlight w:val="yellow"/>
        </w:rPr>
      </w:pPr>
    </w:p>
    <w:p w14:paraId="095C9784" w14:textId="2717C0B0" w:rsidR="00773140" w:rsidRDefault="00773140" w:rsidP="00773140">
      <w:pPr>
        <w:jc w:val="left"/>
        <w:rPr>
          <w:rFonts w:ascii="Arial" w:hAnsi="Arial" w:cs="Arial"/>
        </w:rPr>
      </w:pPr>
      <w:r w:rsidRPr="00FE4EBA">
        <w:rPr>
          <w:rFonts w:ascii="Arial" w:hAnsi="Arial" w:cs="Arial"/>
          <w:color w:val="000000"/>
        </w:rPr>
        <w:t xml:space="preserve">For the second year in a row we have achieved our </w:t>
      </w:r>
      <w:r w:rsidR="00F07AFB">
        <w:rPr>
          <w:rFonts w:ascii="Arial" w:hAnsi="Arial" w:cs="Arial"/>
          <w:color w:val="000000"/>
        </w:rPr>
        <w:t xml:space="preserve">key </w:t>
      </w:r>
      <w:r w:rsidRPr="00FE4EBA">
        <w:rPr>
          <w:rFonts w:ascii="Arial" w:hAnsi="Arial" w:cs="Arial"/>
          <w:color w:val="000000"/>
        </w:rPr>
        <w:t>strategic milestones and our FY 20/21 targets r</w:t>
      </w:r>
      <w:r>
        <w:rPr>
          <w:rFonts w:ascii="Arial" w:hAnsi="Arial" w:cs="Arial"/>
          <w:color w:val="000000"/>
        </w:rPr>
        <w:t>emain unchanged. However, we have experienced some business disruption reflecting the significant increase in transformation activity. We have acted</w:t>
      </w:r>
      <w:r w:rsidR="00741761">
        <w:rPr>
          <w:rFonts w:ascii="Arial" w:hAnsi="Arial" w:cs="Arial"/>
          <w:color w:val="000000"/>
        </w:rPr>
        <w:t xml:space="preserve"> </w:t>
      </w:r>
      <w:r>
        <w:rPr>
          <w:rFonts w:ascii="Arial" w:hAnsi="Arial" w:cs="Arial"/>
          <w:color w:val="000000"/>
        </w:rPr>
        <w:t>on the root causes</w:t>
      </w:r>
      <w:r>
        <w:rPr>
          <w:rFonts w:ascii="Arial" w:hAnsi="Arial" w:cs="Arial"/>
        </w:rPr>
        <w:t>, continuing to have a flexible approach, adapting as necessary as our transformation progresses.</w:t>
      </w:r>
      <w:r w:rsidR="00375B34">
        <w:rPr>
          <w:rFonts w:ascii="Arial" w:hAnsi="Arial" w:cs="Arial"/>
        </w:rPr>
        <w:t xml:space="preserve"> </w:t>
      </w:r>
      <w:r>
        <w:rPr>
          <w:rFonts w:ascii="Arial" w:hAnsi="Arial" w:cs="Arial"/>
        </w:rPr>
        <w:t xml:space="preserve"> </w:t>
      </w:r>
    </w:p>
    <w:p w14:paraId="31268730" w14:textId="389A8115" w:rsidR="008C6343" w:rsidRDefault="008C6343" w:rsidP="00773140">
      <w:pPr>
        <w:jc w:val="left"/>
        <w:rPr>
          <w:rFonts w:ascii="Arial" w:hAnsi="Arial" w:cs="Arial"/>
        </w:rPr>
      </w:pPr>
    </w:p>
    <w:p w14:paraId="2372CC33" w14:textId="6A69A3B3" w:rsidR="00741761" w:rsidRPr="009314EA" w:rsidRDefault="008C6343">
      <w:pPr>
        <w:jc w:val="left"/>
        <w:rPr>
          <w:rFonts w:ascii="Arial" w:hAnsi="Arial" w:cs="Arial"/>
          <w:color w:val="000000"/>
        </w:rPr>
      </w:pPr>
      <w:r w:rsidRPr="00FC41B5">
        <w:rPr>
          <w:rFonts w:ascii="Arial" w:hAnsi="Arial" w:cs="Arial"/>
        </w:rPr>
        <w:t>FY 18/19 represents another year of significant implementation</w:t>
      </w:r>
      <w:r w:rsidR="00285BAC">
        <w:rPr>
          <w:rFonts w:ascii="Arial" w:hAnsi="Arial" w:cs="Arial"/>
        </w:rPr>
        <w:t xml:space="preserve"> hence we expect some ongoing business disruption</w:t>
      </w:r>
      <w:r w:rsidR="00892B15" w:rsidRPr="00FC41B5">
        <w:rPr>
          <w:rFonts w:ascii="Arial" w:hAnsi="Arial" w:cs="Arial"/>
        </w:rPr>
        <w:t>. N</w:t>
      </w:r>
      <w:r w:rsidR="00892B15" w:rsidRPr="00741761">
        <w:rPr>
          <w:rFonts w:ascii="Arial" w:hAnsi="Arial" w:cs="Arial"/>
          <w:color w:val="000000"/>
        </w:rPr>
        <w:t xml:space="preserve">egotiations are </w:t>
      </w:r>
      <w:r w:rsidR="005D3EAD">
        <w:rPr>
          <w:rFonts w:ascii="Arial" w:hAnsi="Arial" w:cs="Arial"/>
          <w:color w:val="000000"/>
        </w:rPr>
        <w:t xml:space="preserve">well progressed </w:t>
      </w:r>
      <w:r w:rsidR="00892B15" w:rsidRPr="00741761">
        <w:rPr>
          <w:rFonts w:ascii="Arial" w:hAnsi="Arial" w:cs="Arial"/>
          <w:color w:val="000000"/>
        </w:rPr>
        <w:t xml:space="preserve">to </w:t>
      </w:r>
      <w:r w:rsidR="009E45FC">
        <w:rPr>
          <w:rFonts w:ascii="Arial" w:hAnsi="Arial" w:cs="Arial"/>
          <w:color w:val="000000"/>
        </w:rPr>
        <w:t>unify</w:t>
      </w:r>
      <w:r w:rsidR="00892B15" w:rsidRPr="00741761">
        <w:rPr>
          <w:rFonts w:ascii="Arial" w:hAnsi="Arial" w:cs="Arial"/>
          <w:color w:val="000000"/>
        </w:rPr>
        <w:t xml:space="preserve"> 40% unified and unique </w:t>
      </w:r>
      <w:r w:rsidR="00E564E1">
        <w:rPr>
          <w:rFonts w:ascii="Arial" w:hAnsi="Arial" w:cs="Arial"/>
          <w:color w:val="000000"/>
        </w:rPr>
        <w:t>product (</w:t>
      </w:r>
      <w:r w:rsidR="00892B15" w:rsidRPr="00741761">
        <w:rPr>
          <w:rFonts w:ascii="Arial" w:hAnsi="Arial" w:cs="Arial"/>
          <w:color w:val="000000"/>
        </w:rPr>
        <w:t>COGS</w:t>
      </w:r>
      <w:r w:rsidR="00E564E1">
        <w:rPr>
          <w:rFonts w:ascii="Arial" w:hAnsi="Arial" w:cs="Arial"/>
          <w:color w:val="000000"/>
        </w:rPr>
        <w:t>)</w:t>
      </w:r>
      <w:r w:rsidR="00892B15" w:rsidRPr="00741761">
        <w:rPr>
          <w:rFonts w:ascii="Arial" w:hAnsi="Arial" w:cs="Arial"/>
          <w:color w:val="000000"/>
        </w:rPr>
        <w:t xml:space="preserve">. </w:t>
      </w:r>
      <w:r w:rsidR="00892B15" w:rsidRPr="00741761">
        <w:rPr>
          <w:rFonts w:ascii="Arial" w:hAnsi="Arial" w:cs="Arial"/>
        </w:rPr>
        <w:t>W</w:t>
      </w:r>
      <w:r w:rsidR="00285BAC">
        <w:rPr>
          <w:rFonts w:ascii="Arial" w:hAnsi="Arial" w:cs="Arial"/>
        </w:rPr>
        <w:t>e</w:t>
      </w:r>
      <w:r w:rsidR="00892B15" w:rsidRPr="00741761">
        <w:rPr>
          <w:rFonts w:ascii="Arial" w:hAnsi="Arial" w:cs="Arial"/>
        </w:rPr>
        <w:t xml:space="preserve"> expect </w:t>
      </w:r>
      <w:r w:rsidR="00892B15" w:rsidRPr="00741761">
        <w:rPr>
          <w:rFonts w:ascii="Arial" w:hAnsi="Arial" w:cs="Arial"/>
          <w:color w:val="000000"/>
        </w:rPr>
        <w:t>u</w:t>
      </w:r>
      <w:r w:rsidR="00B34527" w:rsidRPr="00741761">
        <w:rPr>
          <w:rFonts w:ascii="Arial" w:hAnsi="Arial" w:cs="Arial"/>
          <w:color w:val="000000"/>
        </w:rPr>
        <w:t>nique ranges will continue to drive sales growth</w:t>
      </w:r>
      <w:r w:rsidR="00285BAC">
        <w:rPr>
          <w:rFonts w:ascii="Arial" w:hAnsi="Arial" w:cs="Arial"/>
          <w:color w:val="000000"/>
        </w:rPr>
        <w:t xml:space="preserve"> and that</w:t>
      </w:r>
      <w:r w:rsidR="00FB20E8">
        <w:rPr>
          <w:rFonts w:ascii="Arial" w:hAnsi="Arial" w:cs="Arial"/>
          <w:color w:val="000000"/>
        </w:rPr>
        <w:t xml:space="preserve"> as more CPR is delivered</w:t>
      </w:r>
      <w:r w:rsidR="00285BAC">
        <w:rPr>
          <w:rFonts w:ascii="Arial" w:hAnsi="Arial" w:cs="Arial"/>
          <w:color w:val="000000"/>
        </w:rPr>
        <w:t>,</w:t>
      </w:r>
      <w:r w:rsidR="00FB20E8">
        <w:rPr>
          <w:rFonts w:ascii="Arial" w:hAnsi="Arial" w:cs="Arial"/>
          <w:color w:val="000000"/>
        </w:rPr>
        <w:t xml:space="preserve"> w</w:t>
      </w:r>
      <w:r w:rsidR="00A735F5">
        <w:rPr>
          <w:rFonts w:ascii="Arial" w:hAnsi="Arial" w:cs="Arial"/>
          <w:color w:val="000000"/>
        </w:rPr>
        <w:t xml:space="preserve">e expect an uplift in </w:t>
      </w:r>
      <w:r w:rsidR="00922456">
        <w:rPr>
          <w:rFonts w:ascii="Arial" w:hAnsi="Arial" w:cs="Arial"/>
          <w:color w:val="000000"/>
        </w:rPr>
        <w:t>G</w:t>
      </w:r>
      <w:r w:rsidR="00A735F5">
        <w:rPr>
          <w:rFonts w:ascii="Arial" w:hAnsi="Arial" w:cs="Arial"/>
          <w:color w:val="000000"/>
        </w:rPr>
        <w:t>roup gross margin including clearance</w:t>
      </w:r>
      <w:r w:rsidR="00FB20E8">
        <w:rPr>
          <w:rFonts w:ascii="Arial" w:hAnsi="Arial" w:cs="Arial"/>
          <w:color w:val="000000"/>
        </w:rPr>
        <w:t>.</w:t>
      </w:r>
      <w:r w:rsidR="00A735F5">
        <w:rPr>
          <w:rFonts w:ascii="Arial" w:hAnsi="Arial" w:cs="Arial"/>
          <w:color w:val="000000"/>
        </w:rPr>
        <w:t xml:space="preserve"> </w:t>
      </w:r>
      <w:r w:rsidR="009314EA" w:rsidRPr="0062003B">
        <w:rPr>
          <w:rFonts w:ascii="Arial" w:hAnsi="Arial" w:cs="Arial"/>
          <w:color w:val="000000"/>
        </w:rPr>
        <w:t xml:space="preserve">As </w:t>
      </w:r>
      <w:r w:rsidR="00FB20E8">
        <w:rPr>
          <w:rFonts w:ascii="Arial" w:hAnsi="Arial" w:cs="Arial"/>
          <w:color w:val="000000"/>
        </w:rPr>
        <w:t xml:space="preserve">we </w:t>
      </w:r>
      <w:r w:rsidR="00F32FAD">
        <w:rPr>
          <w:rFonts w:ascii="Arial" w:hAnsi="Arial" w:cs="Arial"/>
          <w:color w:val="000000"/>
        </w:rPr>
        <w:t>roll out</w:t>
      </w:r>
      <w:r w:rsidR="009314EA" w:rsidRPr="0062003B">
        <w:rPr>
          <w:rFonts w:ascii="Arial" w:hAnsi="Arial" w:cs="Arial"/>
          <w:color w:val="000000"/>
        </w:rPr>
        <w:t xml:space="preserve"> our unified IT platform</w:t>
      </w:r>
      <w:r w:rsidR="008F1704">
        <w:rPr>
          <w:rFonts w:ascii="Arial" w:hAnsi="Arial" w:cs="Arial"/>
          <w:color w:val="000000"/>
        </w:rPr>
        <w:t>,</w:t>
      </w:r>
      <w:r w:rsidR="009314EA" w:rsidRPr="0062003B">
        <w:rPr>
          <w:rFonts w:ascii="Arial" w:hAnsi="Arial" w:cs="Arial"/>
          <w:color w:val="000000"/>
        </w:rPr>
        <w:t xml:space="preserve"> w</w:t>
      </w:r>
      <w:r w:rsidR="00741761" w:rsidRPr="0062003B">
        <w:rPr>
          <w:rFonts w:ascii="Arial" w:hAnsi="Arial" w:cs="Arial"/>
          <w:color w:val="000000"/>
        </w:rPr>
        <w:t>e are also s</w:t>
      </w:r>
      <w:r w:rsidR="00B34527" w:rsidRPr="0062003B">
        <w:rPr>
          <w:rFonts w:ascii="Arial" w:hAnsi="Arial" w:cs="Arial"/>
          <w:color w:val="000000"/>
        </w:rPr>
        <w:t>tarting to unlock further efficiencies beyond GNFR</w:t>
      </w:r>
      <w:r w:rsidR="00741761" w:rsidRPr="009314EA">
        <w:rPr>
          <w:rFonts w:ascii="Arial" w:hAnsi="Arial" w:cs="Arial"/>
          <w:color w:val="000000"/>
        </w:rPr>
        <w:t xml:space="preserve">. </w:t>
      </w:r>
      <w:r w:rsidR="00F32FAD">
        <w:rPr>
          <w:rFonts w:ascii="Arial" w:hAnsi="Arial" w:cs="Arial"/>
          <w:color w:val="000000"/>
        </w:rPr>
        <w:t>D</w:t>
      </w:r>
      <w:r w:rsidR="00443EF7">
        <w:rPr>
          <w:rFonts w:ascii="Arial" w:hAnsi="Arial" w:cs="Arial"/>
          <w:color w:val="000000"/>
        </w:rPr>
        <w:t>uring the year</w:t>
      </w:r>
      <w:r w:rsidR="009314EA" w:rsidRPr="0062003B">
        <w:rPr>
          <w:rFonts w:ascii="Arial" w:hAnsi="Arial" w:cs="Arial"/>
          <w:color w:val="000000"/>
        </w:rPr>
        <w:t xml:space="preserve"> we established a shared services centre </w:t>
      </w:r>
      <w:r w:rsidR="00AA7892">
        <w:rPr>
          <w:rFonts w:ascii="Arial" w:hAnsi="Arial" w:cs="Arial"/>
          <w:color w:val="000000"/>
        </w:rPr>
        <w:t xml:space="preserve">in </w:t>
      </w:r>
      <w:r w:rsidR="009314EA" w:rsidRPr="0062003B">
        <w:rPr>
          <w:rFonts w:ascii="Arial" w:hAnsi="Arial" w:cs="Arial"/>
          <w:color w:val="000000"/>
        </w:rPr>
        <w:t>Krakow, Poland</w:t>
      </w:r>
      <w:r w:rsidR="009314EA">
        <w:rPr>
          <w:rFonts w:ascii="Arial" w:hAnsi="Arial" w:cs="Arial"/>
          <w:color w:val="000000"/>
        </w:rPr>
        <w:t xml:space="preserve">. </w:t>
      </w:r>
      <w:r w:rsidR="00A735F5">
        <w:rPr>
          <w:rFonts w:ascii="Arial" w:hAnsi="Arial" w:cs="Arial"/>
          <w:color w:val="000000"/>
        </w:rPr>
        <w:t>In FY 18/19 t</w:t>
      </w:r>
      <w:r w:rsidR="009314EA">
        <w:rPr>
          <w:rFonts w:ascii="Arial" w:hAnsi="Arial" w:cs="Arial"/>
          <w:color w:val="000000"/>
        </w:rPr>
        <w:t xml:space="preserve">he combination of GNFR savings and net savings from operational efficiencies are expected to be </w:t>
      </w:r>
      <w:r w:rsidR="00443EF7">
        <w:rPr>
          <w:rFonts w:ascii="Arial" w:hAnsi="Arial" w:cs="Arial"/>
          <w:color w:val="000000"/>
        </w:rPr>
        <w:t xml:space="preserve">around </w:t>
      </w:r>
      <w:r w:rsidR="00741761" w:rsidRPr="009314EA">
        <w:rPr>
          <w:rFonts w:ascii="Arial" w:hAnsi="Arial" w:cs="Arial"/>
          <w:color w:val="000000"/>
        </w:rPr>
        <w:t>£</w:t>
      </w:r>
      <w:r w:rsidR="002421EB">
        <w:rPr>
          <w:rFonts w:ascii="Arial" w:hAnsi="Arial" w:cs="Arial"/>
          <w:color w:val="000000"/>
        </w:rPr>
        <w:t>30</w:t>
      </w:r>
      <w:r w:rsidR="009314EA" w:rsidRPr="0062003B">
        <w:rPr>
          <w:rFonts w:ascii="Arial" w:hAnsi="Arial" w:cs="Arial"/>
          <w:color w:val="000000"/>
        </w:rPr>
        <w:t xml:space="preserve"> </w:t>
      </w:r>
      <w:r w:rsidR="00741761" w:rsidRPr="009314EA">
        <w:rPr>
          <w:rFonts w:ascii="Arial" w:hAnsi="Arial" w:cs="Arial"/>
          <w:color w:val="000000"/>
        </w:rPr>
        <w:t>m</w:t>
      </w:r>
      <w:r w:rsidR="009314EA" w:rsidRPr="0062003B">
        <w:rPr>
          <w:rFonts w:ascii="Arial" w:hAnsi="Arial" w:cs="Arial"/>
          <w:color w:val="000000"/>
        </w:rPr>
        <w:t>illion.</w:t>
      </w:r>
      <w:r w:rsidR="00741761" w:rsidRPr="009314EA">
        <w:rPr>
          <w:rFonts w:ascii="Arial" w:hAnsi="Arial" w:cs="Arial"/>
          <w:color w:val="000000"/>
        </w:rPr>
        <w:t xml:space="preserve"> </w:t>
      </w:r>
    </w:p>
    <w:p w14:paraId="0D08BB6F" w14:textId="3D8100E1" w:rsidR="00741761" w:rsidRDefault="00741761">
      <w:pPr>
        <w:jc w:val="left"/>
        <w:rPr>
          <w:rFonts w:ascii="Arial" w:hAnsi="Arial" w:cs="Arial"/>
          <w:color w:val="000000"/>
          <w:highlight w:val="yellow"/>
        </w:rPr>
      </w:pPr>
    </w:p>
    <w:p w14:paraId="190B855E" w14:textId="6795C2B5" w:rsidR="00F32FAD" w:rsidRPr="00522D61" w:rsidRDefault="00F32FAD">
      <w:pPr>
        <w:jc w:val="left"/>
        <w:rPr>
          <w:rFonts w:ascii="Arial" w:hAnsi="Arial" w:cs="Arial"/>
          <w:color w:val="000000"/>
        </w:rPr>
      </w:pPr>
      <w:r w:rsidRPr="00522D61">
        <w:rPr>
          <w:rFonts w:ascii="Arial" w:hAnsi="Arial" w:cs="Arial"/>
          <w:color w:val="000000"/>
        </w:rPr>
        <w:t xml:space="preserve">We are </w:t>
      </w:r>
      <w:r>
        <w:rPr>
          <w:rFonts w:ascii="Arial" w:hAnsi="Arial" w:cs="Arial"/>
          <w:color w:val="000000"/>
        </w:rPr>
        <w:t xml:space="preserve">building the ONE Kingfisher </w:t>
      </w:r>
      <w:r w:rsidR="007774C0">
        <w:rPr>
          <w:rFonts w:ascii="Arial" w:hAnsi="Arial" w:cs="Arial"/>
          <w:color w:val="000000"/>
        </w:rPr>
        <w:t>‘</w:t>
      </w:r>
      <w:r>
        <w:rPr>
          <w:rFonts w:ascii="Arial" w:hAnsi="Arial" w:cs="Arial"/>
          <w:color w:val="000000"/>
        </w:rPr>
        <w:t>engine</w:t>
      </w:r>
      <w:r w:rsidR="007774C0">
        <w:rPr>
          <w:rFonts w:ascii="Arial" w:hAnsi="Arial" w:cs="Arial"/>
          <w:color w:val="000000"/>
        </w:rPr>
        <w:t>’ to provide the platform for growth</w:t>
      </w:r>
      <w:r>
        <w:rPr>
          <w:rFonts w:ascii="Arial" w:hAnsi="Arial" w:cs="Arial"/>
          <w:color w:val="000000"/>
        </w:rPr>
        <w:t>. As we are now entering the third year of our transformation, we are</w:t>
      </w:r>
      <w:r w:rsidR="00E503B6">
        <w:rPr>
          <w:rFonts w:ascii="Arial" w:hAnsi="Arial" w:cs="Arial"/>
          <w:color w:val="000000"/>
        </w:rPr>
        <w:t xml:space="preserve"> </w:t>
      </w:r>
      <w:r>
        <w:rPr>
          <w:rFonts w:ascii="Arial" w:hAnsi="Arial" w:cs="Arial"/>
          <w:color w:val="000000"/>
        </w:rPr>
        <w:t>starting to develop plans to take that new engine, and combine it with the best of physical and digital</w:t>
      </w:r>
      <w:r w:rsidR="00E503B6">
        <w:rPr>
          <w:rFonts w:ascii="Arial" w:hAnsi="Arial" w:cs="Arial"/>
          <w:color w:val="000000"/>
        </w:rPr>
        <w:t xml:space="preserve">. This will </w:t>
      </w:r>
      <w:r>
        <w:rPr>
          <w:rFonts w:ascii="Arial" w:hAnsi="Arial" w:cs="Arial"/>
          <w:color w:val="000000"/>
        </w:rPr>
        <w:t xml:space="preserve">provide our customers with </w:t>
      </w:r>
      <w:r w:rsidR="00E503B6">
        <w:rPr>
          <w:rFonts w:ascii="Arial" w:hAnsi="Arial" w:cs="Arial"/>
          <w:color w:val="000000"/>
        </w:rPr>
        <w:t xml:space="preserve">a great offer incorporating </w:t>
      </w:r>
      <w:r>
        <w:rPr>
          <w:rFonts w:ascii="Arial" w:hAnsi="Arial" w:cs="Arial"/>
          <w:color w:val="000000"/>
        </w:rPr>
        <w:t xml:space="preserve">engaging experiences alongside </w:t>
      </w:r>
      <w:r w:rsidR="00E503B6">
        <w:rPr>
          <w:rFonts w:ascii="Arial" w:hAnsi="Arial" w:cs="Arial"/>
          <w:color w:val="000000"/>
        </w:rPr>
        <w:t xml:space="preserve">ultimate convenience, and </w:t>
      </w:r>
      <w:r>
        <w:rPr>
          <w:rFonts w:ascii="Arial" w:hAnsi="Arial" w:cs="Arial"/>
          <w:color w:val="000000"/>
        </w:rPr>
        <w:t xml:space="preserve">will involve not only leveraging our big box estate but also our Screwfix </w:t>
      </w:r>
      <w:r w:rsidR="00E503B6">
        <w:rPr>
          <w:rFonts w:ascii="Arial" w:hAnsi="Arial" w:cs="Arial"/>
          <w:color w:val="000000"/>
        </w:rPr>
        <w:t xml:space="preserve">best in class convenience </w:t>
      </w:r>
      <w:r>
        <w:rPr>
          <w:rFonts w:ascii="Arial" w:hAnsi="Arial" w:cs="Arial"/>
          <w:color w:val="000000"/>
        </w:rPr>
        <w:t xml:space="preserve">model. </w:t>
      </w:r>
    </w:p>
    <w:p w14:paraId="78B7EFD2" w14:textId="2EB4ABE8" w:rsidR="009314EA" w:rsidRPr="0062003B" w:rsidRDefault="009314EA">
      <w:pPr>
        <w:jc w:val="left"/>
        <w:rPr>
          <w:rFonts w:ascii="Arial" w:hAnsi="Arial" w:cs="Arial"/>
          <w:color w:val="000000"/>
          <w:highlight w:val="yellow"/>
        </w:rPr>
      </w:pPr>
    </w:p>
    <w:p w14:paraId="31C6DF32" w14:textId="4A3AC254" w:rsidR="009314EA" w:rsidRPr="0062003B" w:rsidRDefault="009314EA" w:rsidP="009314EA">
      <w:pPr>
        <w:jc w:val="left"/>
        <w:rPr>
          <w:rFonts w:ascii="Arial" w:hAnsi="Arial" w:cs="Arial"/>
          <w:color w:val="000000"/>
        </w:rPr>
      </w:pPr>
      <w:r w:rsidRPr="0062003B">
        <w:rPr>
          <w:rFonts w:ascii="Arial" w:hAnsi="Arial" w:cs="Arial"/>
          <w:color w:val="000000"/>
          <w:lang w:val="en-US"/>
        </w:rPr>
        <w:t xml:space="preserve">The outlook by country as we enter FY 18/19 is </w:t>
      </w:r>
      <w:r w:rsidR="00443EF7">
        <w:rPr>
          <w:rFonts w:ascii="Arial" w:hAnsi="Arial" w:cs="Arial"/>
          <w:color w:val="000000"/>
          <w:lang w:val="en-US"/>
        </w:rPr>
        <w:t xml:space="preserve">a </w:t>
      </w:r>
      <w:r w:rsidRPr="0062003B">
        <w:rPr>
          <w:rFonts w:ascii="Arial" w:hAnsi="Arial" w:cs="Arial"/>
          <w:color w:val="000000"/>
          <w:lang w:val="en-US"/>
        </w:rPr>
        <w:t>mixed</w:t>
      </w:r>
      <w:r w:rsidR="00443EF7">
        <w:rPr>
          <w:rFonts w:ascii="Arial" w:hAnsi="Arial" w:cs="Arial"/>
          <w:color w:val="000000"/>
          <w:lang w:val="en-US"/>
        </w:rPr>
        <w:t xml:space="preserve"> picture</w:t>
      </w:r>
      <w:r w:rsidRPr="0062003B">
        <w:rPr>
          <w:rFonts w:ascii="Arial" w:hAnsi="Arial" w:cs="Arial"/>
          <w:color w:val="000000"/>
          <w:lang w:val="en-US"/>
        </w:rPr>
        <w:t xml:space="preserve">. </w:t>
      </w:r>
      <w:r w:rsidR="00FB20E8">
        <w:rPr>
          <w:rFonts w:ascii="Arial" w:hAnsi="Arial" w:cs="Arial"/>
          <w:color w:val="000000"/>
          <w:lang w:val="en-US"/>
        </w:rPr>
        <w:t>In the</w:t>
      </w:r>
      <w:r w:rsidRPr="0062003B">
        <w:rPr>
          <w:rFonts w:ascii="Arial" w:hAnsi="Arial" w:cs="Arial"/>
          <w:color w:val="000000"/>
          <w:lang w:val="en-US"/>
        </w:rPr>
        <w:t xml:space="preserve"> </w:t>
      </w:r>
      <w:r w:rsidR="002421EB" w:rsidRPr="0062003B">
        <w:rPr>
          <w:rFonts w:ascii="Arial" w:hAnsi="Arial" w:cs="Arial"/>
          <w:color w:val="000000"/>
          <w:lang w:val="en-US"/>
        </w:rPr>
        <w:t>UK</w:t>
      </w:r>
      <w:r w:rsidRPr="0062003B">
        <w:rPr>
          <w:rFonts w:ascii="Arial" w:hAnsi="Arial" w:cs="Arial"/>
          <w:color w:val="000000"/>
          <w:lang w:val="en-US"/>
        </w:rPr>
        <w:t xml:space="preserve"> </w:t>
      </w:r>
      <w:r w:rsidR="00FB20E8">
        <w:rPr>
          <w:rFonts w:ascii="Arial" w:hAnsi="Arial" w:cs="Arial"/>
          <w:color w:val="000000"/>
          <w:lang w:val="en-US"/>
        </w:rPr>
        <w:t>it</w:t>
      </w:r>
      <w:r w:rsidRPr="0062003B">
        <w:rPr>
          <w:rFonts w:ascii="Arial" w:hAnsi="Arial" w:cs="Arial"/>
          <w:color w:val="000000"/>
          <w:lang w:val="en-US"/>
        </w:rPr>
        <w:t xml:space="preserve"> </w:t>
      </w:r>
      <w:r w:rsidR="002421EB">
        <w:rPr>
          <w:rFonts w:ascii="Arial" w:hAnsi="Arial" w:cs="Arial"/>
          <w:color w:val="000000"/>
          <w:lang w:val="en-US"/>
        </w:rPr>
        <w:t>is more</w:t>
      </w:r>
      <w:r w:rsidR="002421EB" w:rsidRPr="0062003B">
        <w:rPr>
          <w:rFonts w:ascii="Arial" w:hAnsi="Arial" w:cs="Arial"/>
          <w:color w:val="000000"/>
          <w:lang w:val="en-US"/>
        </w:rPr>
        <w:t xml:space="preserve"> </w:t>
      </w:r>
      <w:r w:rsidRPr="0062003B">
        <w:rPr>
          <w:rFonts w:ascii="Arial" w:hAnsi="Arial" w:cs="Arial"/>
          <w:color w:val="000000"/>
          <w:lang w:val="en-US"/>
        </w:rPr>
        <w:t>uncertain</w:t>
      </w:r>
      <w:r w:rsidR="00E503B6">
        <w:rPr>
          <w:rFonts w:ascii="Arial" w:hAnsi="Arial" w:cs="Arial"/>
          <w:color w:val="000000"/>
          <w:lang w:val="en-US"/>
        </w:rPr>
        <w:t>,</w:t>
      </w:r>
      <w:r w:rsidRPr="0062003B">
        <w:rPr>
          <w:rFonts w:ascii="Arial" w:hAnsi="Arial" w:cs="Arial"/>
          <w:color w:val="000000"/>
          <w:lang w:val="en-US"/>
        </w:rPr>
        <w:t xml:space="preserve"> and in </w:t>
      </w:r>
      <w:r w:rsidR="00A735F5" w:rsidRPr="0062003B">
        <w:rPr>
          <w:rFonts w:ascii="Arial" w:hAnsi="Arial" w:cs="Arial"/>
          <w:color w:val="000000"/>
          <w:lang w:val="en-US"/>
        </w:rPr>
        <w:t xml:space="preserve">Q4 both B&amp;Q and Screwfix </w:t>
      </w:r>
      <w:r w:rsidR="008E6DCD">
        <w:rPr>
          <w:rFonts w:ascii="Arial" w:hAnsi="Arial" w:cs="Arial"/>
          <w:color w:val="000000"/>
          <w:lang w:val="en-US"/>
        </w:rPr>
        <w:t>experienced softer sales</w:t>
      </w:r>
      <w:r w:rsidR="00A735F5" w:rsidRPr="0062003B">
        <w:rPr>
          <w:rFonts w:ascii="Arial" w:hAnsi="Arial" w:cs="Arial"/>
          <w:color w:val="000000"/>
          <w:lang w:val="en-US"/>
        </w:rPr>
        <w:t>.</w:t>
      </w:r>
      <w:r w:rsidRPr="0062003B">
        <w:rPr>
          <w:rFonts w:ascii="Arial" w:hAnsi="Arial" w:cs="Arial"/>
          <w:color w:val="000000"/>
          <w:lang w:val="en-US"/>
        </w:rPr>
        <w:t xml:space="preserve"> </w:t>
      </w:r>
      <w:r w:rsidR="00A735F5" w:rsidRPr="0062003B">
        <w:rPr>
          <w:rFonts w:ascii="Arial" w:hAnsi="Arial" w:cs="Arial"/>
          <w:color w:val="000000"/>
          <w:lang w:val="en-US"/>
        </w:rPr>
        <w:t xml:space="preserve">In </w:t>
      </w:r>
      <w:r w:rsidRPr="0062003B">
        <w:rPr>
          <w:rFonts w:ascii="Arial" w:hAnsi="Arial" w:cs="Arial"/>
          <w:color w:val="000000"/>
          <w:lang w:val="en-US"/>
        </w:rPr>
        <w:t>France</w:t>
      </w:r>
      <w:r w:rsidR="00AA7892">
        <w:rPr>
          <w:rFonts w:ascii="Arial" w:hAnsi="Arial" w:cs="Arial"/>
          <w:color w:val="000000"/>
          <w:lang w:val="en-US"/>
        </w:rPr>
        <w:t>,</w:t>
      </w:r>
      <w:r w:rsidRPr="0062003B">
        <w:rPr>
          <w:rFonts w:ascii="Arial" w:hAnsi="Arial" w:cs="Arial"/>
          <w:color w:val="000000"/>
          <w:lang w:val="en-US"/>
        </w:rPr>
        <w:t xml:space="preserve"> </w:t>
      </w:r>
      <w:r w:rsidR="00A735F5" w:rsidRPr="0062003B">
        <w:rPr>
          <w:rFonts w:ascii="Arial" w:hAnsi="Arial" w:cs="Arial"/>
          <w:color w:val="000000"/>
          <w:lang w:val="en-US"/>
        </w:rPr>
        <w:t xml:space="preserve">we are </w:t>
      </w:r>
      <w:r w:rsidRPr="0062003B">
        <w:rPr>
          <w:rFonts w:ascii="Arial" w:hAnsi="Arial" w:cs="Arial"/>
          <w:color w:val="000000"/>
          <w:lang w:val="en-US"/>
        </w:rPr>
        <w:t>encouraged</w:t>
      </w:r>
      <w:r w:rsidR="00A735F5" w:rsidRPr="0062003B">
        <w:rPr>
          <w:rFonts w:ascii="Arial" w:hAnsi="Arial" w:cs="Arial"/>
          <w:color w:val="000000"/>
          <w:lang w:val="en-US"/>
        </w:rPr>
        <w:t xml:space="preserve"> by the market backdrop </w:t>
      </w:r>
      <w:r w:rsidR="00A735F5" w:rsidRPr="00285BAC">
        <w:rPr>
          <w:rFonts w:ascii="Arial" w:hAnsi="Arial" w:cs="Arial"/>
          <w:color w:val="000000"/>
          <w:lang w:val="en-US"/>
        </w:rPr>
        <w:t xml:space="preserve">although it </w:t>
      </w:r>
      <w:r w:rsidR="00285BAC" w:rsidRPr="00285BAC">
        <w:rPr>
          <w:rFonts w:ascii="Arial" w:hAnsi="Arial" w:cs="Arial"/>
          <w:color w:val="000000"/>
          <w:lang w:val="en-US"/>
        </w:rPr>
        <w:t>is</w:t>
      </w:r>
      <w:r w:rsidR="002224AB" w:rsidRPr="00285BAC">
        <w:rPr>
          <w:rFonts w:ascii="Arial" w:hAnsi="Arial" w:cs="Arial"/>
          <w:color w:val="000000"/>
          <w:lang w:val="en-US"/>
        </w:rPr>
        <w:t xml:space="preserve"> volatile</w:t>
      </w:r>
      <w:r w:rsidR="00A735F5" w:rsidRPr="00285BAC">
        <w:rPr>
          <w:rFonts w:ascii="Arial" w:hAnsi="Arial" w:cs="Arial"/>
          <w:color w:val="000000"/>
          <w:lang w:val="en-US"/>
        </w:rPr>
        <w:t>, whilst</w:t>
      </w:r>
      <w:r w:rsidR="00A735F5" w:rsidRPr="0062003B">
        <w:rPr>
          <w:rFonts w:ascii="Arial" w:hAnsi="Arial" w:cs="Arial"/>
          <w:color w:val="000000"/>
          <w:lang w:val="en-US"/>
        </w:rPr>
        <w:t xml:space="preserve"> </w:t>
      </w:r>
      <w:r w:rsidR="00443EF7">
        <w:rPr>
          <w:rFonts w:ascii="Arial" w:hAnsi="Arial" w:cs="Arial"/>
          <w:color w:val="000000"/>
          <w:lang w:val="en-US"/>
        </w:rPr>
        <w:t>i</w:t>
      </w:r>
      <w:r w:rsidR="00A735F5" w:rsidRPr="0062003B">
        <w:rPr>
          <w:rFonts w:ascii="Arial" w:hAnsi="Arial" w:cs="Arial"/>
          <w:color w:val="000000"/>
          <w:lang w:val="en-US"/>
        </w:rPr>
        <w:t>n P</w:t>
      </w:r>
      <w:r w:rsidRPr="0062003B">
        <w:rPr>
          <w:rFonts w:ascii="Arial" w:hAnsi="Arial" w:cs="Arial"/>
          <w:color w:val="000000"/>
          <w:lang w:val="en-US"/>
        </w:rPr>
        <w:t xml:space="preserve">oland </w:t>
      </w:r>
      <w:r w:rsidR="00A735F5" w:rsidRPr="0062003B">
        <w:rPr>
          <w:rFonts w:ascii="Arial" w:hAnsi="Arial" w:cs="Arial"/>
          <w:color w:val="000000"/>
          <w:lang w:val="en-US"/>
        </w:rPr>
        <w:t>the market remains</w:t>
      </w:r>
      <w:r w:rsidRPr="0062003B">
        <w:rPr>
          <w:rFonts w:ascii="Arial" w:hAnsi="Arial" w:cs="Arial"/>
          <w:color w:val="000000"/>
          <w:lang w:val="en-US"/>
        </w:rPr>
        <w:t xml:space="preserve"> supportive</w:t>
      </w:r>
      <w:r w:rsidR="00A735F5" w:rsidRPr="0062003B">
        <w:rPr>
          <w:rFonts w:ascii="Arial" w:hAnsi="Arial" w:cs="Arial"/>
          <w:color w:val="000000"/>
          <w:lang w:val="en-US"/>
        </w:rPr>
        <w:t>.</w:t>
      </w:r>
    </w:p>
    <w:p w14:paraId="2485563E" w14:textId="77777777" w:rsidR="009314EA" w:rsidRPr="0062003B" w:rsidRDefault="009314EA" w:rsidP="006757BD">
      <w:pPr>
        <w:jc w:val="left"/>
        <w:rPr>
          <w:rFonts w:ascii="Arial" w:hAnsi="Arial" w:cs="Arial"/>
          <w:color w:val="000000"/>
          <w:lang w:val="en-US"/>
        </w:rPr>
      </w:pPr>
    </w:p>
    <w:p w14:paraId="69544CC6" w14:textId="03673522" w:rsidR="006757BD" w:rsidRPr="006757BD" w:rsidRDefault="00FB20E8" w:rsidP="006757BD">
      <w:pPr>
        <w:jc w:val="left"/>
        <w:rPr>
          <w:rFonts w:ascii="Arial" w:hAnsi="Arial" w:cs="Arial"/>
          <w:color w:val="000000"/>
        </w:rPr>
      </w:pPr>
      <w:r>
        <w:rPr>
          <w:rFonts w:ascii="Arial" w:hAnsi="Arial" w:cs="Arial"/>
          <w:color w:val="000000"/>
          <w:lang w:val="en-US"/>
        </w:rPr>
        <w:t>Overall</w:t>
      </w:r>
      <w:r w:rsidR="00E503B6">
        <w:rPr>
          <w:rFonts w:ascii="Arial" w:hAnsi="Arial" w:cs="Arial"/>
          <w:color w:val="000000"/>
          <w:lang w:val="en-US"/>
        </w:rPr>
        <w:t xml:space="preserve">, </w:t>
      </w:r>
      <w:r>
        <w:rPr>
          <w:rFonts w:ascii="Arial" w:hAnsi="Arial" w:cs="Arial"/>
          <w:color w:val="000000"/>
          <w:lang w:val="en-US"/>
        </w:rPr>
        <w:t>w</w:t>
      </w:r>
      <w:r w:rsidR="009314EA" w:rsidRPr="0062003B">
        <w:rPr>
          <w:rFonts w:ascii="Arial" w:hAnsi="Arial" w:cs="Arial"/>
          <w:color w:val="000000"/>
          <w:lang w:val="en-US"/>
        </w:rPr>
        <w:t>e are a</w:t>
      </w:r>
      <w:r w:rsidR="006757BD" w:rsidRPr="00A735F5">
        <w:rPr>
          <w:rFonts w:ascii="Arial" w:hAnsi="Arial" w:cs="Arial"/>
          <w:color w:val="000000"/>
          <w:lang w:val="en-US"/>
        </w:rPr>
        <w:t xml:space="preserve">ware of </w:t>
      </w:r>
      <w:r w:rsidR="00922456">
        <w:rPr>
          <w:rFonts w:ascii="Arial" w:hAnsi="Arial" w:cs="Arial"/>
          <w:color w:val="000000"/>
          <w:lang w:val="en-US"/>
        </w:rPr>
        <w:t xml:space="preserve">the </w:t>
      </w:r>
      <w:r w:rsidR="006757BD" w:rsidRPr="00A735F5">
        <w:rPr>
          <w:rFonts w:ascii="Arial" w:hAnsi="Arial" w:cs="Arial"/>
          <w:color w:val="000000"/>
          <w:lang w:val="en-US"/>
        </w:rPr>
        <w:t xml:space="preserve">challenges ahead but remain confident in </w:t>
      </w:r>
      <w:r w:rsidR="00443EF7">
        <w:rPr>
          <w:rFonts w:ascii="Arial" w:hAnsi="Arial" w:cs="Arial"/>
          <w:color w:val="000000"/>
          <w:lang w:val="en-US"/>
        </w:rPr>
        <w:t xml:space="preserve">our </w:t>
      </w:r>
      <w:r w:rsidR="006757BD" w:rsidRPr="00A735F5">
        <w:rPr>
          <w:rFonts w:ascii="Arial" w:hAnsi="Arial" w:cs="Arial"/>
          <w:color w:val="000000"/>
          <w:lang w:val="en-US"/>
        </w:rPr>
        <w:t xml:space="preserve">ability to deliver </w:t>
      </w:r>
      <w:r w:rsidR="00443EF7">
        <w:rPr>
          <w:rFonts w:ascii="Arial" w:hAnsi="Arial" w:cs="Arial"/>
          <w:color w:val="000000"/>
          <w:lang w:val="en-US"/>
        </w:rPr>
        <w:t xml:space="preserve">the </w:t>
      </w:r>
      <w:r w:rsidR="006757BD" w:rsidRPr="00A735F5">
        <w:rPr>
          <w:rFonts w:ascii="Arial" w:hAnsi="Arial" w:cs="Arial"/>
          <w:color w:val="000000"/>
          <w:lang w:val="en-US"/>
        </w:rPr>
        <w:t>FY 20/21 plan benefits</w:t>
      </w:r>
      <w:r w:rsidR="009314EA" w:rsidRPr="00A735F5">
        <w:rPr>
          <w:rFonts w:ascii="Arial" w:hAnsi="Arial" w:cs="Arial"/>
          <w:color w:val="000000"/>
          <w:lang w:val="en-US"/>
        </w:rPr>
        <w:t>.</w:t>
      </w:r>
      <w:r>
        <w:rPr>
          <w:rFonts w:ascii="Arial" w:hAnsi="Arial" w:cs="Arial"/>
          <w:color w:val="000000"/>
          <w:lang w:val="en-US"/>
        </w:rPr>
        <w:t xml:space="preserve"> </w:t>
      </w:r>
    </w:p>
    <w:p w14:paraId="44DA1F03" w14:textId="0EA6B4A5" w:rsidR="00741761" w:rsidRDefault="00741761">
      <w:pPr>
        <w:jc w:val="left"/>
        <w:rPr>
          <w:rFonts w:ascii="Arial" w:hAnsi="Arial" w:cs="Arial"/>
          <w:color w:val="000000"/>
        </w:rPr>
      </w:pPr>
    </w:p>
    <w:p w14:paraId="2C6CD457" w14:textId="2FEDCC18" w:rsidR="00741761" w:rsidRDefault="00741761">
      <w:pPr>
        <w:jc w:val="left"/>
        <w:rPr>
          <w:rFonts w:ascii="Arial" w:hAnsi="Arial" w:cs="Arial"/>
          <w:color w:val="000000"/>
        </w:rPr>
      </w:pPr>
    </w:p>
    <w:p w14:paraId="50BB85F1" w14:textId="77777777" w:rsidR="009314EA" w:rsidRDefault="009314EA">
      <w:pPr>
        <w:jc w:val="left"/>
        <w:rPr>
          <w:rFonts w:ascii="Arial" w:hAnsi="Arial" w:cs="Arial"/>
          <w:color w:val="000000"/>
        </w:rPr>
      </w:pPr>
    </w:p>
    <w:p w14:paraId="311F437B" w14:textId="69CAC84B" w:rsidR="00B356A1" w:rsidRPr="00FC41B5" w:rsidRDefault="00B356A1">
      <w:pPr>
        <w:jc w:val="left"/>
        <w:rPr>
          <w:rFonts w:ascii="Arial" w:hAnsi="Arial" w:cs="Arial"/>
          <w:bCs/>
          <w:sz w:val="24"/>
          <w:szCs w:val="24"/>
        </w:rPr>
      </w:pPr>
      <w:r w:rsidRPr="00FC41B5">
        <w:rPr>
          <w:rFonts w:ascii="Arial" w:hAnsi="Arial" w:cs="Arial"/>
          <w:bCs/>
          <w:sz w:val="24"/>
          <w:szCs w:val="24"/>
        </w:rPr>
        <w:br w:type="page"/>
      </w:r>
    </w:p>
    <w:p w14:paraId="176C87B3" w14:textId="77777777" w:rsidR="00C62542" w:rsidRPr="00A845B7" w:rsidRDefault="00C62542" w:rsidP="00C62542">
      <w:pPr>
        <w:jc w:val="left"/>
        <w:rPr>
          <w:rFonts w:ascii="Arial" w:hAnsi="Arial" w:cs="Arial"/>
          <w:b/>
          <w:bCs/>
        </w:rPr>
      </w:pPr>
      <w:r w:rsidRPr="00A845B7">
        <w:rPr>
          <w:rFonts w:ascii="Arial" w:hAnsi="Arial" w:cs="Arial"/>
          <w:b/>
          <w:bCs/>
        </w:rPr>
        <w:lastRenderedPageBreak/>
        <w:t xml:space="preserve">Section 2: Trading review by </w:t>
      </w:r>
      <w:r w:rsidR="00130A12" w:rsidRPr="00A845B7">
        <w:rPr>
          <w:rFonts w:ascii="Arial" w:hAnsi="Arial" w:cs="Arial"/>
          <w:b/>
          <w:bCs/>
        </w:rPr>
        <w:t>division</w:t>
      </w:r>
      <w:r w:rsidRPr="00A845B7">
        <w:rPr>
          <w:rFonts w:ascii="Arial" w:hAnsi="Arial" w:cs="Arial"/>
          <w:b/>
          <w:bCs/>
        </w:rPr>
        <w:t xml:space="preserve">  </w:t>
      </w:r>
    </w:p>
    <w:p w14:paraId="399E927A" w14:textId="77777777" w:rsidR="00DA4C33" w:rsidRDefault="00DA4C33" w:rsidP="00C62542">
      <w:pPr>
        <w:jc w:val="left"/>
        <w:rPr>
          <w:rFonts w:ascii="Arial" w:hAnsi="Arial" w:cs="Arial"/>
          <w:b/>
          <w:bCs/>
          <w:sz w:val="24"/>
          <w:szCs w:val="24"/>
        </w:rPr>
      </w:pPr>
    </w:p>
    <w:p w14:paraId="136631DB" w14:textId="77777777" w:rsidR="00DA4C33" w:rsidRPr="00F9080F" w:rsidRDefault="00DA4C33" w:rsidP="00C62542">
      <w:pPr>
        <w:jc w:val="left"/>
        <w:rPr>
          <w:rFonts w:ascii="Arial" w:hAnsi="Arial" w:cs="Arial"/>
          <w:bCs/>
          <w:i/>
        </w:rPr>
      </w:pPr>
      <w:r w:rsidRPr="00F9080F">
        <w:rPr>
          <w:rFonts w:ascii="Arial" w:hAnsi="Arial" w:cs="Arial"/>
          <w:bCs/>
          <w:i/>
        </w:rPr>
        <w:t>Note: all commentary below is in constant currencies</w:t>
      </w:r>
    </w:p>
    <w:p w14:paraId="529368BD" w14:textId="77777777" w:rsidR="00C62542" w:rsidRDefault="00C62542" w:rsidP="007D43ED">
      <w:pPr>
        <w:jc w:val="left"/>
        <w:rPr>
          <w:rFonts w:ascii="Arial" w:hAnsi="Arial" w:cs="Arial"/>
          <w:b/>
          <w:bCs/>
          <w:sz w:val="24"/>
          <w:szCs w:val="24"/>
        </w:rPr>
      </w:pPr>
    </w:p>
    <w:p w14:paraId="7C25EDC1" w14:textId="34F5746E" w:rsidR="007D43ED" w:rsidRPr="00A845B7" w:rsidRDefault="007D43ED" w:rsidP="007D43ED">
      <w:pPr>
        <w:jc w:val="left"/>
        <w:rPr>
          <w:rFonts w:ascii="Arial" w:hAnsi="Arial" w:cs="Arial"/>
          <w:b/>
          <w:bCs/>
        </w:rPr>
      </w:pPr>
      <w:r w:rsidRPr="00A845B7">
        <w:rPr>
          <w:rFonts w:ascii="Arial" w:hAnsi="Arial" w:cs="Arial"/>
          <w:b/>
          <w:bCs/>
        </w:rPr>
        <w:t>UK &amp; IRELAND</w:t>
      </w:r>
      <w:r w:rsidR="00D5103C">
        <w:rPr>
          <w:rFonts w:ascii="Arial" w:hAnsi="Arial" w:cs="Arial"/>
          <w:b/>
          <w:bCs/>
        </w:rPr>
        <w:t>*</w:t>
      </w:r>
    </w:p>
    <w:p w14:paraId="561EEFCF" w14:textId="77777777" w:rsidR="007D43ED" w:rsidRPr="00A845B7" w:rsidRDefault="007D43ED" w:rsidP="007D43ED">
      <w:pPr>
        <w:jc w:val="left"/>
        <w:rPr>
          <w:rFonts w:ascii="Arial" w:hAnsi="Arial" w:cs="Arial"/>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1323"/>
        <w:gridCol w:w="1319"/>
        <w:gridCol w:w="1612"/>
        <w:gridCol w:w="1759"/>
        <w:gridCol w:w="1173"/>
      </w:tblGrid>
      <w:tr w:rsidR="007D43ED" w:rsidRPr="00A845B7" w14:paraId="5BAC6C99" w14:textId="77777777" w:rsidTr="006F78D1">
        <w:tc>
          <w:tcPr>
            <w:tcW w:w="1269" w:type="pct"/>
            <w:tcBorders>
              <w:bottom w:val="single" w:sz="4" w:space="0" w:color="auto"/>
            </w:tcBorders>
          </w:tcPr>
          <w:p w14:paraId="7BE2CB36" w14:textId="77777777" w:rsidR="007D43ED" w:rsidRPr="00A845B7" w:rsidRDefault="007D43ED" w:rsidP="00C51098">
            <w:pPr>
              <w:rPr>
                <w:rFonts w:ascii="Arial" w:hAnsi="Arial" w:cs="Arial"/>
              </w:rPr>
            </w:pPr>
            <w:r w:rsidRPr="00A845B7">
              <w:rPr>
                <w:rFonts w:ascii="Arial" w:hAnsi="Arial" w:cs="Arial"/>
              </w:rPr>
              <w:t>£m</w:t>
            </w:r>
          </w:p>
        </w:tc>
        <w:tc>
          <w:tcPr>
            <w:tcW w:w="687" w:type="pct"/>
            <w:tcBorders>
              <w:bottom w:val="single" w:sz="4" w:space="0" w:color="auto"/>
            </w:tcBorders>
          </w:tcPr>
          <w:p w14:paraId="469ACFDA" w14:textId="2922F2B3" w:rsidR="007D43ED" w:rsidRPr="00A845B7" w:rsidRDefault="007D43ED">
            <w:pPr>
              <w:jc w:val="right"/>
              <w:rPr>
                <w:rFonts w:ascii="Arial" w:hAnsi="Arial" w:cs="Arial"/>
              </w:rPr>
            </w:pPr>
            <w:r w:rsidRPr="00A845B7">
              <w:rPr>
                <w:rFonts w:ascii="Arial" w:hAnsi="Arial" w:cs="Arial"/>
                <w:b/>
                <w:bCs/>
              </w:rPr>
              <w:t>201</w:t>
            </w:r>
            <w:r w:rsidR="00D13923">
              <w:rPr>
                <w:rFonts w:ascii="Arial" w:hAnsi="Arial" w:cs="Arial"/>
                <w:b/>
                <w:bCs/>
              </w:rPr>
              <w:t>7</w:t>
            </w:r>
            <w:r w:rsidR="002F5458" w:rsidRPr="00A845B7">
              <w:rPr>
                <w:rFonts w:ascii="Arial" w:hAnsi="Arial" w:cs="Arial"/>
                <w:b/>
                <w:bCs/>
              </w:rPr>
              <w:t>/1</w:t>
            </w:r>
            <w:r w:rsidR="00D13923">
              <w:rPr>
                <w:rFonts w:ascii="Arial" w:hAnsi="Arial" w:cs="Arial"/>
                <w:b/>
                <w:bCs/>
              </w:rPr>
              <w:t>8</w:t>
            </w:r>
          </w:p>
        </w:tc>
        <w:tc>
          <w:tcPr>
            <w:tcW w:w="685" w:type="pct"/>
            <w:tcBorders>
              <w:bottom w:val="single" w:sz="4" w:space="0" w:color="auto"/>
            </w:tcBorders>
          </w:tcPr>
          <w:p w14:paraId="3C24B423" w14:textId="7F31A2BF" w:rsidR="007D43ED" w:rsidRPr="00A845B7" w:rsidRDefault="007D43ED">
            <w:pPr>
              <w:jc w:val="right"/>
              <w:rPr>
                <w:rFonts w:ascii="Arial" w:hAnsi="Arial" w:cs="Arial"/>
                <w:b/>
                <w:bCs/>
              </w:rPr>
            </w:pPr>
            <w:r w:rsidRPr="00A845B7">
              <w:rPr>
                <w:rFonts w:ascii="Arial" w:hAnsi="Arial" w:cs="Arial"/>
                <w:b/>
                <w:bCs/>
              </w:rPr>
              <w:t>201</w:t>
            </w:r>
            <w:r w:rsidR="00D13923">
              <w:rPr>
                <w:rFonts w:ascii="Arial" w:hAnsi="Arial" w:cs="Arial"/>
                <w:b/>
                <w:bCs/>
              </w:rPr>
              <w:t>6</w:t>
            </w:r>
            <w:r w:rsidR="002F5458" w:rsidRPr="00A845B7">
              <w:rPr>
                <w:rFonts w:ascii="Arial" w:hAnsi="Arial" w:cs="Arial"/>
                <w:b/>
                <w:bCs/>
              </w:rPr>
              <w:t>/1</w:t>
            </w:r>
            <w:r w:rsidR="00D13923">
              <w:rPr>
                <w:rFonts w:ascii="Arial" w:hAnsi="Arial" w:cs="Arial"/>
                <w:b/>
                <w:bCs/>
              </w:rPr>
              <w:t>7</w:t>
            </w:r>
          </w:p>
        </w:tc>
        <w:tc>
          <w:tcPr>
            <w:tcW w:w="837" w:type="pct"/>
            <w:tcBorders>
              <w:bottom w:val="single" w:sz="4" w:space="0" w:color="auto"/>
            </w:tcBorders>
          </w:tcPr>
          <w:p w14:paraId="671F89AA" w14:textId="77777777" w:rsidR="007D43ED" w:rsidRPr="00A845B7" w:rsidRDefault="007D43ED" w:rsidP="00C51098">
            <w:pPr>
              <w:jc w:val="right"/>
              <w:rPr>
                <w:rFonts w:ascii="Arial" w:hAnsi="Arial" w:cs="Arial"/>
                <w:b/>
                <w:bCs/>
              </w:rPr>
            </w:pPr>
            <w:r w:rsidRPr="00A845B7">
              <w:rPr>
                <w:rFonts w:ascii="Arial" w:hAnsi="Arial" w:cs="Arial"/>
                <w:b/>
                <w:bCs/>
              </w:rPr>
              <w:t>% Reported</w:t>
            </w:r>
            <w:r w:rsidRPr="00A845B7" w:rsidDel="00197636">
              <w:rPr>
                <w:rFonts w:ascii="Arial" w:hAnsi="Arial" w:cs="Arial"/>
                <w:b/>
                <w:bCs/>
              </w:rPr>
              <w:t xml:space="preserve"> </w:t>
            </w:r>
            <w:r w:rsidRPr="00A845B7">
              <w:rPr>
                <w:rFonts w:ascii="Arial" w:hAnsi="Arial" w:cs="Arial"/>
                <w:b/>
                <w:bCs/>
              </w:rPr>
              <w:t>Change</w:t>
            </w:r>
          </w:p>
          <w:p w14:paraId="3FF12EA0" w14:textId="77777777" w:rsidR="007D43ED" w:rsidRPr="00A845B7" w:rsidRDefault="007D43ED" w:rsidP="00C51098">
            <w:pPr>
              <w:jc w:val="right"/>
              <w:rPr>
                <w:rFonts w:ascii="Arial" w:hAnsi="Arial" w:cs="Arial"/>
                <w:b/>
                <w:bCs/>
              </w:rPr>
            </w:pPr>
          </w:p>
        </w:tc>
        <w:tc>
          <w:tcPr>
            <w:tcW w:w="913" w:type="pct"/>
            <w:tcBorders>
              <w:bottom w:val="single" w:sz="4" w:space="0" w:color="auto"/>
            </w:tcBorders>
          </w:tcPr>
          <w:p w14:paraId="2296913C" w14:textId="77777777" w:rsidR="007D43ED" w:rsidRPr="00A845B7" w:rsidRDefault="007D43ED" w:rsidP="00C51098">
            <w:pPr>
              <w:jc w:val="right"/>
              <w:rPr>
                <w:rFonts w:ascii="Arial" w:hAnsi="Arial" w:cs="Arial"/>
                <w:b/>
                <w:bCs/>
              </w:rPr>
            </w:pPr>
            <w:r w:rsidRPr="00A845B7">
              <w:rPr>
                <w:rFonts w:ascii="Arial" w:hAnsi="Arial" w:cs="Arial"/>
                <w:b/>
                <w:bCs/>
              </w:rPr>
              <w:t>% Constant</w:t>
            </w:r>
          </w:p>
          <w:p w14:paraId="054E6DDD" w14:textId="77777777" w:rsidR="007D43ED" w:rsidRPr="00A845B7" w:rsidRDefault="007D43ED" w:rsidP="00C51098">
            <w:pPr>
              <w:jc w:val="right"/>
              <w:rPr>
                <w:rFonts w:ascii="Arial" w:hAnsi="Arial" w:cs="Arial"/>
                <w:b/>
                <w:bCs/>
              </w:rPr>
            </w:pPr>
            <w:r w:rsidRPr="00A845B7">
              <w:rPr>
                <w:rFonts w:ascii="Arial" w:hAnsi="Arial" w:cs="Arial"/>
                <w:b/>
                <w:bCs/>
              </w:rPr>
              <w:t>Currency</w:t>
            </w:r>
          </w:p>
          <w:p w14:paraId="2CD95A34" w14:textId="77777777" w:rsidR="007D43ED" w:rsidRPr="00A845B7" w:rsidRDefault="007D43ED" w:rsidP="00C51098">
            <w:pPr>
              <w:jc w:val="right"/>
              <w:rPr>
                <w:rFonts w:ascii="Arial" w:hAnsi="Arial" w:cs="Arial"/>
                <w:b/>
                <w:bCs/>
              </w:rPr>
            </w:pPr>
            <w:r w:rsidRPr="00A845B7">
              <w:rPr>
                <w:rFonts w:ascii="Arial" w:hAnsi="Arial" w:cs="Arial"/>
                <w:b/>
                <w:bCs/>
              </w:rPr>
              <w:t xml:space="preserve">Change  </w:t>
            </w:r>
          </w:p>
        </w:tc>
        <w:tc>
          <w:tcPr>
            <w:tcW w:w="609" w:type="pct"/>
            <w:tcBorders>
              <w:bottom w:val="single" w:sz="4" w:space="0" w:color="auto"/>
            </w:tcBorders>
          </w:tcPr>
          <w:p w14:paraId="29664918" w14:textId="77777777" w:rsidR="007D43ED" w:rsidRPr="00A845B7" w:rsidRDefault="007D43ED" w:rsidP="00C51098">
            <w:pPr>
              <w:ind w:hanging="108"/>
              <w:jc w:val="right"/>
              <w:rPr>
                <w:rFonts w:ascii="Arial" w:hAnsi="Arial" w:cs="Arial"/>
                <w:b/>
                <w:bCs/>
              </w:rPr>
            </w:pPr>
            <w:r w:rsidRPr="00A845B7">
              <w:rPr>
                <w:rFonts w:ascii="Arial" w:hAnsi="Arial" w:cs="Arial"/>
                <w:b/>
                <w:bCs/>
              </w:rPr>
              <w:t>% LFL</w:t>
            </w:r>
          </w:p>
          <w:p w14:paraId="540EED24" w14:textId="77777777" w:rsidR="007D43ED" w:rsidRPr="00A845B7" w:rsidRDefault="007D43ED" w:rsidP="00C51098">
            <w:pPr>
              <w:ind w:hanging="108"/>
              <w:jc w:val="right"/>
              <w:rPr>
                <w:rFonts w:ascii="Arial" w:hAnsi="Arial" w:cs="Arial"/>
                <w:b/>
                <w:bCs/>
              </w:rPr>
            </w:pPr>
            <w:r w:rsidRPr="00A845B7">
              <w:rPr>
                <w:rFonts w:ascii="Arial" w:hAnsi="Arial" w:cs="Arial"/>
                <w:b/>
                <w:bCs/>
              </w:rPr>
              <w:t>Change</w:t>
            </w:r>
          </w:p>
        </w:tc>
      </w:tr>
      <w:tr w:rsidR="007D43ED" w:rsidRPr="0042729E" w14:paraId="05066346" w14:textId="77777777" w:rsidTr="006F78D1">
        <w:trPr>
          <w:trHeight w:val="147"/>
        </w:trPr>
        <w:tc>
          <w:tcPr>
            <w:tcW w:w="1269" w:type="pct"/>
            <w:tcBorders>
              <w:bottom w:val="single" w:sz="4" w:space="0" w:color="auto"/>
            </w:tcBorders>
          </w:tcPr>
          <w:p w14:paraId="00CF005A" w14:textId="77777777" w:rsidR="007D43ED" w:rsidRPr="00A845B7" w:rsidRDefault="007D43ED" w:rsidP="00C51098">
            <w:pPr>
              <w:rPr>
                <w:rFonts w:ascii="Arial" w:hAnsi="Arial" w:cs="Arial"/>
                <w:b/>
              </w:rPr>
            </w:pPr>
            <w:r w:rsidRPr="00A845B7">
              <w:rPr>
                <w:rFonts w:ascii="Arial" w:hAnsi="Arial" w:cs="Arial"/>
                <w:b/>
                <w:bCs/>
              </w:rPr>
              <w:t>Sales</w:t>
            </w:r>
          </w:p>
        </w:tc>
        <w:tc>
          <w:tcPr>
            <w:tcW w:w="687" w:type="pct"/>
            <w:tcBorders>
              <w:bottom w:val="single" w:sz="4" w:space="0" w:color="auto"/>
            </w:tcBorders>
          </w:tcPr>
          <w:p w14:paraId="204D3D36" w14:textId="2E3D686F" w:rsidR="007D43ED" w:rsidRPr="005E7894" w:rsidRDefault="005E7894" w:rsidP="00C51098">
            <w:pPr>
              <w:jc w:val="right"/>
              <w:rPr>
                <w:rFonts w:ascii="Arial" w:hAnsi="Arial" w:cs="Arial"/>
              </w:rPr>
            </w:pPr>
            <w:r w:rsidRPr="0018703F">
              <w:rPr>
                <w:rFonts w:ascii="Arial" w:hAnsi="Arial" w:cs="Arial"/>
              </w:rPr>
              <w:t>5,003</w:t>
            </w:r>
          </w:p>
        </w:tc>
        <w:tc>
          <w:tcPr>
            <w:tcW w:w="685" w:type="pct"/>
            <w:tcBorders>
              <w:bottom w:val="single" w:sz="4" w:space="0" w:color="auto"/>
            </w:tcBorders>
          </w:tcPr>
          <w:p w14:paraId="4E320327" w14:textId="04DC254C" w:rsidR="007D43ED" w:rsidRPr="005E7894" w:rsidRDefault="00274B89" w:rsidP="00C51098">
            <w:pPr>
              <w:jc w:val="right"/>
              <w:rPr>
                <w:rFonts w:ascii="Arial" w:hAnsi="Arial" w:cs="Arial"/>
              </w:rPr>
            </w:pPr>
            <w:r w:rsidRPr="005E7894">
              <w:rPr>
                <w:rFonts w:ascii="Arial" w:hAnsi="Arial" w:cs="Arial"/>
              </w:rPr>
              <w:t>4,</w:t>
            </w:r>
            <w:r w:rsidR="00D13923" w:rsidRPr="005E7894">
              <w:rPr>
                <w:rFonts w:ascii="Arial" w:hAnsi="Arial" w:cs="Arial"/>
              </w:rPr>
              <w:t>979</w:t>
            </w:r>
          </w:p>
        </w:tc>
        <w:tc>
          <w:tcPr>
            <w:tcW w:w="837" w:type="pct"/>
            <w:tcBorders>
              <w:bottom w:val="single" w:sz="4" w:space="0" w:color="auto"/>
            </w:tcBorders>
          </w:tcPr>
          <w:p w14:paraId="6FAFDFE5" w14:textId="791CA8E5" w:rsidR="007D43ED" w:rsidRPr="005E7894" w:rsidRDefault="000533AE" w:rsidP="00C51098">
            <w:pPr>
              <w:jc w:val="right"/>
              <w:rPr>
                <w:rFonts w:ascii="Arial" w:hAnsi="Arial" w:cs="Arial"/>
              </w:rPr>
            </w:pPr>
            <w:r w:rsidRPr="005E7894">
              <w:rPr>
                <w:rFonts w:ascii="Arial" w:hAnsi="Arial" w:cs="Arial"/>
              </w:rPr>
              <w:t>+</w:t>
            </w:r>
            <w:r w:rsidR="005E7894" w:rsidRPr="0018703F">
              <w:rPr>
                <w:rFonts w:ascii="Arial" w:hAnsi="Arial" w:cs="Arial"/>
              </w:rPr>
              <w:t>0</w:t>
            </w:r>
            <w:r w:rsidR="00A950C9" w:rsidRPr="005E7894">
              <w:rPr>
                <w:rFonts w:ascii="Arial" w:hAnsi="Arial" w:cs="Arial"/>
              </w:rPr>
              <w:t>.</w:t>
            </w:r>
            <w:r w:rsidR="005E7894" w:rsidRPr="0018703F">
              <w:rPr>
                <w:rFonts w:ascii="Arial" w:hAnsi="Arial" w:cs="Arial"/>
              </w:rPr>
              <w:t>5</w:t>
            </w:r>
            <w:r w:rsidR="002E5D72" w:rsidRPr="005E7894">
              <w:rPr>
                <w:rFonts w:ascii="Arial" w:hAnsi="Arial" w:cs="Arial"/>
              </w:rPr>
              <w:t>%</w:t>
            </w:r>
          </w:p>
        </w:tc>
        <w:tc>
          <w:tcPr>
            <w:tcW w:w="913" w:type="pct"/>
            <w:tcBorders>
              <w:bottom w:val="single" w:sz="4" w:space="0" w:color="auto"/>
            </w:tcBorders>
          </w:tcPr>
          <w:p w14:paraId="492D4BED" w14:textId="5B884CE1" w:rsidR="007D43ED" w:rsidRPr="005E7894" w:rsidRDefault="000533AE" w:rsidP="00C51098">
            <w:pPr>
              <w:jc w:val="right"/>
              <w:rPr>
                <w:rFonts w:ascii="Arial" w:hAnsi="Arial" w:cs="Arial"/>
              </w:rPr>
            </w:pPr>
            <w:r w:rsidRPr="005E7894">
              <w:rPr>
                <w:rFonts w:ascii="Arial" w:hAnsi="Arial" w:cs="Arial"/>
              </w:rPr>
              <w:t>+</w:t>
            </w:r>
            <w:r w:rsidR="005E7894" w:rsidRPr="0018703F">
              <w:rPr>
                <w:rFonts w:ascii="Arial" w:hAnsi="Arial" w:cs="Arial"/>
              </w:rPr>
              <w:t>0</w:t>
            </w:r>
            <w:r w:rsidR="00253C4D" w:rsidRPr="005E7894">
              <w:rPr>
                <w:rFonts w:ascii="Arial" w:hAnsi="Arial" w:cs="Arial"/>
              </w:rPr>
              <w:t>.</w:t>
            </w:r>
            <w:r w:rsidR="00A950C9" w:rsidRPr="005E7894">
              <w:rPr>
                <w:rFonts w:ascii="Arial" w:hAnsi="Arial" w:cs="Arial"/>
              </w:rPr>
              <w:t>4</w:t>
            </w:r>
            <w:r w:rsidR="002E5D72" w:rsidRPr="005E7894">
              <w:rPr>
                <w:rFonts w:ascii="Arial" w:hAnsi="Arial" w:cs="Arial"/>
              </w:rPr>
              <w:t>%</w:t>
            </w:r>
          </w:p>
        </w:tc>
        <w:tc>
          <w:tcPr>
            <w:tcW w:w="609" w:type="pct"/>
            <w:tcBorders>
              <w:bottom w:val="single" w:sz="4" w:space="0" w:color="auto"/>
            </w:tcBorders>
            <w:shd w:val="clear" w:color="auto" w:fill="auto"/>
          </w:tcPr>
          <w:p w14:paraId="69C6A720" w14:textId="194E3A70" w:rsidR="007D43ED" w:rsidRPr="0018703F" w:rsidRDefault="000533AE" w:rsidP="00C51098">
            <w:pPr>
              <w:jc w:val="right"/>
              <w:rPr>
                <w:rFonts w:ascii="Arial" w:hAnsi="Arial" w:cs="Arial"/>
              </w:rPr>
            </w:pPr>
            <w:r w:rsidRPr="005E7894">
              <w:rPr>
                <w:rFonts w:ascii="Arial" w:hAnsi="Arial" w:cs="Arial"/>
              </w:rPr>
              <w:t>+</w:t>
            </w:r>
            <w:r w:rsidR="005E7894" w:rsidRPr="0018703F">
              <w:rPr>
                <w:rFonts w:ascii="Arial" w:hAnsi="Arial" w:cs="Arial"/>
              </w:rPr>
              <w:t>0</w:t>
            </w:r>
            <w:r w:rsidR="002E5D72" w:rsidRPr="005E7894">
              <w:rPr>
                <w:rFonts w:ascii="Arial" w:hAnsi="Arial" w:cs="Arial"/>
              </w:rPr>
              <w:t>.</w:t>
            </w:r>
            <w:r w:rsidR="005E7894" w:rsidRPr="0018703F">
              <w:rPr>
                <w:rFonts w:ascii="Arial" w:hAnsi="Arial" w:cs="Arial"/>
              </w:rPr>
              <w:t>6</w:t>
            </w:r>
            <w:r w:rsidR="002E5D72" w:rsidRPr="005E7894">
              <w:rPr>
                <w:rFonts w:ascii="Arial" w:hAnsi="Arial" w:cs="Arial"/>
              </w:rPr>
              <w:t>%</w:t>
            </w:r>
          </w:p>
        </w:tc>
      </w:tr>
      <w:tr w:rsidR="007D43ED" w:rsidRPr="0042729E" w14:paraId="0843722B" w14:textId="77777777" w:rsidTr="006F78D1">
        <w:trPr>
          <w:gridAfter w:val="1"/>
          <w:wAfter w:w="609" w:type="pct"/>
        </w:trPr>
        <w:tc>
          <w:tcPr>
            <w:tcW w:w="1269" w:type="pct"/>
            <w:tcBorders>
              <w:top w:val="nil"/>
              <w:left w:val="nil"/>
              <w:bottom w:val="single" w:sz="4" w:space="0" w:color="auto"/>
              <w:right w:val="nil"/>
            </w:tcBorders>
          </w:tcPr>
          <w:p w14:paraId="611B3671" w14:textId="77777777" w:rsidR="007D43ED" w:rsidRPr="00A845B7" w:rsidRDefault="007D43ED" w:rsidP="00C51098">
            <w:pPr>
              <w:rPr>
                <w:rFonts w:ascii="Arial" w:hAnsi="Arial" w:cs="Arial"/>
                <w:bCs/>
              </w:rPr>
            </w:pPr>
          </w:p>
        </w:tc>
        <w:tc>
          <w:tcPr>
            <w:tcW w:w="687" w:type="pct"/>
            <w:tcBorders>
              <w:top w:val="nil"/>
              <w:left w:val="nil"/>
              <w:bottom w:val="single" w:sz="4" w:space="0" w:color="auto"/>
              <w:right w:val="nil"/>
            </w:tcBorders>
          </w:tcPr>
          <w:p w14:paraId="6C0467DD" w14:textId="77777777" w:rsidR="007D43ED" w:rsidRPr="0018703F" w:rsidRDefault="007D43ED" w:rsidP="00C51098">
            <w:pPr>
              <w:jc w:val="right"/>
              <w:rPr>
                <w:rFonts w:ascii="Arial" w:hAnsi="Arial" w:cs="Arial"/>
                <w:highlight w:val="yellow"/>
              </w:rPr>
            </w:pPr>
          </w:p>
        </w:tc>
        <w:tc>
          <w:tcPr>
            <w:tcW w:w="685" w:type="pct"/>
            <w:tcBorders>
              <w:top w:val="nil"/>
              <w:left w:val="nil"/>
              <w:bottom w:val="single" w:sz="4" w:space="0" w:color="auto"/>
              <w:right w:val="nil"/>
            </w:tcBorders>
          </w:tcPr>
          <w:p w14:paraId="001168D3" w14:textId="77777777" w:rsidR="007D43ED" w:rsidRPr="00A845B7" w:rsidRDefault="007D43ED" w:rsidP="00C51098">
            <w:pPr>
              <w:jc w:val="right"/>
              <w:rPr>
                <w:rFonts w:ascii="Arial" w:hAnsi="Arial" w:cs="Arial"/>
              </w:rPr>
            </w:pPr>
          </w:p>
        </w:tc>
        <w:tc>
          <w:tcPr>
            <w:tcW w:w="837" w:type="pct"/>
            <w:tcBorders>
              <w:top w:val="nil"/>
              <w:left w:val="nil"/>
              <w:bottom w:val="single" w:sz="4" w:space="0" w:color="auto"/>
              <w:right w:val="nil"/>
            </w:tcBorders>
          </w:tcPr>
          <w:p w14:paraId="36EF0A8B" w14:textId="77777777" w:rsidR="007D43ED" w:rsidRPr="0018703F" w:rsidRDefault="007D43ED" w:rsidP="00C51098">
            <w:pPr>
              <w:jc w:val="right"/>
              <w:rPr>
                <w:rFonts w:ascii="Arial" w:hAnsi="Arial" w:cs="Arial"/>
                <w:highlight w:val="yellow"/>
              </w:rPr>
            </w:pPr>
          </w:p>
        </w:tc>
        <w:tc>
          <w:tcPr>
            <w:tcW w:w="913" w:type="pct"/>
            <w:tcBorders>
              <w:top w:val="nil"/>
              <w:left w:val="nil"/>
              <w:bottom w:val="single" w:sz="4" w:space="0" w:color="auto"/>
              <w:right w:val="nil"/>
            </w:tcBorders>
          </w:tcPr>
          <w:p w14:paraId="0B745091" w14:textId="77777777" w:rsidR="007D43ED" w:rsidRPr="0018703F" w:rsidRDefault="007D43ED" w:rsidP="00C51098">
            <w:pPr>
              <w:jc w:val="right"/>
              <w:rPr>
                <w:rFonts w:ascii="Arial" w:hAnsi="Arial" w:cs="Arial"/>
                <w:highlight w:val="yellow"/>
              </w:rPr>
            </w:pPr>
          </w:p>
        </w:tc>
      </w:tr>
      <w:tr w:rsidR="007D43ED" w:rsidRPr="0042729E" w14:paraId="0237D137" w14:textId="77777777" w:rsidTr="006F78D1">
        <w:trPr>
          <w:gridAfter w:val="1"/>
          <w:wAfter w:w="609" w:type="pct"/>
        </w:trPr>
        <w:tc>
          <w:tcPr>
            <w:tcW w:w="1269" w:type="pct"/>
            <w:tcBorders>
              <w:top w:val="single" w:sz="4" w:space="0" w:color="auto"/>
            </w:tcBorders>
          </w:tcPr>
          <w:p w14:paraId="1E7F8489" w14:textId="77777777" w:rsidR="007D43ED" w:rsidRPr="00A845B7" w:rsidRDefault="007D43ED" w:rsidP="00C51098">
            <w:pPr>
              <w:rPr>
                <w:rFonts w:ascii="Arial" w:hAnsi="Arial" w:cs="Arial"/>
                <w:b/>
              </w:rPr>
            </w:pPr>
            <w:r w:rsidRPr="00A845B7">
              <w:rPr>
                <w:rFonts w:ascii="Arial" w:hAnsi="Arial" w:cs="Arial"/>
                <w:b/>
                <w:bCs/>
              </w:rPr>
              <w:t>Retail profit</w:t>
            </w:r>
          </w:p>
        </w:tc>
        <w:tc>
          <w:tcPr>
            <w:tcW w:w="687" w:type="pct"/>
            <w:tcBorders>
              <w:top w:val="single" w:sz="4" w:space="0" w:color="auto"/>
            </w:tcBorders>
          </w:tcPr>
          <w:p w14:paraId="1D0C35FE" w14:textId="6E57B3DF" w:rsidR="007D43ED" w:rsidRPr="00B3045C" w:rsidRDefault="003559CA">
            <w:pPr>
              <w:jc w:val="right"/>
              <w:rPr>
                <w:rFonts w:ascii="Arial" w:hAnsi="Arial" w:cs="Arial"/>
              </w:rPr>
            </w:pPr>
            <w:r w:rsidRPr="007E57DD">
              <w:rPr>
                <w:rFonts w:ascii="Arial" w:hAnsi="Arial" w:cs="Arial"/>
              </w:rPr>
              <w:t>37</w:t>
            </w:r>
            <w:r w:rsidR="007E57DD" w:rsidRPr="007E57DD">
              <w:rPr>
                <w:rFonts w:ascii="Arial" w:hAnsi="Arial" w:cs="Arial"/>
              </w:rPr>
              <w:t>5</w:t>
            </w:r>
          </w:p>
        </w:tc>
        <w:tc>
          <w:tcPr>
            <w:tcW w:w="685" w:type="pct"/>
            <w:tcBorders>
              <w:top w:val="single" w:sz="4" w:space="0" w:color="auto"/>
            </w:tcBorders>
          </w:tcPr>
          <w:p w14:paraId="788009EB" w14:textId="692D3E21" w:rsidR="007D43ED" w:rsidRPr="00B3045C" w:rsidRDefault="00274B89">
            <w:pPr>
              <w:jc w:val="right"/>
              <w:rPr>
                <w:rFonts w:ascii="Arial" w:hAnsi="Arial" w:cs="Arial"/>
              </w:rPr>
            </w:pPr>
            <w:r w:rsidRPr="00B3045C">
              <w:rPr>
                <w:rFonts w:ascii="Arial" w:hAnsi="Arial" w:cs="Arial"/>
              </w:rPr>
              <w:t>3</w:t>
            </w:r>
            <w:r w:rsidR="00D13923" w:rsidRPr="00B3045C">
              <w:rPr>
                <w:rFonts w:ascii="Arial" w:hAnsi="Arial" w:cs="Arial"/>
              </w:rPr>
              <w:t>58</w:t>
            </w:r>
          </w:p>
        </w:tc>
        <w:tc>
          <w:tcPr>
            <w:tcW w:w="837" w:type="pct"/>
            <w:tcBorders>
              <w:top w:val="single" w:sz="4" w:space="0" w:color="auto"/>
            </w:tcBorders>
          </w:tcPr>
          <w:p w14:paraId="6309627F" w14:textId="57FBDF88" w:rsidR="007D43ED" w:rsidRPr="00B3045C" w:rsidRDefault="0047756B">
            <w:pPr>
              <w:jc w:val="right"/>
              <w:rPr>
                <w:rFonts w:ascii="Arial" w:hAnsi="Arial" w:cs="Arial"/>
              </w:rPr>
            </w:pPr>
            <w:r w:rsidRPr="00B3045C">
              <w:rPr>
                <w:rFonts w:ascii="Arial" w:hAnsi="Arial" w:cs="Arial"/>
              </w:rPr>
              <w:t>+</w:t>
            </w:r>
            <w:r w:rsidR="00B3045C" w:rsidRPr="0018703F">
              <w:rPr>
                <w:rFonts w:ascii="Arial" w:hAnsi="Arial" w:cs="Arial"/>
              </w:rPr>
              <w:t>5</w:t>
            </w:r>
            <w:r w:rsidR="00A45362" w:rsidRPr="00B3045C">
              <w:rPr>
                <w:rFonts w:ascii="Arial" w:hAnsi="Arial" w:cs="Arial"/>
              </w:rPr>
              <w:t>.</w:t>
            </w:r>
            <w:r w:rsidR="00B3045C" w:rsidRPr="0018703F">
              <w:rPr>
                <w:rFonts w:ascii="Arial" w:hAnsi="Arial" w:cs="Arial"/>
              </w:rPr>
              <w:t>1</w:t>
            </w:r>
            <w:r w:rsidR="00316CF3" w:rsidRPr="00B3045C">
              <w:rPr>
                <w:rFonts w:ascii="Arial" w:hAnsi="Arial" w:cs="Arial"/>
              </w:rPr>
              <w:t>%</w:t>
            </w:r>
          </w:p>
        </w:tc>
        <w:tc>
          <w:tcPr>
            <w:tcW w:w="913" w:type="pct"/>
            <w:tcBorders>
              <w:top w:val="single" w:sz="4" w:space="0" w:color="auto"/>
            </w:tcBorders>
          </w:tcPr>
          <w:p w14:paraId="7A149227" w14:textId="507A8F99" w:rsidR="007D43ED" w:rsidRPr="00B3045C" w:rsidRDefault="0047756B" w:rsidP="00DC3143">
            <w:pPr>
              <w:jc w:val="right"/>
              <w:rPr>
                <w:rFonts w:ascii="Arial" w:hAnsi="Arial" w:cs="Arial"/>
              </w:rPr>
            </w:pPr>
            <w:r w:rsidRPr="00B3045C">
              <w:rPr>
                <w:rFonts w:ascii="Arial" w:hAnsi="Arial" w:cs="Arial"/>
              </w:rPr>
              <w:t>+</w:t>
            </w:r>
            <w:r w:rsidR="00B3045C" w:rsidRPr="0018703F">
              <w:rPr>
                <w:rFonts w:ascii="Arial" w:hAnsi="Arial" w:cs="Arial"/>
              </w:rPr>
              <w:t>5</w:t>
            </w:r>
            <w:r w:rsidR="00A45362" w:rsidRPr="00B3045C">
              <w:rPr>
                <w:rFonts w:ascii="Arial" w:hAnsi="Arial" w:cs="Arial"/>
              </w:rPr>
              <w:t>.</w:t>
            </w:r>
            <w:r w:rsidR="00B3045C" w:rsidRPr="0018703F">
              <w:rPr>
                <w:rFonts w:ascii="Arial" w:hAnsi="Arial" w:cs="Arial"/>
              </w:rPr>
              <w:t>0</w:t>
            </w:r>
            <w:r w:rsidR="00721073" w:rsidRPr="00B3045C">
              <w:rPr>
                <w:rFonts w:ascii="Arial" w:hAnsi="Arial" w:cs="Arial"/>
              </w:rPr>
              <w:t>%</w:t>
            </w:r>
          </w:p>
        </w:tc>
      </w:tr>
    </w:tbl>
    <w:p w14:paraId="3261E5F3" w14:textId="77777777" w:rsidR="007D43ED" w:rsidRDefault="007D43ED" w:rsidP="007D43ED">
      <w:pPr>
        <w:jc w:val="left"/>
        <w:rPr>
          <w:rFonts w:ascii="Arial" w:hAnsi="Arial" w:cs="Arial"/>
          <w:sz w:val="24"/>
          <w:szCs w:val="24"/>
        </w:rPr>
      </w:pPr>
    </w:p>
    <w:p w14:paraId="70BF733E" w14:textId="25893DEE" w:rsidR="00E16A6C" w:rsidRPr="00A12C1E" w:rsidRDefault="007D43ED" w:rsidP="007D43ED">
      <w:pPr>
        <w:jc w:val="left"/>
        <w:rPr>
          <w:rFonts w:ascii="Arial" w:hAnsi="Arial" w:cs="Arial"/>
        </w:rPr>
      </w:pPr>
      <w:bookmarkStart w:id="14" w:name="_Hlk508969362"/>
      <w:bookmarkStart w:id="15" w:name="_Hlk508967106"/>
      <w:r w:rsidRPr="005E7894">
        <w:rPr>
          <w:rFonts w:ascii="Arial" w:hAnsi="Arial" w:cs="Arial"/>
        </w:rPr>
        <w:t xml:space="preserve">Kingfisher UK &amp; Ireland sales were up </w:t>
      </w:r>
      <w:r w:rsidR="005E7894" w:rsidRPr="0018703F">
        <w:rPr>
          <w:rFonts w:ascii="Arial" w:hAnsi="Arial" w:cs="Arial"/>
        </w:rPr>
        <w:t>0</w:t>
      </w:r>
      <w:r w:rsidR="0066107E" w:rsidRPr="005E7894">
        <w:rPr>
          <w:rFonts w:ascii="Arial" w:hAnsi="Arial" w:cs="Arial"/>
        </w:rPr>
        <w:t>.</w:t>
      </w:r>
      <w:r w:rsidR="00D5103C">
        <w:rPr>
          <w:rFonts w:ascii="Arial" w:hAnsi="Arial" w:cs="Arial"/>
        </w:rPr>
        <w:t>4</w:t>
      </w:r>
      <w:r w:rsidRPr="005E7894">
        <w:rPr>
          <w:rFonts w:ascii="Arial" w:hAnsi="Arial" w:cs="Arial"/>
        </w:rPr>
        <w:t>% (+</w:t>
      </w:r>
      <w:r w:rsidR="00E344C4">
        <w:rPr>
          <w:rFonts w:ascii="Arial" w:hAnsi="Arial" w:cs="Arial"/>
        </w:rPr>
        <w:t>0</w:t>
      </w:r>
      <w:r w:rsidR="00253C4D" w:rsidRPr="005E7894">
        <w:rPr>
          <w:rFonts w:ascii="Arial" w:hAnsi="Arial" w:cs="Arial"/>
        </w:rPr>
        <w:t>.</w:t>
      </w:r>
      <w:r w:rsidR="00E344C4">
        <w:rPr>
          <w:rFonts w:ascii="Arial" w:hAnsi="Arial" w:cs="Arial"/>
        </w:rPr>
        <w:t>6</w:t>
      </w:r>
      <w:r w:rsidR="00253C4D" w:rsidRPr="005E7894">
        <w:rPr>
          <w:rFonts w:ascii="Arial" w:hAnsi="Arial" w:cs="Arial"/>
        </w:rPr>
        <w:t>%</w:t>
      </w:r>
      <w:r w:rsidRPr="005E7894">
        <w:rPr>
          <w:rFonts w:ascii="Arial" w:hAnsi="Arial" w:cs="Arial"/>
        </w:rPr>
        <w:t xml:space="preserve"> LFL) to £</w:t>
      </w:r>
      <w:r w:rsidR="005E7894" w:rsidRPr="0018703F">
        <w:rPr>
          <w:rFonts w:ascii="Arial" w:hAnsi="Arial" w:cs="Arial"/>
        </w:rPr>
        <w:t>5</w:t>
      </w:r>
      <w:r w:rsidR="002E5D72" w:rsidRPr="005E7894">
        <w:rPr>
          <w:rFonts w:ascii="Arial" w:hAnsi="Arial" w:cs="Arial"/>
        </w:rPr>
        <w:t>,</w:t>
      </w:r>
      <w:r w:rsidR="005E7894" w:rsidRPr="0018703F">
        <w:rPr>
          <w:rFonts w:ascii="Arial" w:hAnsi="Arial" w:cs="Arial"/>
        </w:rPr>
        <w:t>003</w:t>
      </w:r>
      <w:r w:rsidR="006006C6" w:rsidRPr="005E7894">
        <w:rPr>
          <w:rFonts w:ascii="Arial" w:hAnsi="Arial" w:cs="Arial"/>
        </w:rPr>
        <w:t xml:space="preserve"> </w:t>
      </w:r>
      <w:r w:rsidRPr="005E7894">
        <w:rPr>
          <w:rFonts w:ascii="Arial" w:hAnsi="Arial" w:cs="Arial"/>
        </w:rPr>
        <w:t>million</w:t>
      </w:r>
      <w:r w:rsidR="0027369E" w:rsidRPr="005E7894">
        <w:rPr>
          <w:rFonts w:ascii="Arial" w:hAnsi="Arial" w:cs="Arial"/>
        </w:rPr>
        <w:t xml:space="preserve"> </w:t>
      </w:r>
      <w:r w:rsidR="00A12C1E">
        <w:rPr>
          <w:rFonts w:ascii="Arial" w:hAnsi="Arial" w:cs="Arial"/>
        </w:rPr>
        <w:t xml:space="preserve">reflecting </w:t>
      </w:r>
      <w:r w:rsidR="00F06141" w:rsidRPr="00DE3A38">
        <w:rPr>
          <w:rFonts w:ascii="Arial" w:hAnsi="Arial" w:cs="Arial"/>
        </w:rPr>
        <w:t>the continued strong Screwfix performance and modest price inflation, offset by</w:t>
      </w:r>
      <w:r w:rsidR="00F06141">
        <w:rPr>
          <w:rFonts w:ascii="Arial" w:hAnsi="Arial" w:cs="Arial"/>
        </w:rPr>
        <w:t xml:space="preserve"> </w:t>
      </w:r>
      <w:r w:rsidR="00A12C1E">
        <w:rPr>
          <w:rFonts w:ascii="Arial" w:hAnsi="Arial" w:cs="Arial"/>
        </w:rPr>
        <w:t xml:space="preserve">the impact of B&amp;Q store closures last year and </w:t>
      </w:r>
      <w:r w:rsidR="00A12C1E" w:rsidRPr="00DE3A38">
        <w:rPr>
          <w:rFonts w:ascii="Arial" w:hAnsi="Arial" w:cs="Arial"/>
        </w:rPr>
        <w:t xml:space="preserve">transformation business disruption. </w:t>
      </w:r>
      <w:r w:rsidR="00945E62" w:rsidRPr="00522D61">
        <w:rPr>
          <w:rFonts w:ascii="Arial" w:hAnsi="Arial" w:cs="Arial"/>
          <w:bCs/>
        </w:rPr>
        <w:t>During Q4</w:t>
      </w:r>
      <w:r w:rsidR="00DE3A38">
        <w:rPr>
          <w:rFonts w:ascii="Arial" w:hAnsi="Arial" w:cs="Arial"/>
          <w:bCs/>
        </w:rPr>
        <w:t xml:space="preserve"> however</w:t>
      </w:r>
      <w:r w:rsidR="00DE3A38" w:rsidRPr="00522D61">
        <w:rPr>
          <w:rFonts w:ascii="Arial" w:hAnsi="Arial" w:cs="Arial"/>
          <w:bCs/>
        </w:rPr>
        <w:t>,</w:t>
      </w:r>
      <w:r w:rsidR="00945E62" w:rsidRPr="00522D61">
        <w:rPr>
          <w:rFonts w:ascii="Arial" w:hAnsi="Arial" w:cs="Arial"/>
          <w:bCs/>
        </w:rPr>
        <w:t xml:space="preserve"> </w:t>
      </w:r>
      <w:r w:rsidR="00957780">
        <w:rPr>
          <w:rFonts w:ascii="Arial" w:hAnsi="Arial" w:cs="Arial"/>
          <w:bCs/>
        </w:rPr>
        <w:t xml:space="preserve">our businesses </w:t>
      </w:r>
      <w:r w:rsidR="00945E62" w:rsidRPr="00522D61">
        <w:rPr>
          <w:rFonts w:ascii="Arial" w:hAnsi="Arial" w:cs="Arial"/>
          <w:bCs/>
        </w:rPr>
        <w:t>experienced softer sales patterns</w:t>
      </w:r>
      <w:r w:rsidR="00120E79">
        <w:rPr>
          <w:rFonts w:ascii="Arial" w:hAnsi="Arial" w:cs="Arial"/>
          <w:bCs/>
        </w:rPr>
        <w:t xml:space="preserve"> (B&amp;Q -5.1% LFL; Screwfix +7.1% LFL)</w:t>
      </w:r>
      <w:r w:rsidR="00945E62" w:rsidRPr="00522D61">
        <w:rPr>
          <w:rFonts w:ascii="Arial" w:hAnsi="Arial" w:cs="Arial"/>
          <w:bCs/>
        </w:rPr>
        <w:t xml:space="preserve"> </w:t>
      </w:r>
      <w:r w:rsidR="00061A66">
        <w:rPr>
          <w:rFonts w:ascii="Arial" w:hAnsi="Arial" w:cs="Arial"/>
          <w:bCs/>
        </w:rPr>
        <w:t>reflecting</w:t>
      </w:r>
      <w:r w:rsidR="00945E62" w:rsidRPr="00061A66">
        <w:rPr>
          <w:rFonts w:ascii="Arial" w:hAnsi="Arial" w:cs="Arial"/>
          <w:bCs/>
        </w:rPr>
        <w:t xml:space="preserve"> </w:t>
      </w:r>
      <w:r w:rsidR="00F06141">
        <w:rPr>
          <w:rFonts w:ascii="Arial" w:hAnsi="Arial" w:cs="Arial"/>
          <w:bCs/>
        </w:rPr>
        <w:t>softer</w:t>
      </w:r>
      <w:r w:rsidR="00F06141" w:rsidRPr="00061A66">
        <w:rPr>
          <w:rFonts w:ascii="Arial" w:hAnsi="Arial" w:cs="Arial"/>
          <w:bCs/>
        </w:rPr>
        <w:t xml:space="preserve"> </w:t>
      </w:r>
      <w:r w:rsidR="00945E62" w:rsidRPr="00061A66">
        <w:rPr>
          <w:rFonts w:ascii="Arial" w:hAnsi="Arial" w:cs="Arial"/>
          <w:bCs/>
        </w:rPr>
        <w:t>demand for big ticket categories</w:t>
      </w:r>
      <w:r w:rsidR="00F06141">
        <w:rPr>
          <w:rFonts w:ascii="Arial" w:hAnsi="Arial" w:cs="Arial"/>
          <w:bCs/>
        </w:rPr>
        <w:t xml:space="preserve"> (e.g. kitchens)</w:t>
      </w:r>
      <w:r w:rsidR="00945E62" w:rsidRPr="00061A66">
        <w:rPr>
          <w:rFonts w:ascii="Arial" w:hAnsi="Arial" w:cs="Arial"/>
          <w:bCs/>
        </w:rPr>
        <w:t>.</w:t>
      </w:r>
      <w:r w:rsidR="00945E62">
        <w:rPr>
          <w:rFonts w:ascii="Arial" w:hAnsi="Arial" w:cs="Arial"/>
          <w:bCs/>
        </w:rPr>
        <w:t xml:space="preserve"> </w:t>
      </w:r>
      <w:r w:rsidR="005D3EAD" w:rsidRPr="00A12C1E">
        <w:rPr>
          <w:rFonts w:ascii="Arial" w:hAnsi="Arial" w:cs="Arial"/>
        </w:rPr>
        <w:t xml:space="preserve">Gross margins were down </w:t>
      </w:r>
      <w:r w:rsidR="005D3EAD" w:rsidRPr="0018703F">
        <w:rPr>
          <w:rFonts w:ascii="Arial" w:hAnsi="Arial" w:cs="Arial"/>
        </w:rPr>
        <w:t>30</w:t>
      </w:r>
      <w:r w:rsidR="005D3EAD" w:rsidRPr="00A12C1E">
        <w:rPr>
          <w:rFonts w:ascii="Arial" w:hAnsi="Arial" w:cs="Arial"/>
        </w:rPr>
        <w:t xml:space="preserve"> basis points</w:t>
      </w:r>
      <w:r w:rsidR="005D3EAD" w:rsidRPr="0018703F">
        <w:rPr>
          <w:rFonts w:ascii="Arial" w:hAnsi="Arial" w:cs="Arial"/>
        </w:rPr>
        <w:t xml:space="preserve"> and</w:t>
      </w:r>
      <w:r w:rsidR="005D3EAD" w:rsidRPr="00A12C1E">
        <w:rPr>
          <w:rFonts w:ascii="Arial" w:hAnsi="Arial" w:cs="Arial"/>
        </w:rPr>
        <w:t xml:space="preserve"> </w:t>
      </w:r>
      <w:r w:rsidR="005D3EAD" w:rsidRPr="0018703F">
        <w:rPr>
          <w:rFonts w:ascii="Arial" w:hAnsi="Arial" w:cs="Arial"/>
        </w:rPr>
        <w:t>f</w:t>
      </w:r>
      <w:r w:rsidR="005D3EAD" w:rsidRPr="00A12C1E">
        <w:rPr>
          <w:rFonts w:ascii="Arial" w:hAnsi="Arial" w:cs="Arial"/>
        </w:rPr>
        <w:t xml:space="preserve">ocus on cost control continued. </w:t>
      </w:r>
      <w:r w:rsidRPr="00B3045C">
        <w:rPr>
          <w:rFonts w:ascii="Arial" w:hAnsi="Arial" w:cs="Arial"/>
        </w:rPr>
        <w:t xml:space="preserve">Retail profit grew by </w:t>
      </w:r>
      <w:r w:rsidR="00B3045C">
        <w:rPr>
          <w:rFonts w:ascii="Arial" w:hAnsi="Arial" w:cs="Arial"/>
        </w:rPr>
        <w:t>5</w:t>
      </w:r>
      <w:r w:rsidR="00925A3E" w:rsidRPr="00B3045C">
        <w:rPr>
          <w:rFonts w:ascii="Arial" w:hAnsi="Arial" w:cs="Arial"/>
        </w:rPr>
        <w:t>.</w:t>
      </w:r>
      <w:r w:rsidR="0018703F">
        <w:rPr>
          <w:rFonts w:ascii="Arial" w:hAnsi="Arial" w:cs="Arial"/>
        </w:rPr>
        <w:t>0</w:t>
      </w:r>
      <w:r w:rsidRPr="00B3045C">
        <w:rPr>
          <w:rFonts w:ascii="Arial" w:hAnsi="Arial" w:cs="Arial"/>
        </w:rPr>
        <w:t>% to £</w:t>
      </w:r>
      <w:r w:rsidR="00253C4D" w:rsidRPr="00B3045C">
        <w:rPr>
          <w:rFonts w:ascii="Arial" w:hAnsi="Arial" w:cs="Arial"/>
        </w:rPr>
        <w:t>3</w:t>
      </w:r>
      <w:r w:rsidR="00B3045C">
        <w:rPr>
          <w:rFonts w:ascii="Arial" w:hAnsi="Arial" w:cs="Arial"/>
        </w:rPr>
        <w:t>75</w:t>
      </w:r>
      <w:r w:rsidR="002E5D72" w:rsidRPr="00B3045C">
        <w:rPr>
          <w:rFonts w:ascii="Arial" w:hAnsi="Arial" w:cs="Arial"/>
        </w:rPr>
        <w:t xml:space="preserve"> </w:t>
      </w:r>
      <w:r w:rsidRPr="00B3045C">
        <w:rPr>
          <w:rFonts w:ascii="Arial" w:hAnsi="Arial" w:cs="Arial"/>
        </w:rPr>
        <w:t>million</w:t>
      </w:r>
      <w:r w:rsidRPr="00A12C1E">
        <w:rPr>
          <w:rFonts w:ascii="Arial" w:hAnsi="Arial" w:cs="Arial"/>
        </w:rPr>
        <w:t xml:space="preserve">. </w:t>
      </w:r>
    </w:p>
    <w:bookmarkEnd w:id="14"/>
    <w:p w14:paraId="7BB50BCE" w14:textId="77777777" w:rsidR="007D43ED" w:rsidRPr="0042729E" w:rsidRDefault="007D43ED" w:rsidP="007D43ED">
      <w:pPr>
        <w:jc w:val="left"/>
        <w:rPr>
          <w:rFonts w:ascii="Arial" w:hAnsi="Arial" w:cs="Arial"/>
          <w:sz w:val="24"/>
          <w:szCs w:val="24"/>
          <w:highlight w:val="yellow"/>
        </w:rPr>
      </w:pPr>
    </w:p>
    <w:p w14:paraId="25AEE7FC" w14:textId="3B375E93" w:rsidR="00A12C1E" w:rsidRDefault="007D43ED" w:rsidP="00A12C1E">
      <w:pPr>
        <w:jc w:val="left"/>
        <w:rPr>
          <w:rFonts w:ascii="Arial" w:hAnsi="Arial" w:cs="Arial"/>
        </w:rPr>
      </w:pPr>
      <w:r w:rsidRPr="005E7894">
        <w:rPr>
          <w:rFonts w:ascii="Arial" w:hAnsi="Arial" w:cs="Arial"/>
          <w:b/>
          <w:bCs/>
        </w:rPr>
        <w:t>B&amp;Q</w:t>
      </w:r>
      <w:r w:rsidRPr="005E7894">
        <w:rPr>
          <w:rFonts w:ascii="Arial" w:hAnsi="Arial" w:cs="Arial"/>
        </w:rPr>
        <w:t xml:space="preserve"> total sales </w:t>
      </w:r>
      <w:r w:rsidR="002E5D72" w:rsidRPr="005E7894">
        <w:rPr>
          <w:rFonts w:ascii="Arial" w:hAnsi="Arial" w:cs="Arial"/>
        </w:rPr>
        <w:t xml:space="preserve">declined by </w:t>
      </w:r>
      <w:r w:rsidR="005E7894" w:rsidRPr="0018703F">
        <w:rPr>
          <w:rFonts w:ascii="Arial" w:hAnsi="Arial" w:cs="Arial"/>
        </w:rPr>
        <w:t>5</w:t>
      </w:r>
      <w:r w:rsidR="00850AD2" w:rsidRPr="005E7894">
        <w:rPr>
          <w:rFonts w:ascii="Arial" w:hAnsi="Arial" w:cs="Arial"/>
        </w:rPr>
        <w:t>.</w:t>
      </w:r>
      <w:r w:rsidR="007B566F">
        <w:rPr>
          <w:rFonts w:ascii="Arial" w:hAnsi="Arial" w:cs="Arial"/>
        </w:rPr>
        <w:t>3</w:t>
      </w:r>
      <w:r w:rsidRPr="005E7894">
        <w:rPr>
          <w:rFonts w:ascii="Arial" w:hAnsi="Arial" w:cs="Arial"/>
        </w:rPr>
        <w:t xml:space="preserve">% </w:t>
      </w:r>
      <w:r w:rsidR="00E27B2D" w:rsidRPr="005E7894">
        <w:rPr>
          <w:rFonts w:ascii="Arial" w:hAnsi="Arial" w:cs="Arial"/>
        </w:rPr>
        <w:t>to £3,</w:t>
      </w:r>
      <w:r w:rsidR="005E7894" w:rsidRPr="0018703F">
        <w:rPr>
          <w:rFonts w:ascii="Arial" w:hAnsi="Arial" w:cs="Arial"/>
        </w:rPr>
        <w:t>4</w:t>
      </w:r>
      <w:r w:rsidR="00E27B2D" w:rsidRPr="005E7894">
        <w:rPr>
          <w:rFonts w:ascii="Arial" w:hAnsi="Arial" w:cs="Arial"/>
        </w:rPr>
        <w:t>8</w:t>
      </w:r>
      <w:r w:rsidR="005E7894" w:rsidRPr="0018703F">
        <w:rPr>
          <w:rFonts w:ascii="Arial" w:hAnsi="Arial" w:cs="Arial"/>
        </w:rPr>
        <w:t>8</w:t>
      </w:r>
      <w:r w:rsidR="00E27B2D" w:rsidRPr="005E7894">
        <w:rPr>
          <w:rFonts w:ascii="Arial" w:hAnsi="Arial" w:cs="Arial"/>
        </w:rPr>
        <w:t xml:space="preserve"> million </w:t>
      </w:r>
      <w:r w:rsidR="00A12C1E" w:rsidRPr="00AC598B">
        <w:rPr>
          <w:rFonts w:ascii="Arial" w:hAnsi="Arial" w:cs="Arial"/>
        </w:rPr>
        <w:t xml:space="preserve">reflecting </w:t>
      </w:r>
      <w:proofErr w:type="spellStart"/>
      <w:r w:rsidR="00A12C1E">
        <w:rPr>
          <w:rFonts w:ascii="Arial" w:hAnsi="Arial" w:cs="Arial"/>
        </w:rPr>
        <w:t>annualisation</w:t>
      </w:r>
      <w:proofErr w:type="spellEnd"/>
      <w:r w:rsidR="00A12C1E">
        <w:rPr>
          <w:rFonts w:ascii="Arial" w:hAnsi="Arial" w:cs="Arial"/>
        </w:rPr>
        <w:t xml:space="preserve"> of the completed </w:t>
      </w:r>
      <w:r w:rsidR="00A12C1E" w:rsidRPr="00AC598B">
        <w:rPr>
          <w:rFonts w:ascii="Arial" w:hAnsi="Arial" w:cs="Arial"/>
        </w:rPr>
        <w:t>store closure</w:t>
      </w:r>
      <w:r w:rsidR="00A12C1E">
        <w:rPr>
          <w:rFonts w:ascii="Arial" w:hAnsi="Arial" w:cs="Arial"/>
        </w:rPr>
        <w:t xml:space="preserve"> programme. LFL sales declined by 2.8% after a </w:t>
      </w:r>
      <w:r w:rsidR="007801F1">
        <w:rPr>
          <w:rFonts w:ascii="Arial" w:hAnsi="Arial" w:cs="Arial"/>
        </w:rPr>
        <w:t>0.7</w:t>
      </w:r>
      <w:r w:rsidR="00A12C1E">
        <w:rPr>
          <w:rFonts w:ascii="Arial" w:hAnsi="Arial" w:cs="Arial"/>
        </w:rPr>
        <w:t>% benefit from sales transference associated with the store closures.</w:t>
      </w:r>
      <w:r w:rsidR="00A12C1E" w:rsidRPr="00AC598B">
        <w:rPr>
          <w:rFonts w:ascii="Arial" w:hAnsi="Arial" w:cs="Arial"/>
        </w:rPr>
        <w:t xml:space="preserve"> LFL sales of seasonal products were down </w:t>
      </w:r>
      <w:r w:rsidR="00D5167F">
        <w:rPr>
          <w:rFonts w:ascii="Arial" w:hAnsi="Arial" w:cs="Arial"/>
        </w:rPr>
        <w:t>2.8</w:t>
      </w:r>
      <w:r w:rsidR="00A12C1E" w:rsidRPr="00AC598B">
        <w:rPr>
          <w:rFonts w:ascii="Arial" w:hAnsi="Arial" w:cs="Arial"/>
        </w:rPr>
        <w:t>% while sales of non-seasonal products, including showroom</w:t>
      </w:r>
      <w:r w:rsidR="00A12C1E">
        <w:rPr>
          <w:rFonts w:ascii="Arial" w:hAnsi="Arial" w:cs="Arial"/>
        </w:rPr>
        <w:t>,</w:t>
      </w:r>
      <w:r w:rsidR="00A12C1E" w:rsidRPr="00AC598B">
        <w:rPr>
          <w:rFonts w:ascii="Arial" w:hAnsi="Arial" w:cs="Arial"/>
        </w:rPr>
        <w:t xml:space="preserve"> were </w:t>
      </w:r>
      <w:r w:rsidR="00D5167F">
        <w:rPr>
          <w:rFonts w:ascii="Arial" w:hAnsi="Arial" w:cs="Arial"/>
        </w:rPr>
        <w:t xml:space="preserve">also </w:t>
      </w:r>
      <w:r w:rsidR="00A12C1E" w:rsidRPr="00AC598B">
        <w:rPr>
          <w:rFonts w:ascii="Arial" w:hAnsi="Arial" w:cs="Arial"/>
        </w:rPr>
        <w:t xml:space="preserve">down </w:t>
      </w:r>
      <w:r w:rsidR="00D5167F">
        <w:rPr>
          <w:rFonts w:ascii="Arial" w:hAnsi="Arial" w:cs="Arial"/>
        </w:rPr>
        <w:t>2.8</w:t>
      </w:r>
      <w:r w:rsidR="00A12C1E" w:rsidRPr="00AC598B">
        <w:rPr>
          <w:rFonts w:ascii="Arial" w:hAnsi="Arial" w:cs="Arial"/>
        </w:rPr>
        <w:t xml:space="preserve">%. </w:t>
      </w:r>
    </w:p>
    <w:p w14:paraId="79211C9F" w14:textId="77777777" w:rsidR="007D43ED" w:rsidRPr="0042729E" w:rsidRDefault="007D43ED" w:rsidP="007D43ED">
      <w:pPr>
        <w:jc w:val="left"/>
        <w:rPr>
          <w:rFonts w:ascii="Arial" w:hAnsi="Arial" w:cs="Arial"/>
          <w:highlight w:val="yellow"/>
        </w:rPr>
      </w:pPr>
    </w:p>
    <w:p w14:paraId="2693973E" w14:textId="4B3DF18C" w:rsidR="00A12C1E" w:rsidRPr="00AC598B" w:rsidRDefault="00A12C1E" w:rsidP="00A12C1E">
      <w:pPr>
        <w:jc w:val="left"/>
        <w:rPr>
          <w:rFonts w:ascii="Arial" w:hAnsi="Arial" w:cs="Arial"/>
          <w:highlight w:val="yellow"/>
        </w:rPr>
      </w:pPr>
      <w:bookmarkStart w:id="16" w:name="_Hlk491339533"/>
      <w:r w:rsidRPr="00AC598B">
        <w:rPr>
          <w:rFonts w:ascii="Arial" w:hAnsi="Arial" w:cs="Arial"/>
        </w:rPr>
        <w:t xml:space="preserve">B&amp;Q’s click &amp; collect is now available on over </w:t>
      </w:r>
      <w:r w:rsidRPr="00FC41B5">
        <w:rPr>
          <w:rFonts w:ascii="Arial" w:hAnsi="Arial" w:cs="Arial"/>
        </w:rPr>
        <w:t>3</w:t>
      </w:r>
      <w:r w:rsidR="000B5D6F" w:rsidRPr="00FC41B5">
        <w:rPr>
          <w:rFonts w:ascii="Arial" w:hAnsi="Arial" w:cs="Arial"/>
        </w:rPr>
        <w:t>3</w:t>
      </w:r>
      <w:r w:rsidRPr="00FC41B5">
        <w:rPr>
          <w:rFonts w:ascii="Arial" w:hAnsi="Arial" w:cs="Arial"/>
        </w:rPr>
        <w:t>,000</w:t>
      </w:r>
      <w:r w:rsidRPr="00AC598B">
        <w:rPr>
          <w:rFonts w:ascii="Arial" w:hAnsi="Arial" w:cs="Arial"/>
        </w:rPr>
        <w:t xml:space="preserve"> products</w:t>
      </w:r>
      <w:r w:rsidR="000B5D6F">
        <w:rPr>
          <w:rFonts w:ascii="Arial" w:hAnsi="Arial" w:cs="Arial"/>
        </w:rPr>
        <w:t xml:space="preserve"> of which over 29,000 are available for 1 hour </w:t>
      </w:r>
      <w:r w:rsidR="000B5D6F" w:rsidRPr="00AC598B">
        <w:rPr>
          <w:rFonts w:ascii="Arial" w:hAnsi="Arial" w:cs="Arial"/>
        </w:rPr>
        <w:t>click &amp; collect</w:t>
      </w:r>
      <w:r w:rsidRPr="00AC598B">
        <w:rPr>
          <w:rFonts w:ascii="Arial" w:hAnsi="Arial" w:cs="Arial"/>
        </w:rPr>
        <w:t xml:space="preserve">. Total </w:t>
      </w:r>
      <w:r w:rsidR="00285BAC">
        <w:rPr>
          <w:rFonts w:ascii="Arial" w:hAnsi="Arial" w:cs="Arial"/>
        </w:rPr>
        <w:t>digital</w:t>
      </w:r>
      <w:r w:rsidRPr="00AC598B">
        <w:rPr>
          <w:rFonts w:ascii="Arial" w:hAnsi="Arial" w:cs="Arial"/>
        </w:rPr>
        <w:t xml:space="preserve"> sales, including home delivery, continued to make good progress with sales growing by </w:t>
      </w:r>
      <w:r w:rsidR="00091A6A" w:rsidRPr="00FC41B5">
        <w:rPr>
          <w:rFonts w:ascii="Arial" w:hAnsi="Arial" w:cs="Arial"/>
        </w:rPr>
        <w:t>11</w:t>
      </w:r>
      <w:r w:rsidRPr="00FC41B5">
        <w:rPr>
          <w:rFonts w:ascii="Arial" w:hAnsi="Arial" w:cs="Arial"/>
        </w:rPr>
        <w:t>%</w:t>
      </w:r>
      <w:r>
        <w:rPr>
          <w:rFonts w:ascii="Arial" w:hAnsi="Arial" w:cs="Arial"/>
        </w:rPr>
        <w:t xml:space="preserve"> and now representing </w:t>
      </w:r>
      <w:r w:rsidR="00B94DF4">
        <w:rPr>
          <w:rFonts w:ascii="Arial" w:hAnsi="Arial" w:cs="Arial"/>
        </w:rPr>
        <w:t>4</w:t>
      </w:r>
      <w:r>
        <w:rPr>
          <w:rFonts w:ascii="Arial" w:hAnsi="Arial" w:cs="Arial"/>
        </w:rPr>
        <w:t>% of total sales</w:t>
      </w:r>
      <w:r w:rsidRPr="00AC598B">
        <w:rPr>
          <w:rFonts w:ascii="Arial" w:hAnsi="Arial" w:cs="Arial"/>
        </w:rPr>
        <w:t>.</w:t>
      </w:r>
      <w:r>
        <w:rPr>
          <w:rFonts w:ascii="Arial" w:hAnsi="Arial" w:cs="Arial"/>
        </w:rPr>
        <w:t xml:space="preserve"> </w:t>
      </w:r>
    </w:p>
    <w:bookmarkEnd w:id="16"/>
    <w:p w14:paraId="6030713C" w14:textId="77777777" w:rsidR="007D43ED" w:rsidRPr="0042729E" w:rsidRDefault="007D43ED" w:rsidP="007D43ED">
      <w:pPr>
        <w:jc w:val="left"/>
        <w:rPr>
          <w:rFonts w:ascii="Arial" w:hAnsi="Arial" w:cs="Arial"/>
          <w:highlight w:val="yellow"/>
        </w:rPr>
      </w:pPr>
    </w:p>
    <w:p w14:paraId="3D74EA8E" w14:textId="3B25C4FC" w:rsidR="007D43ED" w:rsidRPr="0018703F" w:rsidRDefault="007D43ED" w:rsidP="007D43ED">
      <w:pPr>
        <w:pStyle w:val="PlainText"/>
        <w:rPr>
          <w:rFonts w:ascii="Arial" w:hAnsi="Arial" w:cs="Arial"/>
          <w:sz w:val="22"/>
          <w:szCs w:val="22"/>
          <w:highlight w:val="yellow"/>
        </w:rPr>
      </w:pPr>
      <w:bookmarkStart w:id="17" w:name="_Hlk506991464"/>
      <w:r w:rsidRPr="005E7894">
        <w:rPr>
          <w:rFonts w:ascii="Arial" w:hAnsi="Arial" w:cs="Arial"/>
          <w:b/>
          <w:sz w:val="22"/>
          <w:szCs w:val="22"/>
        </w:rPr>
        <w:t>Screwfix</w:t>
      </w:r>
      <w:r w:rsidRPr="005E7894">
        <w:rPr>
          <w:rFonts w:ascii="Arial" w:hAnsi="Arial" w:cs="Arial"/>
          <w:sz w:val="22"/>
          <w:szCs w:val="22"/>
        </w:rPr>
        <w:t xml:space="preserve"> total sales </w:t>
      </w:r>
      <w:r w:rsidR="003559CA">
        <w:rPr>
          <w:rFonts w:ascii="Arial" w:hAnsi="Arial" w:cs="Arial"/>
          <w:sz w:val="22"/>
          <w:szCs w:val="22"/>
        </w:rPr>
        <w:t xml:space="preserve">increased </w:t>
      </w:r>
      <w:r w:rsidRPr="005E7894">
        <w:rPr>
          <w:rFonts w:ascii="Arial" w:hAnsi="Arial" w:cs="Arial"/>
          <w:sz w:val="22"/>
          <w:szCs w:val="22"/>
        </w:rPr>
        <w:t xml:space="preserve">by </w:t>
      </w:r>
      <w:r w:rsidR="005E7894" w:rsidRPr="0018703F">
        <w:rPr>
          <w:rFonts w:ascii="Arial" w:hAnsi="Arial" w:cs="Arial"/>
          <w:sz w:val="22"/>
          <w:szCs w:val="22"/>
        </w:rPr>
        <w:t>16</w:t>
      </w:r>
      <w:r w:rsidR="00850AD2" w:rsidRPr="005E7894">
        <w:rPr>
          <w:rFonts w:ascii="Arial" w:hAnsi="Arial" w:cs="Arial"/>
          <w:sz w:val="22"/>
          <w:szCs w:val="22"/>
        </w:rPr>
        <w:t>.</w:t>
      </w:r>
      <w:r w:rsidR="005E7894" w:rsidRPr="0018703F">
        <w:rPr>
          <w:rFonts w:ascii="Arial" w:hAnsi="Arial" w:cs="Arial"/>
          <w:sz w:val="22"/>
          <w:szCs w:val="22"/>
        </w:rPr>
        <w:t>7</w:t>
      </w:r>
      <w:r w:rsidRPr="005E7894">
        <w:rPr>
          <w:rFonts w:ascii="Arial" w:hAnsi="Arial" w:cs="Arial"/>
          <w:sz w:val="22"/>
          <w:szCs w:val="22"/>
        </w:rPr>
        <w:t>% (+</w:t>
      </w:r>
      <w:r w:rsidR="00850AD2" w:rsidRPr="005E7894">
        <w:rPr>
          <w:rFonts w:ascii="Arial" w:hAnsi="Arial" w:cs="Arial"/>
          <w:sz w:val="22"/>
          <w:szCs w:val="22"/>
        </w:rPr>
        <w:t>1</w:t>
      </w:r>
      <w:r w:rsidR="005E7894" w:rsidRPr="0018703F">
        <w:rPr>
          <w:rFonts w:ascii="Arial" w:hAnsi="Arial" w:cs="Arial"/>
          <w:sz w:val="22"/>
          <w:szCs w:val="22"/>
        </w:rPr>
        <w:t>0</w:t>
      </w:r>
      <w:r w:rsidR="00850AD2" w:rsidRPr="005E7894">
        <w:rPr>
          <w:rFonts w:ascii="Arial" w:hAnsi="Arial" w:cs="Arial"/>
          <w:sz w:val="22"/>
          <w:szCs w:val="22"/>
        </w:rPr>
        <w:t>.</w:t>
      </w:r>
      <w:r w:rsidR="005E7894" w:rsidRPr="0018703F">
        <w:rPr>
          <w:rFonts w:ascii="Arial" w:hAnsi="Arial" w:cs="Arial"/>
          <w:sz w:val="22"/>
          <w:szCs w:val="22"/>
        </w:rPr>
        <w:t>1</w:t>
      </w:r>
      <w:r w:rsidRPr="005E7894">
        <w:rPr>
          <w:rFonts w:ascii="Arial" w:hAnsi="Arial" w:cs="Arial"/>
          <w:sz w:val="22"/>
          <w:szCs w:val="22"/>
        </w:rPr>
        <w:t>% LFL) to £</w:t>
      </w:r>
      <w:r w:rsidR="00850AD2" w:rsidRPr="005E7894">
        <w:rPr>
          <w:rFonts w:ascii="Arial" w:hAnsi="Arial" w:cs="Arial"/>
          <w:sz w:val="22"/>
          <w:szCs w:val="22"/>
        </w:rPr>
        <w:t>1,</w:t>
      </w:r>
      <w:r w:rsidR="005E7894" w:rsidRPr="0018703F">
        <w:rPr>
          <w:rFonts w:ascii="Arial" w:hAnsi="Arial" w:cs="Arial"/>
          <w:sz w:val="22"/>
          <w:szCs w:val="22"/>
        </w:rPr>
        <w:t>515</w:t>
      </w:r>
      <w:r w:rsidR="00E95DC2" w:rsidRPr="005E7894">
        <w:rPr>
          <w:rFonts w:ascii="Arial" w:hAnsi="Arial" w:cs="Arial"/>
          <w:sz w:val="22"/>
          <w:szCs w:val="22"/>
        </w:rPr>
        <w:t xml:space="preserve"> </w:t>
      </w:r>
      <w:r w:rsidRPr="005E7894">
        <w:rPr>
          <w:rFonts w:ascii="Arial" w:hAnsi="Arial" w:cs="Arial"/>
          <w:sz w:val="22"/>
          <w:szCs w:val="22"/>
        </w:rPr>
        <w:t>million</w:t>
      </w:r>
      <w:r w:rsidR="00A12C1E" w:rsidRPr="00A12C1E">
        <w:rPr>
          <w:rFonts w:ascii="Arial" w:hAnsi="Arial" w:cs="Arial"/>
          <w:sz w:val="22"/>
          <w:szCs w:val="22"/>
        </w:rPr>
        <w:t xml:space="preserve"> </w:t>
      </w:r>
      <w:r w:rsidR="00A12C1E" w:rsidRPr="00AC598B">
        <w:rPr>
          <w:rFonts w:ascii="Arial" w:hAnsi="Arial" w:cs="Arial"/>
          <w:sz w:val="22"/>
          <w:szCs w:val="22"/>
        </w:rPr>
        <w:t xml:space="preserve">driven by strong growth from the </w:t>
      </w:r>
      <w:bookmarkStart w:id="18" w:name="_Hlk508030927"/>
      <w:r w:rsidR="00A12C1E" w:rsidRPr="00AC598B">
        <w:rPr>
          <w:rFonts w:ascii="Arial" w:hAnsi="Arial" w:cs="Arial"/>
          <w:sz w:val="22"/>
          <w:szCs w:val="22"/>
        </w:rPr>
        <w:t>specialist trade desks exclusive to plumbers and electricians</w:t>
      </w:r>
      <w:bookmarkEnd w:id="18"/>
      <w:r w:rsidR="00A12C1E" w:rsidRPr="00AC598B">
        <w:rPr>
          <w:rFonts w:ascii="Arial" w:hAnsi="Arial" w:cs="Arial"/>
          <w:sz w:val="22"/>
          <w:szCs w:val="22"/>
        </w:rPr>
        <w:t xml:space="preserve">, strong digital </w:t>
      </w:r>
      <w:r w:rsidR="00A12C1E" w:rsidRPr="00390B05">
        <w:rPr>
          <w:rFonts w:ascii="Arial" w:hAnsi="Arial" w:cs="Arial"/>
          <w:sz w:val="22"/>
          <w:szCs w:val="22"/>
        </w:rPr>
        <w:t xml:space="preserve">growth </w:t>
      </w:r>
      <w:r w:rsidR="00A12C1E" w:rsidRPr="004F6F19">
        <w:rPr>
          <w:rFonts w:ascii="Arial" w:hAnsi="Arial" w:cs="Arial"/>
          <w:sz w:val="22"/>
          <w:szCs w:val="22"/>
        </w:rPr>
        <w:t>(e.g. mobile +</w:t>
      </w:r>
      <w:r w:rsidR="00390B05" w:rsidRPr="004F6F19">
        <w:rPr>
          <w:rFonts w:ascii="Arial" w:hAnsi="Arial" w:cs="Arial"/>
          <w:sz w:val="22"/>
          <w:szCs w:val="22"/>
        </w:rPr>
        <w:t>86</w:t>
      </w:r>
      <w:r w:rsidR="00A12C1E" w:rsidRPr="004F6F19">
        <w:rPr>
          <w:rFonts w:ascii="Arial" w:hAnsi="Arial" w:cs="Arial"/>
          <w:sz w:val="22"/>
          <w:szCs w:val="22"/>
        </w:rPr>
        <w:t>%; click &amp; collect +</w:t>
      </w:r>
      <w:r w:rsidR="00390B05" w:rsidRPr="004F6F19">
        <w:rPr>
          <w:rFonts w:ascii="Arial" w:hAnsi="Arial" w:cs="Arial"/>
          <w:sz w:val="22"/>
          <w:szCs w:val="22"/>
        </w:rPr>
        <w:t>38</w:t>
      </w:r>
      <w:r w:rsidR="00A12C1E" w:rsidRPr="004F6F19">
        <w:rPr>
          <w:rFonts w:ascii="Arial" w:hAnsi="Arial" w:cs="Arial"/>
          <w:sz w:val="22"/>
          <w:szCs w:val="22"/>
        </w:rPr>
        <w:t>%)</w:t>
      </w:r>
      <w:r w:rsidR="00A12C1E" w:rsidRPr="00390B05">
        <w:rPr>
          <w:rFonts w:ascii="Arial" w:hAnsi="Arial" w:cs="Arial"/>
          <w:sz w:val="22"/>
          <w:szCs w:val="22"/>
        </w:rPr>
        <w:t>; and the continued roll out of new outlets. 60 net new outlets</w:t>
      </w:r>
      <w:r w:rsidR="00A12C1E" w:rsidRPr="00AC598B">
        <w:rPr>
          <w:rFonts w:ascii="Arial" w:hAnsi="Arial" w:cs="Arial"/>
          <w:sz w:val="22"/>
          <w:szCs w:val="22"/>
        </w:rPr>
        <w:t xml:space="preserve"> were opened, taking the total to </w:t>
      </w:r>
      <w:r w:rsidR="00A12C1E">
        <w:rPr>
          <w:rFonts w:ascii="Arial" w:hAnsi="Arial" w:cs="Arial"/>
          <w:sz w:val="22"/>
          <w:szCs w:val="22"/>
        </w:rPr>
        <w:t>577</w:t>
      </w:r>
      <w:r w:rsidR="00A12C1E" w:rsidRPr="00AC598B">
        <w:rPr>
          <w:rFonts w:ascii="Arial" w:hAnsi="Arial" w:cs="Arial"/>
          <w:sz w:val="22"/>
          <w:szCs w:val="22"/>
        </w:rPr>
        <w:t xml:space="preserve">. </w:t>
      </w:r>
      <w:r w:rsidR="00CF6B8E" w:rsidRPr="00A12C1E">
        <w:rPr>
          <w:rFonts w:ascii="Arial" w:hAnsi="Arial" w:cs="Arial"/>
          <w:sz w:val="22"/>
          <w:szCs w:val="22"/>
        </w:rPr>
        <w:t>Our overall target is to have around 700 outlets in the UK</w:t>
      </w:r>
      <w:r w:rsidR="00AF31F4" w:rsidRPr="00A12C1E">
        <w:rPr>
          <w:rFonts w:ascii="Arial" w:hAnsi="Arial" w:cs="Arial"/>
          <w:sz w:val="22"/>
          <w:szCs w:val="22"/>
        </w:rPr>
        <w:t xml:space="preserve">. </w:t>
      </w:r>
      <w:r w:rsidR="00332A96" w:rsidRPr="00A12C1E">
        <w:rPr>
          <w:rFonts w:ascii="Arial" w:hAnsi="Arial" w:cs="Arial"/>
          <w:sz w:val="22"/>
          <w:szCs w:val="22"/>
        </w:rPr>
        <w:t xml:space="preserve"> </w:t>
      </w:r>
    </w:p>
    <w:bookmarkEnd w:id="17"/>
    <w:bookmarkEnd w:id="15"/>
    <w:p w14:paraId="495728AB" w14:textId="77777777" w:rsidR="002F5458" w:rsidRPr="0042729E" w:rsidRDefault="002F5458">
      <w:pPr>
        <w:jc w:val="left"/>
        <w:rPr>
          <w:rFonts w:ascii="Arial" w:hAnsi="Arial" w:cs="Arial"/>
          <w:sz w:val="24"/>
          <w:szCs w:val="24"/>
          <w:highlight w:val="yellow"/>
        </w:rPr>
      </w:pPr>
      <w:r w:rsidRPr="0042729E">
        <w:rPr>
          <w:rFonts w:ascii="Arial" w:hAnsi="Arial" w:cs="Arial"/>
          <w:sz w:val="24"/>
          <w:szCs w:val="24"/>
          <w:highlight w:val="yellow"/>
        </w:rPr>
        <w:br w:type="page"/>
      </w:r>
    </w:p>
    <w:p w14:paraId="2FC01538" w14:textId="24068160" w:rsidR="002F5458" w:rsidRPr="00A845B7" w:rsidRDefault="002F5458" w:rsidP="002F5458">
      <w:pPr>
        <w:jc w:val="left"/>
        <w:rPr>
          <w:rFonts w:ascii="Arial" w:hAnsi="Arial" w:cs="Arial"/>
        </w:rPr>
      </w:pPr>
      <w:r w:rsidRPr="00A845B7">
        <w:rPr>
          <w:rFonts w:ascii="Arial" w:hAnsi="Arial" w:cs="Arial"/>
          <w:b/>
          <w:bCs/>
        </w:rPr>
        <w:lastRenderedPageBreak/>
        <w:t>FRANCE</w:t>
      </w:r>
      <w:r w:rsidR="00D5103C">
        <w:rPr>
          <w:rFonts w:ascii="Arial" w:hAnsi="Arial" w:cs="Arial"/>
          <w:b/>
          <w:bCs/>
        </w:rPr>
        <w:t>*</w:t>
      </w:r>
    </w:p>
    <w:p w14:paraId="76FACACD" w14:textId="77777777" w:rsidR="002F5458" w:rsidRPr="00A845B7" w:rsidRDefault="002F5458" w:rsidP="002F5458">
      <w:pPr>
        <w:rPr>
          <w:rFonts w:ascii="Arial" w:hAnsi="Arial" w:cs="Arial"/>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1344"/>
        <w:gridCol w:w="1190"/>
        <w:gridCol w:w="1637"/>
        <w:gridCol w:w="1786"/>
        <w:gridCol w:w="1190"/>
      </w:tblGrid>
      <w:tr w:rsidR="002F5458" w:rsidRPr="00A845B7" w14:paraId="0A837FF4" w14:textId="77777777" w:rsidTr="006F78D1">
        <w:tc>
          <w:tcPr>
            <w:tcW w:w="1289" w:type="pct"/>
            <w:tcBorders>
              <w:bottom w:val="single" w:sz="4" w:space="0" w:color="auto"/>
            </w:tcBorders>
          </w:tcPr>
          <w:p w14:paraId="0E4302ED" w14:textId="77777777" w:rsidR="002F5458" w:rsidRPr="00A845B7" w:rsidRDefault="002F5458" w:rsidP="009C6430">
            <w:pPr>
              <w:rPr>
                <w:rFonts w:ascii="Arial" w:hAnsi="Arial" w:cs="Arial"/>
              </w:rPr>
            </w:pPr>
            <w:r w:rsidRPr="00A845B7">
              <w:rPr>
                <w:rFonts w:ascii="Arial" w:hAnsi="Arial" w:cs="Arial"/>
              </w:rPr>
              <w:t>£m</w:t>
            </w:r>
          </w:p>
        </w:tc>
        <w:tc>
          <w:tcPr>
            <w:tcW w:w="698" w:type="pct"/>
            <w:tcBorders>
              <w:bottom w:val="single" w:sz="4" w:space="0" w:color="auto"/>
            </w:tcBorders>
          </w:tcPr>
          <w:p w14:paraId="3BD3F9AB" w14:textId="07BF4217" w:rsidR="002F5458" w:rsidRPr="00A845B7" w:rsidRDefault="002F5458" w:rsidP="009C6430">
            <w:pPr>
              <w:jc w:val="right"/>
              <w:rPr>
                <w:rFonts w:ascii="Arial" w:hAnsi="Arial" w:cs="Arial"/>
              </w:rPr>
            </w:pPr>
            <w:r w:rsidRPr="00A845B7">
              <w:rPr>
                <w:rFonts w:ascii="Arial" w:hAnsi="Arial" w:cs="Arial"/>
                <w:b/>
                <w:bCs/>
              </w:rPr>
              <w:t>201</w:t>
            </w:r>
            <w:r w:rsidR="00D13923">
              <w:rPr>
                <w:rFonts w:ascii="Arial" w:hAnsi="Arial" w:cs="Arial"/>
                <w:b/>
                <w:bCs/>
              </w:rPr>
              <w:t>7</w:t>
            </w:r>
            <w:r w:rsidRPr="00A845B7">
              <w:rPr>
                <w:rFonts w:ascii="Arial" w:hAnsi="Arial" w:cs="Arial"/>
                <w:b/>
                <w:bCs/>
              </w:rPr>
              <w:t>/1</w:t>
            </w:r>
            <w:r w:rsidR="00D13923">
              <w:rPr>
                <w:rFonts w:ascii="Arial" w:hAnsi="Arial" w:cs="Arial"/>
                <w:b/>
                <w:bCs/>
              </w:rPr>
              <w:t>8</w:t>
            </w:r>
          </w:p>
        </w:tc>
        <w:tc>
          <w:tcPr>
            <w:tcW w:w="618" w:type="pct"/>
            <w:tcBorders>
              <w:bottom w:val="single" w:sz="4" w:space="0" w:color="auto"/>
            </w:tcBorders>
          </w:tcPr>
          <w:p w14:paraId="4E1DD81B" w14:textId="5B254ECB" w:rsidR="002F5458" w:rsidRPr="00A845B7" w:rsidRDefault="002F5458" w:rsidP="009C6430">
            <w:pPr>
              <w:jc w:val="right"/>
              <w:rPr>
                <w:rFonts w:ascii="Arial" w:hAnsi="Arial" w:cs="Arial"/>
                <w:b/>
                <w:bCs/>
              </w:rPr>
            </w:pPr>
            <w:r w:rsidRPr="00A845B7">
              <w:rPr>
                <w:rFonts w:ascii="Arial" w:hAnsi="Arial" w:cs="Arial"/>
                <w:b/>
                <w:bCs/>
              </w:rPr>
              <w:t>201</w:t>
            </w:r>
            <w:r w:rsidR="00D13923">
              <w:rPr>
                <w:rFonts w:ascii="Arial" w:hAnsi="Arial" w:cs="Arial"/>
                <w:b/>
                <w:bCs/>
              </w:rPr>
              <w:t>6</w:t>
            </w:r>
            <w:r w:rsidRPr="00A845B7">
              <w:rPr>
                <w:rFonts w:ascii="Arial" w:hAnsi="Arial" w:cs="Arial"/>
                <w:b/>
                <w:bCs/>
              </w:rPr>
              <w:t>/1</w:t>
            </w:r>
            <w:r w:rsidR="00D13923">
              <w:rPr>
                <w:rFonts w:ascii="Arial" w:hAnsi="Arial" w:cs="Arial"/>
                <w:b/>
                <w:bCs/>
              </w:rPr>
              <w:t>7</w:t>
            </w:r>
          </w:p>
        </w:tc>
        <w:tc>
          <w:tcPr>
            <w:tcW w:w="850" w:type="pct"/>
            <w:tcBorders>
              <w:bottom w:val="single" w:sz="4" w:space="0" w:color="auto"/>
            </w:tcBorders>
          </w:tcPr>
          <w:p w14:paraId="69F86C7B" w14:textId="77777777" w:rsidR="002F5458" w:rsidRPr="00A845B7" w:rsidRDefault="002F5458" w:rsidP="009C6430">
            <w:pPr>
              <w:jc w:val="right"/>
              <w:rPr>
                <w:rFonts w:ascii="Arial" w:hAnsi="Arial" w:cs="Arial"/>
                <w:b/>
                <w:bCs/>
              </w:rPr>
            </w:pPr>
            <w:r w:rsidRPr="00A845B7">
              <w:rPr>
                <w:rFonts w:ascii="Arial" w:hAnsi="Arial" w:cs="Arial"/>
                <w:b/>
                <w:bCs/>
              </w:rPr>
              <w:t>% Reported</w:t>
            </w:r>
            <w:r w:rsidRPr="00A845B7" w:rsidDel="00197636">
              <w:rPr>
                <w:rFonts w:ascii="Arial" w:hAnsi="Arial" w:cs="Arial"/>
                <w:b/>
                <w:bCs/>
              </w:rPr>
              <w:t xml:space="preserve"> </w:t>
            </w:r>
            <w:r w:rsidRPr="00A845B7">
              <w:rPr>
                <w:rFonts w:ascii="Arial" w:hAnsi="Arial" w:cs="Arial"/>
                <w:b/>
                <w:bCs/>
              </w:rPr>
              <w:t>Change</w:t>
            </w:r>
          </w:p>
          <w:p w14:paraId="7A66A15E" w14:textId="77777777" w:rsidR="002F5458" w:rsidRPr="00A845B7" w:rsidRDefault="002F5458" w:rsidP="009C6430">
            <w:pPr>
              <w:jc w:val="right"/>
              <w:rPr>
                <w:rFonts w:ascii="Arial" w:hAnsi="Arial" w:cs="Arial"/>
                <w:b/>
                <w:bCs/>
              </w:rPr>
            </w:pPr>
          </w:p>
        </w:tc>
        <w:tc>
          <w:tcPr>
            <w:tcW w:w="927" w:type="pct"/>
            <w:tcBorders>
              <w:bottom w:val="single" w:sz="4" w:space="0" w:color="auto"/>
            </w:tcBorders>
          </w:tcPr>
          <w:p w14:paraId="4E49888F" w14:textId="77777777" w:rsidR="002F5458" w:rsidRPr="00A845B7" w:rsidRDefault="002F5458" w:rsidP="009C6430">
            <w:pPr>
              <w:jc w:val="right"/>
              <w:rPr>
                <w:rFonts w:ascii="Arial" w:hAnsi="Arial" w:cs="Arial"/>
                <w:b/>
                <w:bCs/>
              </w:rPr>
            </w:pPr>
            <w:r w:rsidRPr="00A845B7">
              <w:rPr>
                <w:rFonts w:ascii="Arial" w:hAnsi="Arial" w:cs="Arial"/>
                <w:b/>
                <w:bCs/>
              </w:rPr>
              <w:t>% Constant</w:t>
            </w:r>
          </w:p>
          <w:p w14:paraId="7608C810" w14:textId="77777777" w:rsidR="002F5458" w:rsidRPr="00A845B7" w:rsidRDefault="002F5458" w:rsidP="009C6430">
            <w:pPr>
              <w:jc w:val="right"/>
              <w:rPr>
                <w:rFonts w:ascii="Arial" w:hAnsi="Arial" w:cs="Arial"/>
                <w:b/>
                <w:bCs/>
              </w:rPr>
            </w:pPr>
            <w:r w:rsidRPr="00A845B7">
              <w:rPr>
                <w:rFonts w:ascii="Arial" w:hAnsi="Arial" w:cs="Arial"/>
                <w:b/>
                <w:bCs/>
              </w:rPr>
              <w:t>Currency</w:t>
            </w:r>
          </w:p>
          <w:p w14:paraId="49F00027" w14:textId="77777777" w:rsidR="002F5458" w:rsidRPr="00A845B7" w:rsidRDefault="002F5458" w:rsidP="009C6430">
            <w:pPr>
              <w:jc w:val="right"/>
              <w:rPr>
                <w:rFonts w:ascii="Arial" w:hAnsi="Arial" w:cs="Arial"/>
                <w:b/>
                <w:bCs/>
              </w:rPr>
            </w:pPr>
            <w:r w:rsidRPr="00A845B7">
              <w:rPr>
                <w:rFonts w:ascii="Arial" w:hAnsi="Arial" w:cs="Arial"/>
                <w:b/>
                <w:bCs/>
              </w:rPr>
              <w:t xml:space="preserve">Change  </w:t>
            </w:r>
          </w:p>
        </w:tc>
        <w:tc>
          <w:tcPr>
            <w:tcW w:w="618" w:type="pct"/>
            <w:tcBorders>
              <w:bottom w:val="single" w:sz="4" w:space="0" w:color="auto"/>
            </w:tcBorders>
          </w:tcPr>
          <w:p w14:paraId="1742B934" w14:textId="77777777" w:rsidR="002F5458" w:rsidRPr="00A845B7" w:rsidRDefault="002F5458" w:rsidP="009C6430">
            <w:pPr>
              <w:ind w:hanging="108"/>
              <w:jc w:val="right"/>
              <w:rPr>
                <w:rFonts w:ascii="Arial" w:hAnsi="Arial" w:cs="Arial"/>
                <w:b/>
                <w:bCs/>
              </w:rPr>
            </w:pPr>
            <w:r w:rsidRPr="00A845B7">
              <w:rPr>
                <w:rFonts w:ascii="Arial" w:hAnsi="Arial" w:cs="Arial"/>
                <w:b/>
                <w:bCs/>
              </w:rPr>
              <w:t>% LFL</w:t>
            </w:r>
          </w:p>
          <w:p w14:paraId="75C7BBFB" w14:textId="77777777" w:rsidR="002F5458" w:rsidRPr="00A845B7" w:rsidRDefault="002F5458" w:rsidP="009C6430">
            <w:pPr>
              <w:ind w:hanging="108"/>
              <w:jc w:val="right"/>
              <w:rPr>
                <w:rFonts w:ascii="Arial" w:hAnsi="Arial" w:cs="Arial"/>
                <w:b/>
                <w:bCs/>
              </w:rPr>
            </w:pPr>
            <w:r w:rsidRPr="00A845B7">
              <w:rPr>
                <w:rFonts w:ascii="Arial" w:hAnsi="Arial" w:cs="Arial"/>
                <w:b/>
                <w:bCs/>
              </w:rPr>
              <w:t>Change</w:t>
            </w:r>
          </w:p>
        </w:tc>
      </w:tr>
      <w:tr w:rsidR="002F5458" w:rsidRPr="0042729E" w14:paraId="0704B13B" w14:textId="77777777" w:rsidTr="006F78D1">
        <w:trPr>
          <w:trHeight w:val="147"/>
        </w:trPr>
        <w:tc>
          <w:tcPr>
            <w:tcW w:w="1289" w:type="pct"/>
            <w:tcBorders>
              <w:bottom w:val="single" w:sz="4" w:space="0" w:color="auto"/>
            </w:tcBorders>
          </w:tcPr>
          <w:p w14:paraId="71D0592D" w14:textId="77777777" w:rsidR="002F5458" w:rsidRPr="00A845B7" w:rsidRDefault="002F5458" w:rsidP="009C6430">
            <w:pPr>
              <w:rPr>
                <w:rFonts w:ascii="Arial" w:hAnsi="Arial" w:cs="Arial"/>
                <w:b/>
              </w:rPr>
            </w:pPr>
            <w:r w:rsidRPr="00A845B7">
              <w:rPr>
                <w:rFonts w:ascii="Arial" w:hAnsi="Arial" w:cs="Arial"/>
                <w:b/>
                <w:bCs/>
              </w:rPr>
              <w:t>Sales</w:t>
            </w:r>
          </w:p>
        </w:tc>
        <w:tc>
          <w:tcPr>
            <w:tcW w:w="698" w:type="pct"/>
            <w:tcBorders>
              <w:bottom w:val="single" w:sz="4" w:space="0" w:color="auto"/>
            </w:tcBorders>
          </w:tcPr>
          <w:p w14:paraId="60FA13A0" w14:textId="414CA494" w:rsidR="002F5458" w:rsidRPr="005E7894" w:rsidRDefault="00850AD2" w:rsidP="009C6430">
            <w:pPr>
              <w:jc w:val="right"/>
              <w:rPr>
                <w:rFonts w:ascii="Arial" w:hAnsi="Arial" w:cs="Arial"/>
              </w:rPr>
            </w:pPr>
            <w:r w:rsidRPr="005E7894">
              <w:rPr>
                <w:rFonts w:ascii="Arial" w:hAnsi="Arial" w:cs="Arial"/>
              </w:rPr>
              <w:t>4,</w:t>
            </w:r>
            <w:r w:rsidR="005E7894" w:rsidRPr="0018703F">
              <w:rPr>
                <w:rFonts w:ascii="Arial" w:hAnsi="Arial" w:cs="Arial"/>
              </w:rPr>
              <w:t>387</w:t>
            </w:r>
          </w:p>
        </w:tc>
        <w:tc>
          <w:tcPr>
            <w:tcW w:w="618" w:type="pct"/>
            <w:tcBorders>
              <w:bottom w:val="single" w:sz="4" w:space="0" w:color="auto"/>
            </w:tcBorders>
          </w:tcPr>
          <w:p w14:paraId="74CFB9C3" w14:textId="34528BA5" w:rsidR="002F5458" w:rsidRPr="005E7894" w:rsidRDefault="00D13923" w:rsidP="009C6430">
            <w:pPr>
              <w:jc w:val="right"/>
              <w:rPr>
                <w:rFonts w:ascii="Arial" w:hAnsi="Arial" w:cs="Arial"/>
              </w:rPr>
            </w:pPr>
            <w:r w:rsidRPr="005E7894">
              <w:rPr>
                <w:rFonts w:ascii="Arial" w:hAnsi="Arial" w:cs="Arial"/>
              </w:rPr>
              <w:t>4,254</w:t>
            </w:r>
          </w:p>
        </w:tc>
        <w:tc>
          <w:tcPr>
            <w:tcW w:w="850" w:type="pct"/>
            <w:tcBorders>
              <w:bottom w:val="single" w:sz="4" w:space="0" w:color="auto"/>
            </w:tcBorders>
          </w:tcPr>
          <w:p w14:paraId="60166978" w14:textId="46A10DDD" w:rsidR="002F5458" w:rsidRPr="005E7894" w:rsidRDefault="006D7DB0">
            <w:pPr>
              <w:jc w:val="right"/>
              <w:rPr>
                <w:rFonts w:ascii="Arial" w:hAnsi="Arial" w:cs="Arial"/>
              </w:rPr>
            </w:pPr>
            <w:r w:rsidRPr="005E7894">
              <w:rPr>
                <w:rFonts w:ascii="Arial" w:hAnsi="Arial" w:cs="Arial"/>
              </w:rPr>
              <w:t>+</w:t>
            </w:r>
            <w:r w:rsidR="005E7894" w:rsidRPr="0018703F">
              <w:rPr>
                <w:rFonts w:ascii="Arial" w:hAnsi="Arial" w:cs="Arial"/>
              </w:rPr>
              <w:t>3</w:t>
            </w:r>
            <w:r w:rsidR="005D6074" w:rsidRPr="005E7894">
              <w:rPr>
                <w:rFonts w:ascii="Arial" w:hAnsi="Arial" w:cs="Arial"/>
              </w:rPr>
              <w:t>.</w:t>
            </w:r>
            <w:r w:rsidR="005E7894" w:rsidRPr="0018703F">
              <w:rPr>
                <w:rFonts w:ascii="Arial" w:hAnsi="Arial" w:cs="Arial"/>
              </w:rPr>
              <w:t>1</w:t>
            </w:r>
            <w:r w:rsidR="002E5D72" w:rsidRPr="005E7894">
              <w:rPr>
                <w:rFonts w:ascii="Arial" w:hAnsi="Arial" w:cs="Arial"/>
              </w:rPr>
              <w:t>%</w:t>
            </w:r>
          </w:p>
        </w:tc>
        <w:tc>
          <w:tcPr>
            <w:tcW w:w="927" w:type="pct"/>
            <w:tcBorders>
              <w:bottom w:val="single" w:sz="4" w:space="0" w:color="auto"/>
            </w:tcBorders>
          </w:tcPr>
          <w:p w14:paraId="56D915B5" w14:textId="596D83A5" w:rsidR="002F5458" w:rsidRPr="005E7894" w:rsidRDefault="006D7DB0" w:rsidP="009C6430">
            <w:pPr>
              <w:jc w:val="right"/>
              <w:rPr>
                <w:rFonts w:ascii="Arial" w:hAnsi="Arial" w:cs="Arial"/>
              </w:rPr>
            </w:pPr>
            <w:r w:rsidRPr="005E7894">
              <w:rPr>
                <w:rFonts w:ascii="Arial" w:hAnsi="Arial" w:cs="Arial"/>
              </w:rPr>
              <w:t>(</w:t>
            </w:r>
            <w:proofErr w:type="gramStart"/>
            <w:r w:rsidR="005E7894" w:rsidRPr="0018703F">
              <w:rPr>
                <w:rFonts w:ascii="Arial" w:hAnsi="Arial" w:cs="Arial"/>
              </w:rPr>
              <w:t>3</w:t>
            </w:r>
            <w:r w:rsidRPr="005E7894">
              <w:rPr>
                <w:rFonts w:ascii="Arial" w:hAnsi="Arial" w:cs="Arial"/>
              </w:rPr>
              <w:t>.</w:t>
            </w:r>
            <w:r w:rsidR="005E7894" w:rsidRPr="0018703F">
              <w:rPr>
                <w:rFonts w:ascii="Arial" w:hAnsi="Arial" w:cs="Arial"/>
              </w:rPr>
              <w:t>0</w:t>
            </w:r>
            <w:r w:rsidRPr="005E7894">
              <w:rPr>
                <w:rFonts w:ascii="Arial" w:hAnsi="Arial" w:cs="Arial"/>
              </w:rPr>
              <w:t>)</w:t>
            </w:r>
            <w:r w:rsidR="002E5D72" w:rsidRPr="005E7894">
              <w:rPr>
                <w:rFonts w:ascii="Arial" w:hAnsi="Arial" w:cs="Arial"/>
              </w:rPr>
              <w:t>%</w:t>
            </w:r>
            <w:proofErr w:type="gramEnd"/>
          </w:p>
        </w:tc>
        <w:tc>
          <w:tcPr>
            <w:tcW w:w="618" w:type="pct"/>
            <w:tcBorders>
              <w:bottom w:val="single" w:sz="4" w:space="0" w:color="auto"/>
            </w:tcBorders>
          </w:tcPr>
          <w:p w14:paraId="612296EB" w14:textId="5995497B" w:rsidR="002F5458" w:rsidRPr="005E7894" w:rsidRDefault="0047756B" w:rsidP="009C6430">
            <w:pPr>
              <w:jc w:val="right"/>
              <w:rPr>
                <w:rFonts w:ascii="Arial" w:hAnsi="Arial" w:cs="Arial"/>
              </w:rPr>
            </w:pPr>
            <w:r w:rsidRPr="005E7894">
              <w:rPr>
                <w:rFonts w:ascii="Arial" w:hAnsi="Arial" w:cs="Arial"/>
              </w:rPr>
              <w:t>(</w:t>
            </w:r>
            <w:proofErr w:type="gramStart"/>
            <w:r w:rsidR="005E7894" w:rsidRPr="0018703F">
              <w:rPr>
                <w:rFonts w:ascii="Arial" w:hAnsi="Arial" w:cs="Arial"/>
              </w:rPr>
              <w:t>3</w:t>
            </w:r>
            <w:r w:rsidR="00850AD2" w:rsidRPr="005E7894">
              <w:rPr>
                <w:rFonts w:ascii="Arial" w:hAnsi="Arial" w:cs="Arial"/>
              </w:rPr>
              <w:t>.</w:t>
            </w:r>
            <w:r w:rsidR="005E7894" w:rsidRPr="0018703F">
              <w:rPr>
                <w:rFonts w:ascii="Arial" w:hAnsi="Arial" w:cs="Arial"/>
              </w:rPr>
              <w:t>5</w:t>
            </w:r>
            <w:r w:rsidRPr="005E7894">
              <w:rPr>
                <w:rFonts w:ascii="Arial" w:hAnsi="Arial" w:cs="Arial"/>
              </w:rPr>
              <w:t>)</w:t>
            </w:r>
            <w:r w:rsidR="002E5D72" w:rsidRPr="005E7894">
              <w:rPr>
                <w:rFonts w:ascii="Arial" w:hAnsi="Arial" w:cs="Arial"/>
              </w:rPr>
              <w:t>%</w:t>
            </w:r>
            <w:proofErr w:type="gramEnd"/>
          </w:p>
        </w:tc>
      </w:tr>
      <w:tr w:rsidR="002F5458" w:rsidRPr="0042729E" w14:paraId="457E8A83" w14:textId="77777777" w:rsidTr="006F78D1">
        <w:trPr>
          <w:gridAfter w:val="1"/>
          <w:wAfter w:w="618" w:type="pct"/>
        </w:trPr>
        <w:tc>
          <w:tcPr>
            <w:tcW w:w="1289" w:type="pct"/>
            <w:tcBorders>
              <w:top w:val="nil"/>
              <w:left w:val="nil"/>
              <w:bottom w:val="single" w:sz="4" w:space="0" w:color="auto"/>
              <w:right w:val="nil"/>
            </w:tcBorders>
          </w:tcPr>
          <w:p w14:paraId="5A0FE193" w14:textId="77777777" w:rsidR="002F5458" w:rsidRPr="00A845B7" w:rsidRDefault="002F5458" w:rsidP="009C6430">
            <w:pPr>
              <w:rPr>
                <w:rFonts w:ascii="Arial" w:hAnsi="Arial" w:cs="Arial"/>
                <w:bCs/>
              </w:rPr>
            </w:pPr>
          </w:p>
        </w:tc>
        <w:tc>
          <w:tcPr>
            <w:tcW w:w="698" w:type="pct"/>
            <w:tcBorders>
              <w:top w:val="nil"/>
              <w:left w:val="nil"/>
              <w:bottom w:val="single" w:sz="4" w:space="0" w:color="auto"/>
              <w:right w:val="nil"/>
            </w:tcBorders>
          </w:tcPr>
          <w:p w14:paraId="2E4DA6A2" w14:textId="77777777" w:rsidR="002F5458" w:rsidRPr="0018703F" w:rsidRDefault="002F5458" w:rsidP="009C6430">
            <w:pPr>
              <w:jc w:val="right"/>
              <w:rPr>
                <w:rFonts w:ascii="Arial" w:hAnsi="Arial" w:cs="Arial"/>
                <w:highlight w:val="yellow"/>
              </w:rPr>
            </w:pPr>
          </w:p>
        </w:tc>
        <w:tc>
          <w:tcPr>
            <w:tcW w:w="618" w:type="pct"/>
            <w:tcBorders>
              <w:top w:val="nil"/>
              <w:left w:val="nil"/>
              <w:bottom w:val="single" w:sz="4" w:space="0" w:color="auto"/>
              <w:right w:val="nil"/>
            </w:tcBorders>
          </w:tcPr>
          <w:p w14:paraId="73FE73B5" w14:textId="77777777" w:rsidR="002F5458" w:rsidRPr="00A845B7" w:rsidRDefault="002F5458" w:rsidP="009C6430">
            <w:pPr>
              <w:jc w:val="right"/>
              <w:rPr>
                <w:rFonts w:ascii="Arial" w:hAnsi="Arial" w:cs="Arial"/>
              </w:rPr>
            </w:pPr>
          </w:p>
        </w:tc>
        <w:tc>
          <w:tcPr>
            <w:tcW w:w="850" w:type="pct"/>
            <w:tcBorders>
              <w:top w:val="nil"/>
              <w:left w:val="nil"/>
              <w:bottom w:val="single" w:sz="4" w:space="0" w:color="auto"/>
              <w:right w:val="nil"/>
            </w:tcBorders>
          </w:tcPr>
          <w:p w14:paraId="03A9E550" w14:textId="77777777" w:rsidR="002F5458" w:rsidRPr="0018703F" w:rsidRDefault="002F5458" w:rsidP="009C6430">
            <w:pPr>
              <w:jc w:val="right"/>
              <w:rPr>
                <w:rFonts w:ascii="Arial" w:hAnsi="Arial" w:cs="Arial"/>
                <w:highlight w:val="yellow"/>
              </w:rPr>
            </w:pPr>
          </w:p>
        </w:tc>
        <w:tc>
          <w:tcPr>
            <w:tcW w:w="927" w:type="pct"/>
            <w:tcBorders>
              <w:top w:val="nil"/>
              <w:left w:val="nil"/>
              <w:bottom w:val="single" w:sz="4" w:space="0" w:color="auto"/>
              <w:right w:val="nil"/>
            </w:tcBorders>
          </w:tcPr>
          <w:p w14:paraId="27CED999" w14:textId="77777777" w:rsidR="002F5458" w:rsidRPr="0018703F" w:rsidRDefault="002F5458" w:rsidP="009C6430">
            <w:pPr>
              <w:jc w:val="right"/>
              <w:rPr>
                <w:rFonts w:ascii="Arial" w:hAnsi="Arial" w:cs="Arial"/>
                <w:highlight w:val="yellow"/>
              </w:rPr>
            </w:pPr>
          </w:p>
        </w:tc>
      </w:tr>
      <w:tr w:rsidR="00E0450C" w:rsidRPr="0042729E" w14:paraId="4004A9E1" w14:textId="77777777" w:rsidTr="006F78D1">
        <w:trPr>
          <w:gridAfter w:val="1"/>
          <w:wAfter w:w="618" w:type="pct"/>
        </w:trPr>
        <w:tc>
          <w:tcPr>
            <w:tcW w:w="1289" w:type="pct"/>
            <w:tcBorders>
              <w:top w:val="single" w:sz="4" w:space="0" w:color="auto"/>
              <w:bottom w:val="single" w:sz="4" w:space="0" w:color="auto"/>
            </w:tcBorders>
          </w:tcPr>
          <w:p w14:paraId="2294ABD1" w14:textId="77777777" w:rsidR="00E0450C" w:rsidRPr="00A845B7" w:rsidRDefault="00E0450C" w:rsidP="00E0450C">
            <w:pPr>
              <w:rPr>
                <w:rFonts w:ascii="Arial" w:hAnsi="Arial" w:cs="Arial"/>
                <w:b/>
              </w:rPr>
            </w:pPr>
            <w:r w:rsidRPr="00A845B7">
              <w:rPr>
                <w:rFonts w:ascii="Arial" w:hAnsi="Arial" w:cs="Arial"/>
                <w:b/>
                <w:bCs/>
              </w:rPr>
              <w:t>Retail profit</w:t>
            </w:r>
          </w:p>
        </w:tc>
        <w:tc>
          <w:tcPr>
            <w:tcW w:w="698" w:type="pct"/>
            <w:tcBorders>
              <w:top w:val="single" w:sz="4" w:space="0" w:color="auto"/>
              <w:bottom w:val="single" w:sz="4" w:space="0" w:color="auto"/>
            </w:tcBorders>
          </w:tcPr>
          <w:p w14:paraId="3C903DCE" w14:textId="21E135F8" w:rsidR="00E0450C" w:rsidRPr="00B3045C" w:rsidRDefault="00E0450C" w:rsidP="00E0450C">
            <w:pPr>
              <w:jc w:val="right"/>
              <w:rPr>
                <w:rFonts w:ascii="Arial" w:hAnsi="Arial" w:cs="Arial"/>
              </w:rPr>
            </w:pPr>
            <w:r w:rsidRPr="00B3045C">
              <w:rPr>
                <w:rFonts w:ascii="Arial" w:hAnsi="Arial" w:cs="Arial"/>
              </w:rPr>
              <w:t>3</w:t>
            </w:r>
            <w:r w:rsidR="00B3045C" w:rsidRPr="0018703F">
              <w:rPr>
                <w:rFonts w:ascii="Arial" w:hAnsi="Arial" w:cs="Arial"/>
              </w:rPr>
              <w:t>20</w:t>
            </w:r>
          </w:p>
        </w:tc>
        <w:tc>
          <w:tcPr>
            <w:tcW w:w="618" w:type="pct"/>
            <w:tcBorders>
              <w:top w:val="single" w:sz="4" w:space="0" w:color="auto"/>
              <w:bottom w:val="single" w:sz="4" w:space="0" w:color="auto"/>
            </w:tcBorders>
          </w:tcPr>
          <w:p w14:paraId="049FC941" w14:textId="57E03619" w:rsidR="00E0450C" w:rsidRPr="00B3045C" w:rsidRDefault="00E0450C" w:rsidP="00E0450C">
            <w:pPr>
              <w:jc w:val="right"/>
              <w:rPr>
                <w:rFonts w:ascii="Arial" w:hAnsi="Arial" w:cs="Arial"/>
              </w:rPr>
            </w:pPr>
            <w:r w:rsidRPr="00B3045C">
              <w:rPr>
                <w:rFonts w:ascii="Arial" w:hAnsi="Arial" w:cs="Arial"/>
              </w:rPr>
              <w:t>3</w:t>
            </w:r>
            <w:r w:rsidR="00D13923" w:rsidRPr="00B3045C">
              <w:rPr>
                <w:rFonts w:ascii="Arial" w:hAnsi="Arial" w:cs="Arial"/>
              </w:rPr>
              <w:t>53</w:t>
            </w:r>
          </w:p>
        </w:tc>
        <w:tc>
          <w:tcPr>
            <w:tcW w:w="850" w:type="pct"/>
            <w:tcBorders>
              <w:top w:val="single" w:sz="4" w:space="0" w:color="auto"/>
              <w:bottom w:val="single" w:sz="4" w:space="0" w:color="auto"/>
            </w:tcBorders>
          </w:tcPr>
          <w:p w14:paraId="00F865AF" w14:textId="36AA392D" w:rsidR="00E0450C" w:rsidRPr="00B3045C" w:rsidRDefault="00B3045C" w:rsidP="00E0450C">
            <w:pPr>
              <w:jc w:val="right"/>
              <w:rPr>
                <w:rFonts w:ascii="Arial" w:hAnsi="Arial" w:cs="Arial"/>
              </w:rPr>
            </w:pPr>
            <w:r w:rsidRPr="0018703F">
              <w:rPr>
                <w:rFonts w:ascii="Arial" w:hAnsi="Arial" w:cs="Arial"/>
              </w:rPr>
              <w:t>(</w:t>
            </w:r>
            <w:proofErr w:type="gramStart"/>
            <w:r w:rsidRPr="0018703F">
              <w:rPr>
                <w:rFonts w:ascii="Arial" w:hAnsi="Arial" w:cs="Arial"/>
              </w:rPr>
              <w:t>9</w:t>
            </w:r>
            <w:r w:rsidR="00E0450C" w:rsidRPr="00B3045C">
              <w:rPr>
                <w:rFonts w:ascii="Arial" w:hAnsi="Arial" w:cs="Arial"/>
              </w:rPr>
              <w:t>.</w:t>
            </w:r>
            <w:r w:rsidRPr="0018703F">
              <w:rPr>
                <w:rFonts w:ascii="Arial" w:hAnsi="Arial" w:cs="Arial"/>
              </w:rPr>
              <w:t>5)</w:t>
            </w:r>
            <w:r w:rsidR="00E0450C" w:rsidRPr="00B3045C">
              <w:rPr>
                <w:rFonts w:ascii="Arial" w:hAnsi="Arial" w:cs="Arial"/>
              </w:rPr>
              <w:t>%</w:t>
            </w:r>
            <w:proofErr w:type="gramEnd"/>
          </w:p>
        </w:tc>
        <w:tc>
          <w:tcPr>
            <w:tcW w:w="927" w:type="pct"/>
            <w:tcBorders>
              <w:top w:val="single" w:sz="4" w:space="0" w:color="auto"/>
              <w:bottom w:val="single" w:sz="4" w:space="0" w:color="auto"/>
            </w:tcBorders>
          </w:tcPr>
          <w:p w14:paraId="54619E59" w14:textId="26DA66F8" w:rsidR="00E0450C" w:rsidRPr="00B3045C" w:rsidRDefault="00E0450C" w:rsidP="00E0450C">
            <w:pPr>
              <w:jc w:val="right"/>
              <w:rPr>
                <w:rFonts w:ascii="Arial" w:hAnsi="Arial" w:cs="Arial"/>
              </w:rPr>
            </w:pPr>
            <w:r w:rsidRPr="00B3045C">
              <w:rPr>
                <w:rFonts w:ascii="Arial" w:hAnsi="Arial" w:cs="Arial"/>
              </w:rPr>
              <w:t>(</w:t>
            </w:r>
            <w:proofErr w:type="gramStart"/>
            <w:r w:rsidR="00B3045C" w:rsidRPr="0018703F">
              <w:rPr>
                <w:rFonts w:ascii="Arial" w:hAnsi="Arial" w:cs="Arial"/>
              </w:rPr>
              <w:t>14</w:t>
            </w:r>
            <w:r w:rsidRPr="00B3045C">
              <w:rPr>
                <w:rFonts w:ascii="Arial" w:hAnsi="Arial" w:cs="Arial"/>
              </w:rPr>
              <w:t>.</w:t>
            </w:r>
            <w:r w:rsidR="00B3045C" w:rsidRPr="0018703F">
              <w:rPr>
                <w:rFonts w:ascii="Arial" w:hAnsi="Arial" w:cs="Arial"/>
              </w:rPr>
              <w:t>8)</w:t>
            </w:r>
            <w:r w:rsidRPr="00B3045C">
              <w:rPr>
                <w:rFonts w:ascii="Arial" w:hAnsi="Arial" w:cs="Arial"/>
              </w:rPr>
              <w:t>%</w:t>
            </w:r>
            <w:proofErr w:type="gramEnd"/>
          </w:p>
        </w:tc>
      </w:tr>
    </w:tbl>
    <w:p w14:paraId="0DF5F11C" w14:textId="77777777" w:rsidR="002F5458" w:rsidRDefault="002F5458" w:rsidP="002F5458">
      <w:pPr>
        <w:jc w:val="left"/>
        <w:rPr>
          <w:rFonts w:ascii="Arial" w:hAnsi="Arial" w:cs="Arial"/>
          <w:b/>
          <w:bCs/>
          <w:sz w:val="24"/>
          <w:szCs w:val="24"/>
        </w:rPr>
      </w:pPr>
    </w:p>
    <w:p w14:paraId="48DC32BD" w14:textId="5C331B40" w:rsidR="00B407FA" w:rsidRDefault="002F5458" w:rsidP="00BD5F44">
      <w:pPr>
        <w:jc w:val="left"/>
        <w:rPr>
          <w:rFonts w:ascii="Arial" w:hAnsi="Arial" w:cs="Arial"/>
        </w:rPr>
      </w:pPr>
      <w:bookmarkStart w:id="19" w:name="_Hlk508895102"/>
      <w:r w:rsidRPr="00423845">
        <w:rPr>
          <w:rFonts w:ascii="Arial" w:hAnsi="Arial" w:cs="Arial"/>
          <w:bCs/>
        </w:rPr>
        <w:t xml:space="preserve">Kingfisher </w:t>
      </w:r>
      <w:r w:rsidRPr="00832149">
        <w:rPr>
          <w:rFonts w:ascii="Arial" w:hAnsi="Arial" w:cs="Arial"/>
          <w:bCs/>
        </w:rPr>
        <w:t xml:space="preserve">France </w:t>
      </w:r>
      <w:r w:rsidRPr="00940B1C">
        <w:rPr>
          <w:rFonts w:ascii="Arial" w:hAnsi="Arial" w:cs="Arial"/>
          <w:bCs/>
        </w:rPr>
        <w:t>sales</w:t>
      </w:r>
      <w:r w:rsidRPr="00423845">
        <w:rPr>
          <w:rFonts w:ascii="Arial" w:hAnsi="Arial" w:cs="Arial"/>
          <w:bCs/>
        </w:rPr>
        <w:t xml:space="preserve"> </w:t>
      </w:r>
      <w:r w:rsidR="00A4162D">
        <w:rPr>
          <w:rFonts w:ascii="Arial" w:hAnsi="Arial" w:cs="Arial"/>
          <w:bCs/>
        </w:rPr>
        <w:t>decreased</w:t>
      </w:r>
      <w:r w:rsidR="00A4162D" w:rsidRPr="00423845">
        <w:rPr>
          <w:rFonts w:ascii="Arial" w:hAnsi="Arial" w:cs="Arial"/>
          <w:bCs/>
        </w:rPr>
        <w:t xml:space="preserve"> </w:t>
      </w:r>
      <w:r w:rsidRPr="00423845">
        <w:rPr>
          <w:rFonts w:ascii="Arial" w:hAnsi="Arial" w:cs="Arial"/>
          <w:bCs/>
        </w:rPr>
        <w:t xml:space="preserve">by </w:t>
      </w:r>
      <w:r w:rsidR="00A4162D">
        <w:rPr>
          <w:rFonts w:ascii="Arial" w:hAnsi="Arial" w:cs="Arial"/>
          <w:bCs/>
        </w:rPr>
        <w:t>3.0</w:t>
      </w:r>
      <w:r w:rsidRPr="00423845">
        <w:rPr>
          <w:rFonts w:ascii="Arial" w:hAnsi="Arial" w:cs="Arial"/>
          <w:bCs/>
        </w:rPr>
        <w:t>% (-</w:t>
      </w:r>
      <w:r w:rsidR="005E7894" w:rsidRPr="0018703F">
        <w:rPr>
          <w:rFonts w:ascii="Arial" w:hAnsi="Arial" w:cs="Arial"/>
          <w:bCs/>
        </w:rPr>
        <w:t>3</w:t>
      </w:r>
      <w:r w:rsidR="006A32AE" w:rsidRPr="00423845">
        <w:rPr>
          <w:rFonts w:ascii="Arial" w:hAnsi="Arial" w:cs="Arial"/>
          <w:bCs/>
        </w:rPr>
        <w:t>.</w:t>
      </w:r>
      <w:r w:rsidR="00423845" w:rsidRPr="0018703F">
        <w:rPr>
          <w:rFonts w:ascii="Arial" w:hAnsi="Arial" w:cs="Arial"/>
          <w:bCs/>
        </w:rPr>
        <w:t>5</w:t>
      </w:r>
      <w:r w:rsidRPr="00423845">
        <w:rPr>
          <w:rFonts w:ascii="Arial" w:hAnsi="Arial" w:cs="Arial"/>
          <w:bCs/>
        </w:rPr>
        <w:t>% LFL) to £</w:t>
      </w:r>
      <w:r w:rsidR="006A32AE" w:rsidRPr="00423845">
        <w:rPr>
          <w:rFonts w:ascii="Arial" w:hAnsi="Arial" w:cs="Arial"/>
          <w:bCs/>
        </w:rPr>
        <w:t>4</w:t>
      </w:r>
      <w:r w:rsidR="009C6430" w:rsidRPr="00423845">
        <w:rPr>
          <w:rFonts w:ascii="Arial" w:hAnsi="Arial" w:cs="Arial"/>
          <w:bCs/>
        </w:rPr>
        <w:t>,</w:t>
      </w:r>
      <w:r w:rsidR="00423845" w:rsidRPr="0018703F">
        <w:rPr>
          <w:rFonts w:ascii="Arial" w:hAnsi="Arial" w:cs="Arial"/>
          <w:bCs/>
        </w:rPr>
        <w:t>387</w:t>
      </w:r>
      <w:r w:rsidRPr="00423845">
        <w:rPr>
          <w:rFonts w:ascii="Arial" w:hAnsi="Arial" w:cs="Arial"/>
          <w:bCs/>
        </w:rPr>
        <w:t xml:space="preserve"> million</w:t>
      </w:r>
      <w:r w:rsidR="00B407FA">
        <w:rPr>
          <w:rFonts w:ascii="Arial" w:hAnsi="Arial" w:cs="Arial"/>
          <w:bCs/>
        </w:rPr>
        <w:t xml:space="preserve"> reflecting continuing weaker performance versus the market </w:t>
      </w:r>
      <w:r w:rsidR="00B407FA" w:rsidRPr="00633BE2">
        <w:rPr>
          <w:rFonts w:ascii="Arial" w:hAnsi="Arial" w:cs="Arial"/>
        </w:rPr>
        <w:t xml:space="preserve">and the impact of </w:t>
      </w:r>
      <w:r w:rsidR="00B407FA">
        <w:rPr>
          <w:rFonts w:ascii="Arial" w:hAnsi="Arial" w:cs="Arial"/>
        </w:rPr>
        <w:t xml:space="preserve">transformation </w:t>
      </w:r>
      <w:r w:rsidR="00B407FA" w:rsidRPr="00633BE2">
        <w:rPr>
          <w:rFonts w:ascii="Arial" w:hAnsi="Arial" w:cs="Arial"/>
        </w:rPr>
        <w:t>business disruption</w:t>
      </w:r>
      <w:r w:rsidR="00B407FA" w:rsidRPr="00AC598B">
        <w:rPr>
          <w:rFonts w:ascii="Arial" w:hAnsi="Arial" w:cs="Arial"/>
          <w:bCs/>
        </w:rPr>
        <w:t xml:space="preserve">. </w:t>
      </w:r>
      <w:r w:rsidR="00B407FA" w:rsidRPr="00AC598B">
        <w:rPr>
          <w:rFonts w:ascii="Arial" w:hAnsi="Arial" w:cs="Arial"/>
        </w:rPr>
        <w:t>According to Banque de France data</w:t>
      </w:r>
      <w:r w:rsidR="00B407FA" w:rsidRPr="00AC598B">
        <w:rPr>
          <w:rFonts w:ascii="Arial" w:hAnsi="Arial" w:cs="Arial"/>
          <w:bCs/>
        </w:rPr>
        <w:t>*</w:t>
      </w:r>
      <w:r w:rsidR="00B407FA" w:rsidRPr="00AC598B">
        <w:rPr>
          <w:rFonts w:ascii="Arial" w:hAnsi="Arial" w:cs="Arial"/>
        </w:rPr>
        <w:t xml:space="preserve">, sales for the home improvement market were </w:t>
      </w:r>
      <w:r w:rsidR="00A4162D">
        <w:rPr>
          <w:rFonts w:ascii="Arial" w:hAnsi="Arial" w:cs="Arial"/>
        </w:rPr>
        <w:t>up 0.7</w:t>
      </w:r>
      <w:r w:rsidR="00B407FA" w:rsidRPr="00AC598B">
        <w:rPr>
          <w:rFonts w:ascii="Arial" w:hAnsi="Arial" w:cs="Arial"/>
        </w:rPr>
        <w:t>%</w:t>
      </w:r>
      <w:r w:rsidR="002224AB">
        <w:rPr>
          <w:rFonts w:ascii="Arial" w:hAnsi="Arial" w:cs="Arial"/>
        </w:rPr>
        <w:t xml:space="preserve"> </w:t>
      </w:r>
      <w:bookmarkStart w:id="20" w:name="_Hlk508810131"/>
      <w:r w:rsidR="002224AB" w:rsidRPr="003409A1">
        <w:rPr>
          <w:rFonts w:ascii="Arial" w:hAnsi="Arial" w:cs="Arial"/>
        </w:rPr>
        <w:t xml:space="preserve">however </w:t>
      </w:r>
      <w:r w:rsidR="003409A1">
        <w:rPr>
          <w:rFonts w:ascii="Arial" w:hAnsi="Arial" w:cs="Arial"/>
        </w:rPr>
        <w:t>w</w:t>
      </w:r>
      <w:r w:rsidR="00832149">
        <w:rPr>
          <w:rFonts w:ascii="Arial" w:hAnsi="Arial" w:cs="Arial"/>
        </w:rPr>
        <w:t>ere</w:t>
      </w:r>
      <w:r w:rsidR="003409A1">
        <w:rPr>
          <w:rFonts w:ascii="Arial" w:hAnsi="Arial" w:cs="Arial"/>
        </w:rPr>
        <w:t xml:space="preserve"> </w:t>
      </w:r>
      <w:r w:rsidR="002224AB" w:rsidRPr="003409A1">
        <w:rPr>
          <w:rFonts w:ascii="Arial" w:hAnsi="Arial" w:cs="Arial"/>
        </w:rPr>
        <w:t>volatile</w:t>
      </w:r>
      <w:r w:rsidR="003409A1">
        <w:rPr>
          <w:rFonts w:ascii="Arial" w:hAnsi="Arial" w:cs="Arial"/>
        </w:rPr>
        <w:t xml:space="preserve"> across the year</w:t>
      </w:r>
      <w:bookmarkEnd w:id="20"/>
      <w:r w:rsidR="00B407FA" w:rsidRPr="003409A1">
        <w:rPr>
          <w:rFonts w:ascii="Arial" w:hAnsi="Arial" w:cs="Arial"/>
        </w:rPr>
        <w:t>.</w:t>
      </w:r>
      <w:r w:rsidR="00B407FA" w:rsidRPr="00AC598B">
        <w:rPr>
          <w:rFonts w:ascii="Arial" w:hAnsi="Arial" w:cs="Arial"/>
        </w:rPr>
        <w:t xml:space="preserve"> </w:t>
      </w:r>
    </w:p>
    <w:bookmarkEnd w:id="19"/>
    <w:p w14:paraId="4D56390F" w14:textId="77777777" w:rsidR="00A77608" w:rsidRPr="0018703F" w:rsidRDefault="00A77608" w:rsidP="00BD5F44">
      <w:pPr>
        <w:jc w:val="left"/>
        <w:rPr>
          <w:rFonts w:ascii="Arial" w:hAnsi="Arial" w:cs="Arial"/>
          <w:highlight w:val="yellow"/>
        </w:rPr>
      </w:pPr>
    </w:p>
    <w:p w14:paraId="7FD7CDAF" w14:textId="066A59E2" w:rsidR="0049531E" w:rsidRPr="0018703F" w:rsidRDefault="00BD5F44" w:rsidP="0049531E">
      <w:pPr>
        <w:spacing w:after="200"/>
        <w:contextualSpacing/>
        <w:jc w:val="left"/>
        <w:rPr>
          <w:rFonts w:ascii="Arial" w:hAnsi="Arial" w:cs="Arial"/>
          <w:highlight w:val="yellow"/>
        </w:rPr>
      </w:pPr>
      <w:r w:rsidRPr="00423845">
        <w:rPr>
          <w:rFonts w:ascii="Arial" w:hAnsi="Arial" w:cs="Arial"/>
          <w:b/>
          <w:bCs/>
        </w:rPr>
        <w:t>Castorama</w:t>
      </w:r>
      <w:r w:rsidRPr="00423845">
        <w:rPr>
          <w:rFonts w:ascii="Arial" w:hAnsi="Arial" w:cs="Arial"/>
        </w:rPr>
        <w:t xml:space="preserve"> total </w:t>
      </w:r>
      <w:r w:rsidR="00A77608" w:rsidRPr="00423845">
        <w:rPr>
          <w:rFonts w:ascii="Arial" w:hAnsi="Arial" w:cs="Arial"/>
        </w:rPr>
        <w:t xml:space="preserve">sales </w:t>
      </w:r>
      <w:r w:rsidR="00B407FA">
        <w:rPr>
          <w:rFonts w:ascii="Arial" w:hAnsi="Arial" w:cs="Arial"/>
        </w:rPr>
        <w:t xml:space="preserve">declined </w:t>
      </w:r>
      <w:r w:rsidRPr="00423845">
        <w:rPr>
          <w:rFonts w:ascii="Arial" w:hAnsi="Arial" w:cs="Arial"/>
        </w:rPr>
        <w:t xml:space="preserve">by </w:t>
      </w:r>
      <w:r w:rsidR="00B407FA">
        <w:rPr>
          <w:rFonts w:ascii="Arial" w:hAnsi="Arial" w:cs="Arial"/>
        </w:rPr>
        <w:t>1.9%</w:t>
      </w:r>
      <w:r w:rsidRPr="00423845">
        <w:rPr>
          <w:rFonts w:ascii="Arial" w:hAnsi="Arial" w:cs="Arial"/>
        </w:rPr>
        <w:t xml:space="preserve"> (-</w:t>
      </w:r>
      <w:r w:rsidR="00423845" w:rsidRPr="0018703F">
        <w:rPr>
          <w:rFonts w:ascii="Arial" w:hAnsi="Arial" w:cs="Arial"/>
        </w:rPr>
        <w:t>2</w:t>
      </w:r>
      <w:r w:rsidRPr="00423845">
        <w:rPr>
          <w:rFonts w:ascii="Arial" w:hAnsi="Arial" w:cs="Arial"/>
        </w:rPr>
        <w:t>.</w:t>
      </w:r>
      <w:r w:rsidR="00423845" w:rsidRPr="0018703F">
        <w:rPr>
          <w:rFonts w:ascii="Arial" w:hAnsi="Arial" w:cs="Arial"/>
        </w:rPr>
        <w:t>4</w:t>
      </w:r>
      <w:r w:rsidRPr="00423845">
        <w:rPr>
          <w:rFonts w:ascii="Arial" w:hAnsi="Arial" w:cs="Arial"/>
        </w:rPr>
        <w:t>% LFL) to £2,</w:t>
      </w:r>
      <w:r w:rsidR="00423845" w:rsidRPr="0018703F">
        <w:rPr>
          <w:rFonts w:ascii="Arial" w:hAnsi="Arial" w:cs="Arial"/>
        </w:rPr>
        <w:t>406</w:t>
      </w:r>
      <w:r w:rsidRPr="00423845">
        <w:rPr>
          <w:rFonts w:ascii="Arial" w:hAnsi="Arial" w:cs="Arial"/>
        </w:rPr>
        <w:t xml:space="preserve"> million. </w:t>
      </w:r>
      <w:r w:rsidRPr="00FC41B5">
        <w:rPr>
          <w:rFonts w:ascii="Arial" w:hAnsi="Arial" w:cs="Arial"/>
        </w:rPr>
        <w:t xml:space="preserve">LFL sales of </w:t>
      </w:r>
      <w:r w:rsidR="009C1F35" w:rsidRPr="00FC41B5">
        <w:rPr>
          <w:rFonts w:ascii="Arial" w:hAnsi="Arial" w:cs="Arial"/>
        </w:rPr>
        <w:t xml:space="preserve">seasonal </w:t>
      </w:r>
      <w:r w:rsidRPr="00FC41B5">
        <w:rPr>
          <w:rFonts w:ascii="Arial" w:hAnsi="Arial" w:cs="Arial"/>
        </w:rPr>
        <w:t xml:space="preserve">products were </w:t>
      </w:r>
      <w:r w:rsidRPr="00A92EAB">
        <w:rPr>
          <w:rFonts w:ascii="Arial" w:hAnsi="Arial" w:cs="Arial"/>
        </w:rPr>
        <w:t xml:space="preserve">down </w:t>
      </w:r>
      <w:r w:rsidR="00181411" w:rsidRPr="002146A2">
        <w:rPr>
          <w:rFonts w:ascii="Arial" w:hAnsi="Arial" w:cs="Arial"/>
        </w:rPr>
        <w:t>4.7</w:t>
      </w:r>
      <w:r w:rsidRPr="002146A2">
        <w:rPr>
          <w:rFonts w:ascii="Arial" w:hAnsi="Arial" w:cs="Arial"/>
        </w:rPr>
        <w:t xml:space="preserve">% </w:t>
      </w:r>
      <w:r w:rsidRPr="00A92EAB">
        <w:rPr>
          <w:rFonts w:ascii="Arial" w:hAnsi="Arial" w:cs="Arial"/>
        </w:rPr>
        <w:t xml:space="preserve">and sales </w:t>
      </w:r>
      <w:r w:rsidR="00BE0CF5" w:rsidRPr="00A92EAB">
        <w:rPr>
          <w:rFonts w:ascii="Arial" w:hAnsi="Arial" w:cs="Arial"/>
        </w:rPr>
        <w:t xml:space="preserve">of </w:t>
      </w:r>
      <w:r w:rsidR="001E7802" w:rsidRPr="00A92EAB">
        <w:rPr>
          <w:rFonts w:ascii="Arial" w:hAnsi="Arial" w:cs="Arial"/>
        </w:rPr>
        <w:t>non-seasonal</w:t>
      </w:r>
      <w:r w:rsidR="00BE0CF5" w:rsidRPr="009165EA">
        <w:rPr>
          <w:rFonts w:ascii="Arial" w:hAnsi="Arial" w:cs="Arial"/>
        </w:rPr>
        <w:t xml:space="preserve"> products</w:t>
      </w:r>
      <w:r w:rsidR="001E7802" w:rsidRPr="009165EA">
        <w:rPr>
          <w:rFonts w:ascii="Arial" w:hAnsi="Arial" w:cs="Arial"/>
        </w:rPr>
        <w:t>, including showroom</w:t>
      </w:r>
      <w:r w:rsidR="00832149">
        <w:rPr>
          <w:rFonts w:ascii="Arial" w:hAnsi="Arial" w:cs="Arial"/>
        </w:rPr>
        <w:t>,</w:t>
      </w:r>
      <w:r w:rsidRPr="009165EA">
        <w:rPr>
          <w:rFonts w:ascii="Arial" w:hAnsi="Arial" w:cs="Arial"/>
        </w:rPr>
        <w:t xml:space="preserve"> were down </w:t>
      </w:r>
      <w:r w:rsidR="00181411" w:rsidRPr="002146A2">
        <w:rPr>
          <w:rFonts w:ascii="Arial" w:hAnsi="Arial" w:cs="Arial"/>
        </w:rPr>
        <w:t>2.0</w:t>
      </w:r>
      <w:r w:rsidRPr="002146A2">
        <w:rPr>
          <w:rFonts w:ascii="Arial" w:hAnsi="Arial" w:cs="Arial"/>
        </w:rPr>
        <w:t>%.</w:t>
      </w:r>
      <w:r w:rsidR="00E87867" w:rsidRPr="002146A2">
        <w:rPr>
          <w:rFonts w:ascii="Arial" w:hAnsi="Arial" w:cs="Arial"/>
        </w:rPr>
        <w:t xml:space="preserve"> </w:t>
      </w:r>
      <w:proofErr w:type="spellStart"/>
      <w:r w:rsidRPr="00A92EAB">
        <w:rPr>
          <w:rFonts w:ascii="Arial" w:hAnsi="Arial" w:cs="Arial"/>
          <w:b/>
          <w:bCs/>
        </w:rPr>
        <w:t>Brico</w:t>
      </w:r>
      <w:proofErr w:type="spellEnd"/>
      <w:r w:rsidRPr="00A92EAB">
        <w:rPr>
          <w:rFonts w:ascii="Arial" w:hAnsi="Arial" w:cs="Arial"/>
          <w:b/>
          <w:bCs/>
        </w:rPr>
        <w:t xml:space="preserve"> </w:t>
      </w:r>
      <w:proofErr w:type="spellStart"/>
      <w:r w:rsidRPr="00A92EAB">
        <w:rPr>
          <w:rFonts w:ascii="Arial" w:hAnsi="Arial" w:cs="Arial"/>
          <w:b/>
          <w:bCs/>
        </w:rPr>
        <w:t>Dépôt</w:t>
      </w:r>
      <w:proofErr w:type="spellEnd"/>
      <w:r w:rsidRPr="00A92EAB">
        <w:rPr>
          <w:rFonts w:ascii="Arial" w:hAnsi="Arial" w:cs="Arial"/>
          <w:bCs/>
          <w:sz w:val="24"/>
          <w:szCs w:val="24"/>
        </w:rPr>
        <w:t xml:space="preserve"> </w:t>
      </w:r>
      <w:r w:rsidRPr="00A92EAB">
        <w:rPr>
          <w:rFonts w:ascii="Arial" w:hAnsi="Arial" w:cs="Arial"/>
          <w:bCs/>
        </w:rPr>
        <w:t xml:space="preserve">total sales </w:t>
      </w:r>
      <w:r w:rsidR="00B407FA" w:rsidRPr="009165EA">
        <w:rPr>
          <w:rFonts w:ascii="Arial" w:hAnsi="Arial" w:cs="Arial"/>
          <w:bCs/>
        </w:rPr>
        <w:t xml:space="preserve">declined </w:t>
      </w:r>
      <w:r w:rsidR="00423845" w:rsidRPr="009165EA">
        <w:rPr>
          <w:rFonts w:ascii="Arial" w:hAnsi="Arial" w:cs="Arial"/>
          <w:bCs/>
        </w:rPr>
        <w:t xml:space="preserve">by </w:t>
      </w:r>
      <w:r w:rsidR="00B407FA" w:rsidRPr="009165EA">
        <w:rPr>
          <w:rFonts w:ascii="Arial" w:hAnsi="Arial" w:cs="Arial"/>
          <w:bCs/>
        </w:rPr>
        <w:t>4.2</w:t>
      </w:r>
      <w:r w:rsidR="00423845" w:rsidRPr="00A92EAB">
        <w:rPr>
          <w:rFonts w:ascii="Arial" w:hAnsi="Arial" w:cs="Arial"/>
          <w:bCs/>
        </w:rPr>
        <w:t>%</w:t>
      </w:r>
      <w:r w:rsidRPr="00A92EAB">
        <w:rPr>
          <w:rFonts w:ascii="Arial" w:hAnsi="Arial" w:cs="Arial"/>
          <w:bCs/>
        </w:rPr>
        <w:t xml:space="preserve"> (-</w:t>
      </w:r>
      <w:r w:rsidR="00423845" w:rsidRPr="00A92EAB">
        <w:rPr>
          <w:rFonts w:ascii="Arial" w:hAnsi="Arial" w:cs="Arial"/>
          <w:bCs/>
        </w:rPr>
        <w:t>4</w:t>
      </w:r>
      <w:r w:rsidRPr="00A92EAB">
        <w:rPr>
          <w:rFonts w:ascii="Arial" w:hAnsi="Arial" w:cs="Arial"/>
          <w:bCs/>
        </w:rPr>
        <w:t>.</w:t>
      </w:r>
      <w:r w:rsidR="00423845" w:rsidRPr="00A92EAB">
        <w:rPr>
          <w:rFonts w:ascii="Arial" w:hAnsi="Arial" w:cs="Arial"/>
          <w:bCs/>
        </w:rPr>
        <w:t>8</w:t>
      </w:r>
      <w:r w:rsidRPr="00A92EAB">
        <w:rPr>
          <w:rFonts w:ascii="Arial" w:hAnsi="Arial" w:cs="Arial"/>
          <w:bCs/>
        </w:rPr>
        <w:t xml:space="preserve">% LFL) </w:t>
      </w:r>
      <w:r w:rsidR="00B407FA" w:rsidRPr="00A92EAB">
        <w:rPr>
          <w:rFonts w:ascii="Arial" w:hAnsi="Arial" w:cs="Arial"/>
          <w:bCs/>
        </w:rPr>
        <w:t xml:space="preserve">to </w:t>
      </w:r>
      <w:r w:rsidRPr="00A92EAB">
        <w:rPr>
          <w:rFonts w:ascii="Arial" w:hAnsi="Arial" w:cs="Arial"/>
          <w:bCs/>
        </w:rPr>
        <w:t>£1,9</w:t>
      </w:r>
      <w:r w:rsidR="00423845" w:rsidRPr="00A92EAB">
        <w:rPr>
          <w:rFonts w:ascii="Arial" w:hAnsi="Arial" w:cs="Arial"/>
          <w:bCs/>
        </w:rPr>
        <w:t>81</w:t>
      </w:r>
      <w:r w:rsidRPr="00A92EAB">
        <w:rPr>
          <w:rFonts w:ascii="Arial" w:hAnsi="Arial" w:cs="Arial"/>
          <w:bCs/>
        </w:rPr>
        <w:t xml:space="preserve"> million. </w:t>
      </w:r>
      <w:r w:rsidR="00B407FA" w:rsidRPr="00A92EAB">
        <w:rPr>
          <w:rFonts w:ascii="Arial" w:hAnsi="Arial" w:cs="Arial"/>
          <w:bCs/>
        </w:rPr>
        <w:t xml:space="preserve">Across the two businesses, </w:t>
      </w:r>
      <w:r w:rsidR="00FE265B" w:rsidRPr="00A92EAB">
        <w:rPr>
          <w:rFonts w:ascii="Arial" w:hAnsi="Arial" w:cs="Arial"/>
          <w:bCs/>
        </w:rPr>
        <w:t xml:space="preserve">two </w:t>
      </w:r>
      <w:r w:rsidR="00B407FA" w:rsidRPr="00A92EAB">
        <w:rPr>
          <w:rFonts w:ascii="Arial" w:hAnsi="Arial" w:cs="Arial"/>
          <w:bCs/>
        </w:rPr>
        <w:t>net</w:t>
      </w:r>
      <w:r w:rsidR="00B407FA" w:rsidRPr="00342365">
        <w:rPr>
          <w:rFonts w:ascii="Arial" w:hAnsi="Arial" w:cs="Arial"/>
          <w:bCs/>
        </w:rPr>
        <w:t xml:space="preserve"> new store</w:t>
      </w:r>
      <w:r w:rsidR="00FE265B" w:rsidRPr="00342365">
        <w:rPr>
          <w:rFonts w:ascii="Arial" w:hAnsi="Arial" w:cs="Arial"/>
          <w:bCs/>
        </w:rPr>
        <w:t>s</w:t>
      </w:r>
      <w:r w:rsidR="00B407FA" w:rsidRPr="00342365">
        <w:rPr>
          <w:rFonts w:ascii="Arial" w:hAnsi="Arial" w:cs="Arial"/>
          <w:bCs/>
        </w:rPr>
        <w:t xml:space="preserve"> </w:t>
      </w:r>
      <w:proofErr w:type="gramStart"/>
      <w:r w:rsidR="00B407FA" w:rsidRPr="00342365">
        <w:rPr>
          <w:rFonts w:ascii="Arial" w:hAnsi="Arial" w:cs="Arial"/>
          <w:bCs/>
        </w:rPr>
        <w:t>opened</w:t>
      </w:r>
      <w:proofErr w:type="gramEnd"/>
      <w:r w:rsidR="00B407FA" w:rsidRPr="00342365">
        <w:rPr>
          <w:rFonts w:ascii="Arial" w:hAnsi="Arial" w:cs="Arial"/>
          <w:bCs/>
        </w:rPr>
        <w:t xml:space="preserve"> and one store was revamped, </w:t>
      </w:r>
      <w:r w:rsidR="00B407FA" w:rsidRPr="00A524EB">
        <w:rPr>
          <w:rFonts w:ascii="Arial" w:hAnsi="Arial" w:cs="Arial"/>
          <w:bCs/>
        </w:rPr>
        <w:t xml:space="preserve">adding </w:t>
      </w:r>
      <w:r w:rsidR="00A524EB" w:rsidRPr="00FC41B5">
        <w:rPr>
          <w:rFonts w:ascii="Arial" w:hAnsi="Arial" w:cs="Arial"/>
          <w:bCs/>
        </w:rPr>
        <w:t>1</w:t>
      </w:r>
      <w:r w:rsidR="00B407FA" w:rsidRPr="00FC41B5">
        <w:rPr>
          <w:rFonts w:ascii="Arial" w:hAnsi="Arial" w:cs="Arial"/>
          <w:bCs/>
        </w:rPr>
        <w:t>% new space</w:t>
      </w:r>
      <w:r w:rsidR="00A4162D" w:rsidRPr="00A524EB">
        <w:rPr>
          <w:rFonts w:ascii="Arial" w:hAnsi="Arial" w:cs="Arial"/>
          <w:bCs/>
        </w:rPr>
        <w:t>.</w:t>
      </w:r>
      <w:r w:rsidR="00B407FA" w:rsidRPr="00342365" w:rsidDel="00B407FA">
        <w:rPr>
          <w:rFonts w:ascii="Arial" w:hAnsi="Arial" w:cs="Arial"/>
        </w:rPr>
        <w:t xml:space="preserve"> </w:t>
      </w:r>
    </w:p>
    <w:p w14:paraId="14FABF98" w14:textId="77777777" w:rsidR="000730F3" w:rsidRPr="0018703F" w:rsidRDefault="000730F3" w:rsidP="000730F3">
      <w:pPr>
        <w:spacing w:after="200"/>
        <w:contextualSpacing/>
        <w:jc w:val="left"/>
        <w:rPr>
          <w:rFonts w:ascii="Arial" w:hAnsi="Arial" w:cs="Arial"/>
          <w:b/>
          <w:bCs/>
          <w:sz w:val="24"/>
          <w:szCs w:val="24"/>
          <w:highlight w:val="yellow"/>
        </w:rPr>
      </w:pPr>
    </w:p>
    <w:p w14:paraId="5EC00144" w14:textId="3569EF82" w:rsidR="00B407FA" w:rsidRPr="00C778CB" w:rsidRDefault="00504073" w:rsidP="00B407FA">
      <w:pPr>
        <w:jc w:val="left"/>
        <w:rPr>
          <w:rFonts w:ascii="Arial" w:hAnsi="Arial" w:cs="Arial"/>
          <w:bCs/>
        </w:rPr>
      </w:pPr>
      <w:r w:rsidRPr="00D40749">
        <w:rPr>
          <w:rFonts w:ascii="Arial" w:hAnsi="Arial" w:cs="Arial"/>
          <w:bCs/>
        </w:rPr>
        <w:t xml:space="preserve">By the end of </w:t>
      </w:r>
      <w:r w:rsidR="00241E2E">
        <w:rPr>
          <w:rFonts w:ascii="Arial" w:hAnsi="Arial" w:cs="Arial"/>
          <w:bCs/>
        </w:rPr>
        <w:t>FY 18/19</w:t>
      </w:r>
      <w:r w:rsidRPr="00D40749">
        <w:rPr>
          <w:rFonts w:ascii="Arial" w:hAnsi="Arial" w:cs="Arial"/>
          <w:bCs/>
        </w:rPr>
        <w:t>, our ONE Kingfisher plan will</w:t>
      </w:r>
      <w:r w:rsidR="00832149">
        <w:rPr>
          <w:rFonts w:ascii="Arial" w:hAnsi="Arial" w:cs="Arial"/>
          <w:bCs/>
        </w:rPr>
        <w:t xml:space="preserve"> have</w:t>
      </w:r>
      <w:r w:rsidRPr="00D40749">
        <w:rPr>
          <w:rFonts w:ascii="Arial" w:hAnsi="Arial" w:cs="Arial"/>
          <w:bCs/>
        </w:rPr>
        <w:t xml:space="preserve"> </w:t>
      </w:r>
      <w:r>
        <w:rPr>
          <w:rFonts w:ascii="Arial" w:hAnsi="Arial" w:cs="Arial"/>
          <w:bCs/>
        </w:rPr>
        <w:t>renew</w:t>
      </w:r>
      <w:r w:rsidR="00832149">
        <w:rPr>
          <w:rFonts w:ascii="Arial" w:hAnsi="Arial" w:cs="Arial"/>
          <w:bCs/>
        </w:rPr>
        <w:t>ed</w:t>
      </w:r>
      <w:r w:rsidRPr="00D40749">
        <w:rPr>
          <w:rFonts w:ascii="Arial" w:hAnsi="Arial" w:cs="Arial"/>
          <w:bCs/>
        </w:rPr>
        <w:t xml:space="preserve"> our customer proposition as over half of France’s offer will be unified and unique. </w:t>
      </w:r>
      <w:r w:rsidRPr="00342365">
        <w:rPr>
          <w:rFonts w:ascii="Arial" w:hAnsi="Arial" w:cs="Arial"/>
          <w:bCs/>
        </w:rPr>
        <w:t>During FY 17/18</w:t>
      </w:r>
      <w:r w:rsidR="00B407FA" w:rsidRPr="00342365">
        <w:rPr>
          <w:rFonts w:ascii="Arial" w:hAnsi="Arial" w:cs="Arial"/>
          <w:bCs/>
        </w:rPr>
        <w:t xml:space="preserve">, we have seen good customer feedback to our first unique </w:t>
      </w:r>
      <w:r w:rsidRPr="00342365">
        <w:rPr>
          <w:rFonts w:ascii="Arial" w:hAnsi="Arial" w:cs="Arial"/>
          <w:bCs/>
        </w:rPr>
        <w:t xml:space="preserve">ranges e.g. </w:t>
      </w:r>
      <w:r w:rsidR="004442CB" w:rsidRPr="00342365">
        <w:rPr>
          <w:rFonts w:ascii="Arial" w:hAnsi="Arial" w:cs="Arial"/>
          <w:bCs/>
        </w:rPr>
        <w:t xml:space="preserve">unique </w:t>
      </w:r>
      <w:r w:rsidR="00B407FA" w:rsidRPr="00342365">
        <w:rPr>
          <w:rFonts w:ascii="Arial" w:hAnsi="Arial" w:cs="Arial"/>
          <w:bCs/>
        </w:rPr>
        <w:t xml:space="preserve">bathroom furniture ranges sales up </w:t>
      </w:r>
      <w:r w:rsidRPr="00342365">
        <w:rPr>
          <w:rFonts w:ascii="Arial" w:hAnsi="Arial" w:cs="Arial"/>
          <w:bCs/>
        </w:rPr>
        <w:t>50</w:t>
      </w:r>
      <w:r w:rsidR="00B407FA" w:rsidRPr="00342365">
        <w:rPr>
          <w:rFonts w:ascii="Arial" w:hAnsi="Arial" w:cs="Arial"/>
          <w:bCs/>
        </w:rPr>
        <w:t>%</w:t>
      </w:r>
      <w:r w:rsidRPr="00342365">
        <w:rPr>
          <w:rFonts w:ascii="Arial" w:hAnsi="Arial" w:cs="Arial"/>
          <w:bCs/>
        </w:rPr>
        <w:t xml:space="preserve"> </w:t>
      </w:r>
      <w:r w:rsidR="00C778CB">
        <w:rPr>
          <w:rFonts w:ascii="Arial" w:hAnsi="Arial" w:cs="Arial"/>
          <w:bCs/>
        </w:rPr>
        <w:t>helping to drive 8% growth (</w:t>
      </w:r>
      <w:r w:rsidR="00C778CB" w:rsidRPr="00475FCB">
        <w:rPr>
          <w:rFonts w:ascii="Arial" w:hAnsi="Arial" w:cs="Arial"/>
          <w:bCs/>
        </w:rPr>
        <w:t>excluding clearance</w:t>
      </w:r>
      <w:r w:rsidR="00C778CB">
        <w:rPr>
          <w:rFonts w:ascii="Arial" w:hAnsi="Arial" w:cs="Arial"/>
          <w:bCs/>
        </w:rPr>
        <w:t xml:space="preserve">) of </w:t>
      </w:r>
      <w:r w:rsidR="004442CB" w:rsidRPr="00342365">
        <w:rPr>
          <w:rFonts w:ascii="Arial" w:hAnsi="Arial" w:cs="Arial"/>
          <w:bCs/>
        </w:rPr>
        <w:t xml:space="preserve">unified and unique </w:t>
      </w:r>
      <w:r w:rsidRPr="00342365">
        <w:rPr>
          <w:rFonts w:ascii="Arial" w:hAnsi="Arial" w:cs="Arial"/>
          <w:bCs/>
        </w:rPr>
        <w:t xml:space="preserve">sales </w:t>
      </w:r>
      <w:r w:rsidR="004442CB" w:rsidRPr="00342365">
        <w:rPr>
          <w:rFonts w:ascii="Arial" w:hAnsi="Arial" w:cs="Arial"/>
          <w:bCs/>
        </w:rPr>
        <w:t xml:space="preserve">for the </w:t>
      </w:r>
      <w:r w:rsidRPr="00342365">
        <w:rPr>
          <w:rFonts w:ascii="Arial" w:hAnsi="Arial" w:cs="Arial"/>
          <w:bCs/>
        </w:rPr>
        <w:t xml:space="preserve">total </w:t>
      </w:r>
      <w:r w:rsidR="00DE3A38">
        <w:rPr>
          <w:rFonts w:ascii="Arial" w:hAnsi="Arial" w:cs="Arial"/>
          <w:bCs/>
        </w:rPr>
        <w:t>b</w:t>
      </w:r>
      <w:r w:rsidRPr="00342365">
        <w:rPr>
          <w:rFonts w:ascii="Arial" w:hAnsi="Arial" w:cs="Arial"/>
          <w:bCs/>
        </w:rPr>
        <w:t xml:space="preserve">athroom and </w:t>
      </w:r>
      <w:r w:rsidR="00DE3A38">
        <w:rPr>
          <w:rFonts w:ascii="Arial" w:hAnsi="Arial" w:cs="Arial"/>
          <w:bCs/>
        </w:rPr>
        <w:t>s</w:t>
      </w:r>
      <w:r w:rsidRPr="00342365">
        <w:rPr>
          <w:rFonts w:ascii="Arial" w:hAnsi="Arial" w:cs="Arial"/>
          <w:bCs/>
        </w:rPr>
        <w:t xml:space="preserve">torage category </w:t>
      </w:r>
      <w:r w:rsidR="004442CB" w:rsidRPr="00342365">
        <w:rPr>
          <w:rFonts w:ascii="Arial" w:hAnsi="Arial" w:cs="Arial"/>
          <w:bCs/>
        </w:rPr>
        <w:t>in France</w:t>
      </w:r>
      <w:r w:rsidR="00C778CB">
        <w:rPr>
          <w:rFonts w:ascii="Arial" w:hAnsi="Arial" w:cs="Arial"/>
          <w:bCs/>
        </w:rPr>
        <w:t>.</w:t>
      </w:r>
      <w:r w:rsidR="00B407FA" w:rsidRPr="00342365">
        <w:rPr>
          <w:rFonts w:ascii="Arial" w:hAnsi="Arial" w:cs="Arial"/>
          <w:bCs/>
        </w:rPr>
        <w:t xml:space="preserve"> Some of the CPR benefits are being reinvested in price, supporting our goal of making home improvement more affordable for customers. </w:t>
      </w:r>
      <w:r w:rsidR="002224AB">
        <w:rPr>
          <w:rFonts w:ascii="Arial" w:hAnsi="Arial" w:cs="Arial"/>
          <w:bCs/>
        </w:rPr>
        <w:t>C</w:t>
      </w:r>
      <w:r w:rsidR="00B407FA" w:rsidRPr="00342365">
        <w:rPr>
          <w:rFonts w:ascii="Arial" w:hAnsi="Arial" w:cs="Arial"/>
          <w:bCs/>
        </w:rPr>
        <w:t xml:space="preserve">ustomer </w:t>
      </w:r>
      <w:r w:rsidRPr="00342365">
        <w:rPr>
          <w:rFonts w:ascii="Arial" w:hAnsi="Arial" w:cs="Arial"/>
          <w:bCs/>
        </w:rPr>
        <w:t>price positioning</w:t>
      </w:r>
      <w:r w:rsidR="00B407FA" w:rsidRPr="00342365">
        <w:rPr>
          <w:rFonts w:ascii="Arial" w:hAnsi="Arial" w:cs="Arial"/>
          <w:bCs/>
        </w:rPr>
        <w:t xml:space="preserve"> has improved compared to last year. In addition, we remain on track to complete the roll out of the unified IT platform in Castorama France in 2018. </w:t>
      </w:r>
      <w:r w:rsidR="00C778CB" w:rsidRPr="00C778CB">
        <w:rPr>
          <w:rFonts w:ascii="Arial" w:hAnsi="Arial" w:cs="Arial"/>
          <w:bCs/>
        </w:rPr>
        <w:t xml:space="preserve">In January 2018 Castorama relaunched its website which will be </w:t>
      </w:r>
      <w:r w:rsidR="00B407FA" w:rsidRPr="00342365">
        <w:rPr>
          <w:rFonts w:ascii="Arial" w:hAnsi="Arial" w:cs="Arial"/>
          <w:bCs/>
        </w:rPr>
        <w:t>followed shortly by the new mobile platform.</w:t>
      </w:r>
      <w:r w:rsidR="00B407FA" w:rsidRPr="00C778CB">
        <w:rPr>
          <w:rFonts w:ascii="Arial" w:hAnsi="Arial" w:cs="Arial"/>
          <w:bCs/>
        </w:rPr>
        <w:t xml:space="preserve"> </w:t>
      </w:r>
    </w:p>
    <w:p w14:paraId="532F512A" w14:textId="77777777" w:rsidR="00832EAF" w:rsidRPr="0018703F" w:rsidRDefault="00832EAF" w:rsidP="00832EAF">
      <w:pPr>
        <w:jc w:val="left"/>
        <w:rPr>
          <w:rFonts w:ascii="Arial" w:hAnsi="Arial" w:cs="Arial"/>
          <w:sz w:val="24"/>
          <w:szCs w:val="24"/>
          <w:highlight w:val="yellow"/>
        </w:rPr>
      </w:pPr>
    </w:p>
    <w:p w14:paraId="59499817" w14:textId="46D84253" w:rsidR="001B2D28" w:rsidRPr="0018703F" w:rsidRDefault="001B2D28" w:rsidP="001B2D28">
      <w:pPr>
        <w:jc w:val="left"/>
        <w:rPr>
          <w:rFonts w:ascii="Arial" w:hAnsi="Arial" w:cs="Arial"/>
          <w:bCs/>
          <w:highlight w:val="yellow"/>
        </w:rPr>
      </w:pPr>
      <w:r w:rsidRPr="00B3045C">
        <w:rPr>
          <w:rFonts w:ascii="Arial" w:hAnsi="Arial" w:cs="Arial"/>
          <w:b/>
          <w:bCs/>
        </w:rPr>
        <w:t>Retail profit</w:t>
      </w:r>
      <w:r w:rsidRPr="00B3045C">
        <w:rPr>
          <w:rFonts w:ascii="Arial" w:hAnsi="Arial" w:cs="Arial"/>
          <w:bCs/>
        </w:rPr>
        <w:t xml:space="preserve"> </w:t>
      </w:r>
      <w:r w:rsidR="00B3045C" w:rsidRPr="0018703F">
        <w:rPr>
          <w:rFonts w:ascii="Arial" w:hAnsi="Arial" w:cs="Arial"/>
          <w:bCs/>
        </w:rPr>
        <w:t xml:space="preserve">decreased by </w:t>
      </w:r>
      <w:r w:rsidR="00B407FA">
        <w:rPr>
          <w:rFonts w:ascii="Arial" w:hAnsi="Arial" w:cs="Arial"/>
          <w:bCs/>
        </w:rPr>
        <w:t>14.8</w:t>
      </w:r>
      <w:r w:rsidR="00B3045C" w:rsidRPr="0018703F">
        <w:rPr>
          <w:rFonts w:ascii="Arial" w:hAnsi="Arial" w:cs="Arial"/>
          <w:bCs/>
        </w:rPr>
        <w:t>% to</w:t>
      </w:r>
      <w:r w:rsidRPr="00B3045C">
        <w:rPr>
          <w:rFonts w:ascii="Arial" w:hAnsi="Arial" w:cs="Arial"/>
          <w:bCs/>
        </w:rPr>
        <w:t xml:space="preserve"> £3</w:t>
      </w:r>
      <w:r w:rsidR="00B3045C" w:rsidRPr="0018703F">
        <w:rPr>
          <w:rFonts w:ascii="Arial" w:hAnsi="Arial" w:cs="Arial"/>
          <w:bCs/>
        </w:rPr>
        <w:t>20</w:t>
      </w:r>
      <w:r w:rsidRPr="00B3045C">
        <w:rPr>
          <w:rFonts w:ascii="Arial" w:hAnsi="Arial" w:cs="Arial"/>
          <w:bCs/>
        </w:rPr>
        <w:t xml:space="preserve"> million, </w:t>
      </w:r>
      <w:r w:rsidR="00B407FA" w:rsidRPr="000D55BB">
        <w:rPr>
          <w:rFonts w:ascii="Arial" w:hAnsi="Arial" w:cs="Arial"/>
          <w:bCs/>
        </w:rPr>
        <w:t>reflecting</w:t>
      </w:r>
      <w:r w:rsidR="00B407FA" w:rsidRPr="00AC598B">
        <w:rPr>
          <w:rFonts w:ascii="Arial" w:hAnsi="Arial" w:cs="Arial"/>
          <w:bCs/>
        </w:rPr>
        <w:t xml:space="preserve"> </w:t>
      </w:r>
      <w:r w:rsidR="00B407FA">
        <w:rPr>
          <w:rFonts w:ascii="Arial" w:hAnsi="Arial" w:cs="Arial"/>
          <w:bCs/>
        </w:rPr>
        <w:t xml:space="preserve">the </w:t>
      </w:r>
      <w:r w:rsidR="00B407FA" w:rsidRPr="00AC598B">
        <w:rPr>
          <w:rFonts w:ascii="Arial" w:hAnsi="Arial" w:cs="Arial"/>
          <w:bCs/>
        </w:rPr>
        <w:t xml:space="preserve">weaker sales, </w:t>
      </w:r>
      <w:r w:rsidR="00504073">
        <w:rPr>
          <w:rFonts w:ascii="Arial" w:hAnsi="Arial" w:cs="Arial"/>
          <w:bCs/>
        </w:rPr>
        <w:t>broadly flat</w:t>
      </w:r>
      <w:r w:rsidR="00B407FA" w:rsidRPr="00AC598B">
        <w:rPr>
          <w:rFonts w:ascii="Arial" w:hAnsi="Arial" w:cs="Arial"/>
          <w:bCs/>
        </w:rPr>
        <w:t xml:space="preserve"> gross margins </w:t>
      </w:r>
      <w:r w:rsidR="005D3EAD">
        <w:rPr>
          <w:rFonts w:ascii="Arial" w:hAnsi="Arial" w:cs="Arial"/>
          <w:bCs/>
        </w:rPr>
        <w:t xml:space="preserve">after price investment </w:t>
      </w:r>
      <w:r w:rsidR="00B407FA" w:rsidRPr="00AC598B">
        <w:rPr>
          <w:rFonts w:ascii="Arial" w:hAnsi="Arial" w:cs="Arial"/>
          <w:bCs/>
        </w:rPr>
        <w:t>(-</w:t>
      </w:r>
      <w:r w:rsidR="00B407FA">
        <w:rPr>
          <w:rFonts w:ascii="Arial" w:hAnsi="Arial" w:cs="Arial"/>
          <w:bCs/>
        </w:rPr>
        <w:t>1</w:t>
      </w:r>
      <w:r w:rsidR="00B407FA" w:rsidRPr="00AC598B">
        <w:rPr>
          <w:rFonts w:ascii="Arial" w:hAnsi="Arial" w:cs="Arial"/>
          <w:bCs/>
        </w:rPr>
        <w:t xml:space="preserve">0 basis points) partly offset by continued focus on cost control. </w:t>
      </w:r>
    </w:p>
    <w:p w14:paraId="775C9068" w14:textId="77777777" w:rsidR="002F5458" w:rsidRPr="0042729E" w:rsidRDefault="002F5458" w:rsidP="002F5458">
      <w:pPr>
        <w:jc w:val="left"/>
        <w:rPr>
          <w:rFonts w:ascii="Arial" w:hAnsi="Arial" w:cs="Arial"/>
          <w:color w:val="FF0000"/>
          <w:sz w:val="24"/>
          <w:szCs w:val="24"/>
          <w:highlight w:val="yellow"/>
        </w:rPr>
      </w:pPr>
    </w:p>
    <w:p w14:paraId="351CCEC2" w14:textId="77777777" w:rsidR="007D43ED" w:rsidRDefault="007D43ED" w:rsidP="00F9080F">
      <w:pPr>
        <w:spacing w:after="200"/>
        <w:contextualSpacing/>
        <w:jc w:val="left"/>
        <w:rPr>
          <w:rFonts w:ascii="Arial" w:hAnsi="Arial" w:cs="Arial"/>
          <w:b/>
          <w:bCs/>
          <w:sz w:val="24"/>
          <w:szCs w:val="24"/>
        </w:rPr>
      </w:pPr>
      <w:r>
        <w:rPr>
          <w:rFonts w:ascii="Arial" w:hAnsi="Arial" w:cs="Arial"/>
          <w:b/>
          <w:bCs/>
          <w:sz w:val="24"/>
          <w:szCs w:val="24"/>
        </w:rPr>
        <w:br w:type="page"/>
      </w:r>
    </w:p>
    <w:p w14:paraId="2D34AE63" w14:textId="289E0A0E" w:rsidR="007D43ED" w:rsidRPr="00A845B7" w:rsidRDefault="007D43ED" w:rsidP="007D43ED">
      <w:pPr>
        <w:rPr>
          <w:rFonts w:ascii="Arial" w:hAnsi="Arial" w:cs="Arial"/>
          <w:b/>
          <w:bCs/>
        </w:rPr>
      </w:pPr>
      <w:r w:rsidRPr="00A845B7">
        <w:rPr>
          <w:rFonts w:ascii="Arial" w:hAnsi="Arial" w:cs="Arial"/>
          <w:b/>
          <w:bCs/>
        </w:rPr>
        <w:lastRenderedPageBreak/>
        <w:t>OTHER INTERNATIONAL</w:t>
      </w:r>
      <w:r w:rsidR="00D5103C">
        <w:rPr>
          <w:rFonts w:ascii="Arial" w:hAnsi="Arial" w:cs="Arial"/>
          <w:b/>
          <w:bCs/>
        </w:rPr>
        <w:t>*</w:t>
      </w:r>
    </w:p>
    <w:p w14:paraId="5912D17F" w14:textId="77777777" w:rsidR="007D43ED" w:rsidRPr="00A845B7" w:rsidRDefault="007D43ED" w:rsidP="007D43ED">
      <w:pPr>
        <w:rPr>
          <w:rFonts w:ascii="Arial" w:hAnsi="Arial" w:cs="Arial"/>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1344"/>
        <w:gridCol w:w="1192"/>
        <w:gridCol w:w="1637"/>
        <w:gridCol w:w="1639"/>
        <w:gridCol w:w="1339"/>
      </w:tblGrid>
      <w:tr w:rsidR="006B02CB" w:rsidRPr="00A845B7" w14:paraId="5FEF95D4" w14:textId="77777777" w:rsidTr="006F78D1">
        <w:tc>
          <w:tcPr>
            <w:tcW w:w="1287" w:type="pct"/>
            <w:tcBorders>
              <w:bottom w:val="single" w:sz="4" w:space="0" w:color="auto"/>
            </w:tcBorders>
          </w:tcPr>
          <w:p w14:paraId="41FBE48E" w14:textId="77777777" w:rsidR="007D43ED" w:rsidRPr="00A845B7" w:rsidRDefault="007D43ED" w:rsidP="00C51098">
            <w:pPr>
              <w:rPr>
                <w:rFonts w:ascii="Arial" w:hAnsi="Arial" w:cs="Arial"/>
                <w:b/>
              </w:rPr>
            </w:pPr>
            <w:r w:rsidRPr="00A845B7">
              <w:rPr>
                <w:rFonts w:ascii="Arial" w:hAnsi="Arial" w:cs="Arial"/>
                <w:b/>
              </w:rPr>
              <w:t>£m</w:t>
            </w:r>
          </w:p>
        </w:tc>
        <w:tc>
          <w:tcPr>
            <w:tcW w:w="698" w:type="pct"/>
            <w:tcBorders>
              <w:bottom w:val="single" w:sz="4" w:space="0" w:color="auto"/>
            </w:tcBorders>
          </w:tcPr>
          <w:p w14:paraId="777BF93E" w14:textId="26970376" w:rsidR="007D43ED" w:rsidRPr="00A845B7" w:rsidRDefault="007D43ED">
            <w:pPr>
              <w:jc w:val="right"/>
              <w:rPr>
                <w:rFonts w:ascii="Arial" w:hAnsi="Arial" w:cs="Arial"/>
              </w:rPr>
            </w:pPr>
            <w:r w:rsidRPr="00A845B7">
              <w:rPr>
                <w:rFonts w:ascii="Arial" w:hAnsi="Arial" w:cs="Arial"/>
                <w:b/>
                <w:bCs/>
              </w:rPr>
              <w:t>201</w:t>
            </w:r>
            <w:r w:rsidR="00D13923">
              <w:rPr>
                <w:rFonts w:ascii="Arial" w:hAnsi="Arial" w:cs="Arial"/>
                <w:b/>
                <w:bCs/>
              </w:rPr>
              <w:t>7</w:t>
            </w:r>
            <w:r w:rsidR="00931630" w:rsidRPr="00A845B7">
              <w:rPr>
                <w:rFonts w:ascii="Arial" w:hAnsi="Arial" w:cs="Arial"/>
                <w:b/>
                <w:bCs/>
              </w:rPr>
              <w:t>/1</w:t>
            </w:r>
            <w:r w:rsidR="00D13923">
              <w:rPr>
                <w:rFonts w:ascii="Arial" w:hAnsi="Arial" w:cs="Arial"/>
                <w:b/>
                <w:bCs/>
              </w:rPr>
              <w:t>8</w:t>
            </w:r>
          </w:p>
        </w:tc>
        <w:tc>
          <w:tcPr>
            <w:tcW w:w="619" w:type="pct"/>
            <w:tcBorders>
              <w:bottom w:val="single" w:sz="4" w:space="0" w:color="auto"/>
            </w:tcBorders>
          </w:tcPr>
          <w:p w14:paraId="6A15C1AC" w14:textId="02210C7C" w:rsidR="007D43ED" w:rsidRPr="00A845B7" w:rsidRDefault="007D43ED">
            <w:pPr>
              <w:jc w:val="right"/>
              <w:rPr>
                <w:rFonts w:ascii="Arial" w:hAnsi="Arial" w:cs="Arial"/>
                <w:b/>
                <w:bCs/>
              </w:rPr>
            </w:pPr>
            <w:r w:rsidRPr="00A845B7">
              <w:rPr>
                <w:rFonts w:ascii="Arial" w:hAnsi="Arial" w:cs="Arial"/>
                <w:b/>
                <w:bCs/>
              </w:rPr>
              <w:t>201</w:t>
            </w:r>
            <w:r w:rsidR="00D13923">
              <w:rPr>
                <w:rFonts w:ascii="Arial" w:hAnsi="Arial" w:cs="Arial"/>
                <w:b/>
                <w:bCs/>
              </w:rPr>
              <w:t>6</w:t>
            </w:r>
            <w:r w:rsidR="00931630" w:rsidRPr="00A845B7">
              <w:rPr>
                <w:rFonts w:ascii="Arial" w:hAnsi="Arial" w:cs="Arial"/>
                <w:b/>
                <w:bCs/>
              </w:rPr>
              <w:t>/1</w:t>
            </w:r>
            <w:r w:rsidR="00D13923">
              <w:rPr>
                <w:rFonts w:ascii="Arial" w:hAnsi="Arial" w:cs="Arial"/>
                <w:b/>
                <w:bCs/>
              </w:rPr>
              <w:t>7</w:t>
            </w:r>
          </w:p>
        </w:tc>
        <w:tc>
          <w:tcPr>
            <w:tcW w:w="850" w:type="pct"/>
            <w:tcBorders>
              <w:bottom w:val="single" w:sz="4" w:space="0" w:color="auto"/>
            </w:tcBorders>
          </w:tcPr>
          <w:p w14:paraId="5FB3D0F4" w14:textId="77777777" w:rsidR="007D43ED" w:rsidRPr="00A845B7" w:rsidRDefault="007D43ED" w:rsidP="00C51098">
            <w:pPr>
              <w:jc w:val="right"/>
              <w:rPr>
                <w:rFonts w:ascii="Arial" w:hAnsi="Arial" w:cs="Arial"/>
                <w:b/>
                <w:bCs/>
              </w:rPr>
            </w:pPr>
            <w:r w:rsidRPr="00A845B7">
              <w:rPr>
                <w:rFonts w:ascii="Arial" w:hAnsi="Arial" w:cs="Arial"/>
                <w:b/>
                <w:bCs/>
              </w:rPr>
              <w:t>% Reported</w:t>
            </w:r>
            <w:r w:rsidRPr="00A845B7" w:rsidDel="00197636">
              <w:rPr>
                <w:rFonts w:ascii="Arial" w:hAnsi="Arial" w:cs="Arial"/>
                <w:b/>
                <w:bCs/>
              </w:rPr>
              <w:t xml:space="preserve"> </w:t>
            </w:r>
            <w:r w:rsidRPr="00A845B7">
              <w:rPr>
                <w:rFonts w:ascii="Arial" w:hAnsi="Arial" w:cs="Arial"/>
                <w:b/>
                <w:bCs/>
              </w:rPr>
              <w:t>Change</w:t>
            </w:r>
          </w:p>
          <w:p w14:paraId="106408F2" w14:textId="77777777" w:rsidR="007D43ED" w:rsidRPr="00A845B7" w:rsidRDefault="007D43ED" w:rsidP="00C51098">
            <w:pPr>
              <w:jc w:val="right"/>
              <w:rPr>
                <w:rFonts w:ascii="Arial" w:hAnsi="Arial" w:cs="Arial"/>
                <w:b/>
                <w:bCs/>
              </w:rPr>
            </w:pPr>
          </w:p>
        </w:tc>
        <w:tc>
          <w:tcPr>
            <w:tcW w:w="851" w:type="pct"/>
            <w:tcBorders>
              <w:bottom w:val="single" w:sz="4" w:space="0" w:color="auto"/>
            </w:tcBorders>
          </w:tcPr>
          <w:p w14:paraId="68B7D965" w14:textId="77777777" w:rsidR="007D43ED" w:rsidRPr="00A845B7" w:rsidRDefault="007D43ED" w:rsidP="00C51098">
            <w:pPr>
              <w:jc w:val="right"/>
              <w:rPr>
                <w:rFonts w:ascii="Arial" w:hAnsi="Arial" w:cs="Arial"/>
                <w:b/>
                <w:bCs/>
              </w:rPr>
            </w:pPr>
            <w:r w:rsidRPr="00A845B7">
              <w:rPr>
                <w:rFonts w:ascii="Arial" w:hAnsi="Arial" w:cs="Arial"/>
                <w:b/>
                <w:bCs/>
              </w:rPr>
              <w:t>% Constant</w:t>
            </w:r>
          </w:p>
          <w:p w14:paraId="701BDB58" w14:textId="77777777" w:rsidR="007D43ED" w:rsidRPr="00A845B7" w:rsidRDefault="007D43ED" w:rsidP="00C51098">
            <w:pPr>
              <w:jc w:val="right"/>
              <w:rPr>
                <w:rFonts w:ascii="Arial" w:hAnsi="Arial" w:cs="Arial"/>
                <w:b/>
                <w:bCs/>
              </w:rPr>
            </w:pPr>
            <w:r w:rsidRPr="00A845B7">
              <w:rPr>
                <w:rFonts w:ascii="Arial" w:hAnsi="Arial" w:cs="Arial"/>
                <w:b/>
                <w:bCs/>
              </w:rPr>
              <w:t>Currency</w:t>
            </w:r>
          </w:p>
          <w:p w14:paraId="77BAAF22" w14:textId="77777777" w:rsidR="007D43ED" w:rsidRPr="00A845B7" w:rsidRDefault="007D43ED" w:rsidP="00C51098">
            <w:pPr>
              <w:jc w:val="right"/>
              <w:rPr>
                <w:rFonts w:ascii="Arial" w:hAnsi="Arial" w:cs="Arial"/>
                <w:b/>
                <w:bCs/>
              </w:rPr>
            </w:pPr>
            <w:r w:rsidRPr="00A845B7">
              <w:rPr>
                <w:rFonts w:ascii="Arial" w:hAnsi="Arial" w:cs="Arial"/>
                <w:b/>
                <w:bCs/>
              </w:rPr>
              <w:t xml:space="preserve">Change  </w:t>
            </w:r>
          </w:p>
        </w:tc>
        <w:tc>
          <w:tcPr>
            <w:tcW w:w="695" w:type="pct"/>
            <w:tcBorders>
              <w:bottom w:val="single" w:sz="4" w:space="0" w:color="auto"/>
            </w:tcBorders>
          </w:tcPr>
          <w:p w14:paraId="4FDDA868" w14:textId="77777777" w:rsidR="007D43ED" w:rsidRPr="00A845B7" w:rsidRDefault="007D43ED" w:rsidP="00C51098">
            <w:pPr>
              <w:ind w:hanging="108"/>
              <w:jc w:val="right"/>
              <w:rPr>
                <w:rFonts w:ascii="Arial" w:hAnsi="Arial" w:cs="Arial"/>
                <w:b/>
                <w:bCs/>
              </w:rPr>
            </w:pPr>
            <w:r w:rsidRPr="00A845B7">
              <w:rPr>
                <w:rFonts w:ascii="Arial" w:hAnsi="Arial" w:cs="Arial"/>
                <w:b/>
                <w:bCs/>
              </w:rPr>
              <w:t>% LFL</w:t>
            </w:r>
          </w:p>
          <w:p w14:paraId="05927DC5" w14:textId="77777777" w:rsidR="007D43ED" w:rsidRPr="00A845B7" w:rsidRDefault="007D43ED" w:rsidP="00C51098">
            <w:pPr>
              <w:ind w:hanging="108"/>
              <w:jc w:val="right"/>
              <w:rPr>
                <w:rFonts w:ascii="Arial" w:hAnsi="Arial" w:cs="Arial"/>
                <w:b/>
                <w:bCs/>
              </w:rPr>
            </w:pPr>
            <w:r w:rsidRPr="00A845B7">
              <w:rPr>
                <w:rFonts w:ascii="Arial" w:hAnsi="Arial" w:cs="Arial"/>
                <w:b/>
                <w:bCs/>
              </w:rPr>
              <w:t>Change</w:t>
            </w:r>
          </w:p>
        </w:tc>
      </w:tr>
      <w:tr w:rsidR="006B02CB" w:rsidRPr="0042729E" w14:paraId="2C6B131F" w14:textId="77777777" w:rsidTr="006F78D1">
        <w:trPr>
          <w:trHeight w:val="147"/>
        </w:trPr>
        <w:tc>
          <w:tcPr>
            <w:tcW w:w="1287" w:type="pct"/>
            <w:tcBorders>
              <w:bottom w:val="single" w:sz="4" w:space="0" w:color="auto"/>
            </w:tcBorders>
            <w:shd w:val="clear" w:color="auto" w:fill="auto"/>
          </w:tcPr>
          <w:p w14:paraId="0553C6C1" w14:textId="77777777" w:rsidR="007D43ED" w:rsidRPr="00A845B7" w:rsidRDefault="007D43ED" w:rsidP="00C51098">
            <w:pPr>
              <w:rPr>
                <w:rFonts w:ascii="Arial" w:hAnsi="Arial" w:cs="Arial"/>
                <w:b/>
              </w:rPr>
            </w:pPr>
            <w:r w:rsidRPr="00A845B7">
              <w:rPr>
                <w:rFonts w:ascii="Arial" w:hAnsi="Arial" w:cs="Arial"/>
                <w:b/>
                <w:bCs/>
              </w:rPr>
              <w:t>Sales</w:t>
            </w:r>
          </w:p>
        </w:tc>
        <w:tc>
          <w:tcPr>
            <w:tcW w:w="698" w:type="pct"/>
            <w:tcBorders>
              <w:bottom w:val="single" w:sz="4" w:space="0" w:color="auto"/>
            </w:tcBorders>
            <w:shd w:val="clear" w:color="auto" w:fill="auto"/>
          </w:tcPr>
          <w:p w14:paraId="79FC7A54" w14:textId="1FCE7C6D" w:rsidR="007D43ED" w:rsidRPr="0018703F" w:rsidRDefault="00423845" w:rsidP="00C51098">
            <w:pPr>
              <w:jc w:val="right"/>
              <w:rPr>
                <w:rFonts w:ascii="Arial" w:hAnsi="Arial" w:cs="Arial"/>
              </w:rPr>
            </w:pPr>
            <w:r w:rsidRPr="0018703F">
              <w:rPr>
                <w:rFonts w:ascii="Arial" w:hAnsi="Arial" w:cs="Arial"/>
              </w:rPr>
              <w:t>2,265</w:t>
            </w:r>
          </w:p>
        </w:tc>
        <w:tc>
          <w:tcPr>
            <w:tcW w:w="619" w:type="pct"/>
            <w:tcBorders>
              <w:bottom w:val="single" w:sz="4" w:space="0" w:color="auto"/>
            </w:tcBorders>
            <w:shd w:val="clear" w:color="auto" w:fill="auto"/>
          </w:tcPr>
          <w:p w14:paraId="65EDECC3" w14:textId="4F8820D6" w:rsidR="007D43ED" w:rsidRPr="00423845" w:rsidRDefault="00274B89" w:rsidP="00C51098">
            <w:pPr>
              <w:jc w:val="right"/>
              <w:rPr>
                <w:rFonts w:ascii="Arial" w:hAnsi="Arial" w:cs="Arial"/>
              </w:rPr>
            </w:pPr>
            <w:r w:rsidRPr="00423845">
              <w:rPr>
                <w:rFonts w:ascii="Arial" w:hAnsi="Arial" w:cs="Arial"/>
              </w:rPr>
              <w:t>1,</w:t>
            </w:r>
            <w:r w:rsidR="00D13923" w:rsidRPr="00423845">
              <w:rPr>
                <w:rFonts w:ascii="Arial" w:hAnsi="Arial" w:cs="Arial"/>
              </w:rPr>
              <w:t>9</w:t>
            </w:r>
            <w:r w:rsidRPr="00423845">
              <w:rPr>
                <w:rFonts w:ascii="Arial" w:hAnsi="Arial" w:cs="Arial"/>
              </w:rPr>
              <w:t>92</w:t>
            </w:r>
          </w:p>
        </w:tc>
        <w:tc>
          <w:tcPr>
            <w:tcW w:w="850" w:type="pct"/>
            <w:tcBorders>
              <w:bottom w:val="single" w:sz="4" w:space="0" w:color="auto"/>
            </w:tcBorders>
            <w:shd w:val="clear" w:color="auto" w:fill="auto"/>
          </w:tcPr>
          <w:p w14:paraId="73A0E59B" w14:textId="7898109F" w:rsidR="007D43ED" w:rsidRPr="0018703F" w:rsidRDefault="002E5D72" w:rsidP="00C51098">
            <w:pPr>
              <w:jc w:val="right"/>
              <w:rPr>
                <w:rFonts w:ascii="Arial" w:hAnsi="Arial" w:cs="Arial"/>
              </w:rPr>
            </w:pPr>
            <w:r w:rsidRPr="00423845">
              <w:rPr>
                <w:rFonts w:ascii="Arial" w:hAnsi="Arial" w:cs="Arial"/>
              </w:rPr>
              <w:t>+</w:t>
            </w:r>
            <w:r w:rsidR="00EA7F9F" w:rsidRPr="00423845">
              <w:rPr>
                <w:rFonts w:ascii="Arial" w:hAnsi="Arial" w:cs="Arial"/>
              </w:rPr>
              <w:t>1</w:t>
            </w:r>
            <w:r w:rsidR="00423845" w:rsidRPr="0018703F">
              <w:rPr>
                <w:rFonts w:ascii="Arial" w:hAnsi="Arial" w:cs="Arial"/>
              </w:rPr>
              <w:t>3</w:t>
            </w:r>
            <w:r w:rsidR="00EA7F9F" w:rsidRPr="00423845">
              <w:rPr>
                <w:rFonts w:ascii="Arial" w:hAnsi="Arial" w:cs="Arial"/>
              </w:rPr>
              <w:t>.</w:t>
            </w:r>
            <w:r w:rsidR="00423845" w:rsidRPr="0018703F">
              <w:rPr>
                <w:rFonts w:ascii="Arial" w:hAnsi="Arial" w:cs="Arial"/>
              </w:rPr>
              <w:t>7</w:t>
            </w:r>
            <w:r w:rsidRPr="00423845">
              <w:rPr>
                <w:rFonts w:ascii="Arial" w:hAnsi="Arial" w:cs="Arial"/>
              </w:rPr>
              <w:t>%</w:t>
            </w:r>
          </w:p>
        </w:tc>
        <w:tc>
          <w:tcPr>
            <w:tcW w:w="851" w:type="pct"/>
            <w:tcBorders>
              <w:bottom w:val="single" w:sz="4" w:space="0" w:color="auto"/>
            </w:tcBorders>
            <w:shd w:val="clear" w:color="auto" w:fill="auto"/>
          </w:tcPr>
          <w:p w14:paraId="7E95534E" w14:textId="536C3D37" w:rsidR="007D43ED" w:rsidRPr="0018703F" w:rsidRDefault="002E5D72" w:rsidP="00C51098">
            <w:pPr>
              <w:jc w:val="right"/>
              <w:rPr>
                <w:rFonts w:ascii="Arial" w:hAnsi="Arial" w:cs="Arial"/>
              </w:rPr>
            </w:pPr>
            <w:r w:rsidRPr="00423845">
              <w:rPr>
                <w:rFonts w:ascii="Arial" w:hAnsi="Arial" w:cs="Arial"/>
              </w:rPr>
              <w:t>+</w:t>
            </w:r>
            <w:r w:rsidR="00423845" w:rsidRPr="0018703F">
              <w:rPr>
                <w:rFonts w:ascii="Arial" w:hAnsi="Arial" w:cs="Arial"/>
              </w:rPr>
              <w:t>3</w:t>
            </w:r>
            <w:r w:rsidRPr="00423845">
              <w:rPr>
                <w:rFonts w:ascii="Arial" w:hAnsi="Arial" w:cs="Arial"/>
              </w:rPr>
              <w:t>.</w:t>
            </w:r>
            <w:r w:rsidR="00423845" w:rsidRPr="0018703F">
              <w:rPr>
                <w:rFonts w:ascii="Arial" w:hAnsi="Arial" w:cs="Arial"/>
              </w:rPr>
              <w:t>5</w:t>
            </w:r>
            <w:r w:rsidRPr="00423845">
              <w:rPr>
                <w:rFonts w:ascii="Arial" w:hAnsi="Arial" w:cs="Arial"/>
              </w:rPr>
              <w:t>%</w:t>
            </w:r>
          </w:p>
        </w:tc>
        <w:tc>
          <w:tcPr>
            <w:tcW w:w="695" w:type="pct"/>
            <w:tcBorders>
              <w:bottom w:val="single" w:sz="4" w:space="0" w:color="auto"/>
            </w:tcBorders>
            <w:shd w:val="clear" w:color="auto" w:fill="auto"/>
          </w:tcPr>
          <w:p w14:paraId="41A9DC09" w14:textId="021EA91E" w:rsidR="007D43ED" w:rsidRPr="0018703F" w:rsidRDefault="002E5D72" w:rsidP="00C51098">
            <w:pPr>
              <w:jc w:val="right"/>
              <w:rPr>
                <w:rFonts w:ascii="Arial" w:hAnsi="Arial" w:cs="Arial"/>
              </w:rPr>
            </w:pPr>
            <w:r w:rsidRPr="00423845">
              <w:rPr>
                <w:rFonts w:ascii="Arial" w:hAnsi="Arial" w:cs="Arial"/>
              </w:rPr>
              <w:t>+</w:t>
            </w:r>
            <w:r w:rsidR="00423845" w:rsidRPr="0018703F">
              <w:rPr>
                <w:rFonts w:ascii="Arial" w:hAnsi="Arial" w:cs="Arial"/>
              </w:rPr>
              <w:t>2</w:t>
            </w:r>
            <w:r w:rsidRPr="00423845">
              <w:rPr>
                <w:rFonts w:ascii="Arial" w:hAnsi="Arial" w:cs="Arial"/>
              </w:rPr>
              <w:t>.</w:t>
            </w:r>
            <w:r w:rsidR="00423845" w:rsidRPr="0018703F">
              <w:rPr>
                <w:rFonts w:ascii="Arial" w:hAnsi="Arial" w:cs="Arial"/>
              </w:rPr>
              <w:t>0</w:t>
            </w:r>
            <w:r w:rsidRPr="00423845">
              <w:rPr>
                <w:rFonts w:ascii="Arial" w:hAnsi="Arial" w:cs="Arial"/>
              </w:rPr>
              <w:t>%</w:t>
            </w:r>
          </w:p>
        </w:tc>
      </w:tr>
      <w:tr w:rsidR="006B02CB" w:rsidRPr="0042729E" w14:paraId="1823B945" w14:textId="77777777" w:rsidTr="006F78D1">
        <w:trPr>
          <w:gridAfter w:val="1"/>
          <w:wAfter w:w="695" w:type="pct"/>
        </w:trPr>
        <w:tc>
          <w:tcPr>
            <w:tcW w:w="1287" w:type="pct"/>
            <w:tcBorders>
              <w:top w:val="nil"/>
              <w:left w:val="nil"/>
              <w:bottom w:val="single" w:sz="4" w:space="0" w:color="auto"/>
              <w:right w:val="nil"/>
            </w:tcBorders>
          </w:tcPr>
          <w:p w14:paraId="22C95B8A" w14:textId="77777777" w:rsidR="007D43ED" w:rsidRPr="00A845B7" w:rsidRDefault="007D43ED" w:rsidP="00C51098">
            <w:pPr>
              <w:rPr>
                <w:rFonts w:ascii="Arial" w:hAnsi="Arial" w:cs="Arial"/>
                <w:bCs/>
              </w:rPr>
            </w:pPr>
          </w:p>
        </w:tc>
        <w:tc>
          <w:tcPr>
            <w:tcW w:w="698" w:type="pct"/>
            <w:tcBorders>
              <w:top w:val="nil"/>
              <w:left w:val="nil"/>
              <w:bottom w:val="single" w:sz="4" w:space="0" w:color="auto"/>
              <w:right w:val="nil"/>
            </w:tcBorders>
          </w:tcPr>
          <w:p w14:paraId="21C9775B" w14:textId="77777777" w:rsidR="007D43ED" w:rsidRPr="0018703F" w:rsidRDefault="007D43ED" w:rsidP="00C51098">
            <w:pPr>
              <w:jc w:val="right"/>
              <w:rPr>
                <w:rFonts w:ascii="Arial" w:hAnsi="Arial" w:cs="Arial"/>
                <w:highlight w:val="yellow"/>
              </w:rPr>
            </w:pPr>
          </w:p>
        </w:tc>
        <w:tc>
          <w:tcPr>
            <w:tcW w:w="619" w:type="pct"/>
            <w:tcBorders>
              <w:top w:val="nil"/>
              <w:left w:val="nil"/>
              <w:bottom w:val="single" w:sz="4" w:space="0" w:color="auto"/>
              <w:right w:val="nil"/>
            </w:tcBorders>
          </w:tcPr>
          <w:p w14:paraId="48F496B4" w14:textId="77777777" w:rsidR="007D43ED" w:rsidRPr="00A845B7" w:rsidRDefault="007D43ED" w:rsidP="00C51098">
            <w:pPr>
              <w:jc w:val="right"/>
              <w:rPr>
                <w:rFonts w:ascii="Arial" w:hAnsi="Arial" w:cs="Arial"/>
              </w:rPr>
            </w:pPr>
          </w:p>
        </w:tc>
        <w:tc>
          <w:tcPr>
            <w:tcW w:w="850" w:type="pct"/>
            <w:tcBorders>
              <w:top w:val="nil"/>
              <w:left w:val="nil"/>
              <w:bottom w:val="single" w:sz="4" w:space="0" w:color="auto"/>
              <w:right w:val="nil"/>
            </w:tcBorders>
          </w:tcPr>
          <w:p w14:paraId="6A465D84" w14:textId="77777777" w:rsidR="007D43ED" w:rsidRPr="0018703F" w:rsidRDefault="007D43ED" w:rsidP="00C51098">
            <w:pPr>
              <w:jc w:val="right"/>
              <w:rPr>
                <w:rFonts w:ascii="Arial" w:hAnsi="Arial" w:cs="Arial"/>
                <w:highlight w:val="yellow"/>
              </w:rPr>
            </w:pPr>
          </w:p>
        </w:tc>
        <w:tc>
          <w:tcPr>
            <w:tcW w:w="851" w:type="pct"/>
            <w:tcBorders>
              <w:top w:val="nil"/>
              <w:left w:val="nil"/>
              <w:bottom w:val="single" w:sz="4" w:space="0" w:color="auto"/>
              <w:right w:val="nil"/>
            </w:tcBorders>
          </w:tcPr>
          <w:p w14:paraId="287E80E6" w14:textId="77777777" w:rsidR="007D43ED" w:rsidRPr="0018703F" w:rsidRDefault="007D43ED" w:rsidP="00C51098">
            <w:pPr>
              <w:jc w:val="right"/>
              <w:rPr>
                <w:rFonts w:ascii="Arial" w:hAnsi="Arial" w:cs="Arial"/>
                <w:highlight w:val="yellow"/>
              </w:rPr>
            </w:pPr>
          </w:p>
        </w:tc>
      </w:tr>
      <w:tr w:rsidR="006B02CB" w:rsidRPr="0042729E" w14:paraId="16D6B93F" w14:textId="77777777" w:rsidTr="006F78D1">
        <w:trPr>
          <w:gridAfter w:val="1"/>
          <w:wAfter w:w="695" w:type="pct"/>
        </w:trPr>
        <w:tc>
          <w:tcPr>
            <w:tcW w:w="1287" w:type="pct"/>
            <w:tcBorders>
              <w:top w:val="single" w:sz="4" w:space="0" w:color="auto"/>
              <w:bottom w:val="single" w:sz="4" w:space="0" w:color="auto"/>
            </w:tcBorders>
          </w:tcPr>
          <w:p w14:paraId="2D874B02" w14:textId="77777777" w:rsidR="007D43ED" w:rsidRPr="00A845B7" w:rsidRDefault="007D43ED" w:rsidP="00C51098">
            <w:pPr>
              <w:rPr>
                <w:rFonts w:ascii="Arial" w:hAnsi="Arial" w:cs="Arial"/>
                <w:b/>
              </w:rPr>
            </w:pPr>
            <w:r w:rsidRPr="00A845B7">
              <w:rPr>
                <w:rFonts w:ascii="Arial" w:hAnsi="Arial" w:cs="Arial"/>
                <w:b/>
                <w:bCs/>
              </w:rPr>
              <w:t>Retail profit</w:t>
            </w:r>
          </w:p>
        </w:tc>
        <w:tc>
          <w:tcPr>
            <w:tcW w:w="698" w:type="pct"/>
            <w:tcBorders>
              <w:top w:val="single" w:sz="4" w:space="0" w:color="auto"/>
              <w:bottom w:val="single" w:sz="4" w:space="0" w:color="auto"/>
            </w:tcBorders>
          </w:tcPr>
          <w:p w14:paraId="3A555562" w14:textId="77777777" w:rsidR="007D43ED" w:rsidRPr="0018703F" w:rsidRDefault="007D43ED" w:rsidP="00C51098">
            <w:pPr>
              <w:jc w:val="right"/>
              <w:rPr>
                <w:rFonts w:ascii="Arial" w:hAnsi="Arial" w:cs="Arial"/>
                <w:highlight w:val="yellow"/>
              </w:rPr>
            </w:pPr>
          </w:p>
        </w:tc>
        <w:tc>
          <w:tcPr>
            <w:tcW w:w="619" w:type="pct"/>
            <w:tcBorders>
              <w:top w:val="single" w:sz="4" w:space="0" w:color="auto"/>
              <w:bottom w:val="single" w:sz="4" w:space="0" w:color="auto"/>
            </w:tcBorders>
          </w:tcPr>
          <w:p w14:paraId="76B95947" w14:textId="77777777" w:rsidR="007D43ED" w:rsidRPr="00A845B7" w:rsidRDefault="007D43ED" w:rsidP="00C51098">
            <w:pPr>
              <w:jc w:val="right"/>
              <w:rPr>
                <w:rFonts w:ascii="Arial" w:hAnsi="Arial" w:cs="Arial"/>
              </w:rPr>
            </w:pPr>
          </w:p>
        </w:tc>
        <w:tc>
          <w:tcPr>
            <w:tcW w:w="850" w:type="pct"/>
            <w:tcBorders>
              <w:top w:val="single" w:sz="4" w:space="0" w:color="auto"/>
              <w:bottom w:val="single" w:sz="4" w:space="0" w:color="auto"/>
            </w:tcBorders>
          </w:tcPr>
          <w:p w14:paraId="3FA30057" w14:textId="77777777" w:rsidR="007D43ED" w:rsidRPr="0018703F" w:rsidRDefault="007D43ED" w:rsidP="00C51098">
            <w:pPr>
              <w:jc w:val="right"/>
              <w:rPr>
                <w:rFonts w:ascii="Arial" w:hAnsi="Arial" w:cs="Arial"/>
                <w:highlight w:val="yellow"/>
              </w:rPr>
            </w:pPr>
          </w:p>
        </w:tc>
        <w:tc>
          <w:tcPr>
            <w:tcW w:w="851" w:type="pct"/>
            <w:tcBorders>
              <w:top w:val="single" w:sz="4" w:space="0" w:color="auto"/>
              <w:bottom w:val="single" w:sz="4" w:space="0" w:color="auto"/>
            </w:tcBorders>
          </w:tcPr>
          <w:p w14:paraId="6B50D3B5" w14:textId="77777777" w:rsidR="007D43ED" w:rsidRPr="0018703F" w:rsidRDefault="007D43ED" w:rsidP="00C51098">
            <w:pPr>
              <w:jc w:val="right"/>
              <w:rPr>
                <w:rFonts w:ascii="Arial" w:hAnsi="Arial" w:cs="Arial"/>
                <w:highlight w:val="yellow"/>
              </w:rPr>
            </w:pPr>
          </w:p>
        </w:tc>
      </w:tr>
      <w:tr w:rsidR="00E0450C" w:rsidRPr="0042729E" w14:paraId="05E729E9" w14:textId="77777777" w:rsidTr="006F78D1">
        <w:trPr>
          <w:gridAfter w:val="1"/>
          <w:wAfter w:w="695" w:type="pct"/>
        </w:trPr>
        <w:tc>
          <w:tcPr>
            <w:tcW w:w="1287" w:type="pct"/>
            <w:tcBorders>
              <w:top w:val="single" w:sz="4" w:space="0" w:color="auto"/>
            </w:tcBorders>
          </w:tcPr>
          <w:p w14:paraId="468D6E58" w14:textId="77777777" w:rsidR="00E0450C" w:rsidRPr="00A845B7" w:rsidRDefault="00E0450C" w:rsidP="00E0450C">
            <w:pPr>
              <w:jc w:val="left"/>
              <w:rPr>
                <w:rFonts w:ascii="Arial" w:hAnsi="Arial" w:cs="Arial"/>
                <w:bCs/>
              </w:rPr>
            </w:pPr>
            <w:r w:rsidRPr="00A845B7">
              <w:rPr>
                <w:rFonts w:ascii="Arial" w:hAnsi="Arial" w:cs="Arial"/>
              </w:rPr>
              <w:t>Other International (established)</w:t>
            </w:r>
          </w:p>
        </w:tc>
        <w:tc>
          <w:tcPr>
            <w:tcW w:w="698" w:type="pct"/>
            <w:tcBorders>
              <w:top w:val="single" w:sz="4" w:space="0" w:color="auto"/>
            </w:tcBorders>
          </w:tcPr>
          <w:p w14:paraId="3ACEF23F" w14:textId="5FE92335" w:rsidR="00E0450C" w:rsidRPr="0018703F" w:rsidRDefault="00E0450C" w:rsidP="00E0450C">
            <w:pPr>
              <w:jc w:val="right"/>
              <w:rPr>
                <w:rFonts w:ascii="Arial" w:hAnsi="Arial" w:cs="Arial"/>
                <w:highlight w:val="yellow"/>
              </w:rPr>
            </w:pPr>
            <w:r w:rsidRPr="00B3045C">
              <w:rPr>
                <w:rFonts w:ascii="Arial" w:hAnsi="Arial" w:cs="Arial"/>
              </w:rPr>
              <w:t>1</w:t>
            </w:r>
            <w:r w:rsidR="00B3045C" w:rsidRPr="0018703F">
              <w:rPr>
                <w:rFonts w:ascii="Arial" w:hAnsi="Arial" w:cs="Arial"/>
              </w:rPr>
              <w:t>71</w:t>
            </w:r>
          </w:p>
        </w:tc>
        <w:tc>
          <w:tcPr>
            <w:tcW w:w="619" w:type="pct"/>
            <w:tcBorders>
              <w:top w:val="single" w:sz="4" w:space="0" w:color="auto"/>
            </w:tcBorders>
          </w:tcPr>
          <w:p w14:paraId="30303148" w14:textId="0DF87EF3" w:rsidR="00E0450C" w:rsidRPr="00A845B7" w:rsidRDefault="00E0450C" w:rsidP="00E0450C">
            <w:pPr>
              <w:jc w:val="right"/>
              <w:rPr>
                <w:rFonts w:ascii="Arial" w:hAnsi="Arial" w:cs="Arial"/>
              </w:rPr>
            </w:pPr>
            <w:r w:rsidRPr="00A845B7">
              <w:rPr>
                <w:rFonts w:ascii="Arial" w:hAnsi="Arial" w:cs="Arial"/>
              </w:rPr>
              <w:t>1</w:t>
            </w:r>
            <w:r w:rsidR="00D13923">
              <w:rPr>
                <w:rFonts w:ascii="Arial" w:hAnsi="Arial" w:cs="Arial"/>
              </w:rPr>
              <w:t>52</w:t>
            </w:r>
          </w:p>
        </w:tc>
        <w:tc>
          <w:tcPr>
            <w:tcW w:w="850" w:type="pct"/>
            <w:tcBorders>
              <w:top w:val="single" w:sz="4" w:space="0" w:color="auto"/>
            </w:tcBorders>
            <w:shd w:val="clear" w:color="auto" w:fill="auto"/>
          </w:tcPr>
          <w:p w14:paraId="43DF5B31" w14:textId="36590A50" w:rsidR="00E0450C" w:rsidRPr="009459FA" w:rsidRDefault="00E0450C" w:rsidP="00E0450C">
            <w:pPr>
              <w:jc w:val="right"/>
              <w:rPr>
                <w:rFonts w:ascii="Arial" w:hAnsi="Arial" w:cs="Arial"/>
              </w:rPr>
            </w:pPr>
            <w:r w:rsidRPr="009459FA">
              <w:rPr>
                <w:rFonts w:ascii="Arial" w:hAnsi="Arial" w:cs="Arial"/>
              </w:rPr>
              <w:t>+</w:t>
            </w:r>
            <w:r w:rsidR="00371834" w:rsidRPr="009459FA">
              <w:rPr>
                <w:rFonts w:ascii="Arial" w:hAnsi="Arial" w:cs="Arial"/>
              </w:rPr>
              <w:t>12</w:t>
            </w:r>
            <w:r w:rsidRPr="009459FA">
              <w:rPr>
                <w:rFonts w:ascii="Arial" w:hAnsi="Arial" w:cs="Arial"/>
              </w:rPr>
              <w:t>.</w:t>
            </w:r>
            <w:r w:rsidR="00371834" w:rsidRPr="009459FA">
              <w:rPr>
                <w:rFonts w:ascii="Arial" w:hAnsi="Arial" w:cs="Arial"/>
              </w:rPr>
              <w:t>2</w:t>
            </w:r>
            <w:r w:rsidRPr="009459FA">
              <w:rPr>
                <w:rFonts w:ascii="Arial" w:hAnsi="Arial" w:cs="Arial"/>
              </w:rPr>
              <w:t>%</w:t>
            </w:r>
          </w:p>
        </w:tc>
        <w:tc>
          <w:tcPr>
            <w:tcW w:w="851" w:type="pct"/>
            <w:tcBorders>
              <w:top w:val="single" w:sz="4" w:space="0" w:color="auto"/>
            </w:tcBorders>
          </w:tcPr>
          <w:p w14:paraId="6ABA3DF1" w14:textId="7D2AD6CA" w:rsidR="00E0450C" w:rsidRPr="009459FA" w:rsidRDefault="00E0450C" w:rsidP="00E0450C">
            <w:pPr>
              <w:jc w:val="right"/>
              <w:rPr>
                <w:rFonts w:ascii="Arial" w:hAnsi="Arial" w:cs="Arial"/>
              </w:rPr>
            </w:pPr>
            <w:r w:rsidRPr="009459FA">
              <w:rPr>
                <w:rFonts w:ascii="Arial" w:hAnsi="Arial" w:cs="Arial"/>
              </w:rPr>
              <w:t>+</w:t>
            </w:r>
            <w:r w:rsidR="00371834" w:rsidRPr="009459FA">
              <w:rPr>
                <w:rFonts w:ascii="Arial" w:hAnsi="Arial" w:cs="Arial"/>
              </w:rPr>
              <w:t>3.3</w:t>
            </w:r>
            <w:r w:rsidRPr="009459FA">
              <w:rPr>
                <w:rFonts w:ascii="Arial" w:hAnsi="Arial" w:cs="Arial"/>
              </w:rPr>
              <w:t>%</w:t>
            </w:r>
          </w:p>
        </w:tc>
      </w:tr>
      <w:tr w:rsidR="00E0450C" w:rsidRPr="0042729E" w14:paraId="0B3C2F85" w14:textId="77777777" w:rsidTr="006F78D1">
        <w:trPr>
          <w:gridAfter w:val="1"/>
          <w:wAfter w:w="695" w:type="pct"/>
        </w:trPr>
        <w:tc>
          <w:tcPr>
            <w:tcW w:w="1287" w:type="pct"/>
            <w:tcBorders>
              <w:top w:val="single" w:sz="4" w:space="0" w:color="auto"/>
            </w:tcBorders>
          </w:tcPr>
          <w:p w14:paraId="103F7D94" w14:textId="77777777" w:rsidR="00E0450C" w:rsidRPr="00A845B7" w:rsidRDefault="00E0450C" w:rsidP="00E0450C">
            <w:pPr>
              <w:jc w:val="left"/>
              <w:rPr>
                <w:rFonts w:ascii="Arial" w:hAnsi="Arial" w:cs="Arial"/>
              </w:rPr>
            </w:pPr>
            <w:r w:rsidRPr="00A845B7">
              <w:rPr>
                <w:rFonts w:ascii="Arial" w:hAnsi="Arial" w:cs="Arial"/>
              </w:rPr>
              <w:t>New Country Development*</w:t>
            </w:r>
          </w:p>
        </w:tc>
        <w:tc>
          <w:tcPr>
            <w:tcW w:w="698" w:type="pct"/>
            <w:tcBorders>
              <w:top w:val="single" w:sz="4" w:space="0" w:color="auto"/>
            </w:tcBorders>
          </w:tcPr>
          <w:p w14:paraId="6EC15780" w14:textId="515E073B" w:rsidR="00E0450C" w:rsidRPr="0018703F" w:rsidRDefault="00E0450C" w:rsidP="00E0450C">
            <w:pPr>
              <w:jc w:val="right"/>
              <w:rPr>
                <w:rFonts w:ascii="Arial" w:hAnsi="Arial" w:cs="Arial"/>
                <w:highlight w:val="yellow"/>
              </w:rPr>
            </w:pPr>
            <w:r w:rsidRPr="00B3045C">
              <w:rPr>
                <w:rFonts w:ascii="Arial" w:hAnsi="Arial" w:cs="Arial"/>
              </w:rPr>
              <w:t>(</w:t>
            </w:r>
            <w:r w:rsidR="00306F64" w:rsidRPr="00B3045C">
              <w:rPr>
                <w:rFonts w:ascii="Arial" w:hAnsi="Arial" w:cs="Arial"/>
              </w:rPr>
              <w:t>1</w:t>
            </w:r>
            <w:r w:rsidR="00002FBD">
              <w:rPr>
                <w:rFonts w:ascii="Arial" w:hAnsi="Arial" w:cs="Arial"/>
              </w:rPr>
              <w:t>7</w:t>
            </w:r>
            <w:r w:rsidRPr="00B3045C">
              <w:rPr>
                <w:rFonts w:ascii="Arial" w:hAnsi="Arial" w:cs="Arial"/>
              </w:rPr>
              <w:t>)</w:t>
            </w:r>
          </w:p>
        </w:tc>
        <w:tc>
          <w:tcPr>
            <w:tcW w:w="619" w:type="pct"/>
            <w:tcBorders>
              <w:top w:val="single" w:sz="4" w:space="0" w:color="auto"/>
            </w:tcBorders>
          </w:tcPr>
          <w:p w14:paraId="0A46C74F" w14:textId="6F7F0B26" w:rsidR="00E0450C" w:rsidRPr="00A845B7" w:rsidRDefault="00E0450C" w:rsidP="00E0450C">
            <w:pPr>
              <w:jc w:val="right"/>
              <w:rPr>
                <w:rFonts w:ascii="Arial" w:hAnsi="Arial" w:cs="Arial"/>
              </w:rPr>
            </w:pPr>
            <w:r w:rsidRPr="00A845B7">
              <w:rPr>
                <w:rFonts w:ascii="Arial" w:hAnsi="Arial" w:cs="Arial"/>
              </w:rPr>
              <w:t>(1</w:t>
            </w:r>
            <w:r w:rsidR="00D13923">
              <w:rPr>
                <w:rFonts w:ascii="Arial" w:hAnsi="Arial" w:cs="Arial"/>
              </w:rPr>
              <w:t>6</w:t>
            </w:r>
            <w:r w:rsidRPr="00A845B7">
              <w:rPr>
                <w:rFonts w:ascii="Arial" w:hAnsi="Arial" w:cs="Arial"/>
              </w:rPr>
              <w:t>)</w:t>
            </w:r>
          </w:p>
        </w:tc>
        <w:tc>
          <w:tcPr>
            <w:tcW w:w="850" w:type="pct"/>
            <w:tcBorders>
              <w:top w:val="single" w:sz="4" w:space="0" w:color="auto"/>
            </w:tcBorders>
          </w:tcPr>
          <w:p w14:paraId="5858D446" w14:textId="77777777" w:rsidR="00E0450C" w:rsidRPr="0018703F" w:rsidRDefault="00E0450C" w:rsidP="00E0450C">
            <w:pPr>
              <w:jc w:val="right"/>
              <w:rPr>
                <w:rFonts w:ascii="Arial" w:hAnsi="Arial" w:cs="Arial"/>
              </w:rPr>
            </w:pPr>
            <w:r w:rsidRPr="00B3045C">
              <w:rPr>
                <w:rFonts w:ascii="Arial" w:hAnsi="Arial" w:cs="Arial"/>
              </w:rPr>
              <w:t>n/a</w:t>
            </w:r>
          </w:p>
        </w:tc>
        <w:tc>
          <w:tcPr>
            <w:tcW w:w="851" w:type="pct"/>
            <w:tcBorders>
              <w:top w:val="single" w:sz="4" w:space="0" w:color="auto"/>
            </w:tcBorders>
          </w:tcPr>
          <w:p w14:paraId="62D47292" w14:textId="77777777" w:rsidR="00E0450C" w:rsidRPr="0018703F" w:rsidRDefault="00E0450C" w:rsidP="00E0450C">
            <w:pPr>
              <w:jc w:val="right"/>
              <w:rPr>
                <w:rFonts w:ascii="Arial" w:hAnsi="Arial" w:cs="Arial"/>
              </w:rPr>
            </w:pPr>
            <w:r w:rsidRPr="00B3045C">
              <w:rPr>
                <w:rFonts w:ascii="Arial" w:hAnsi="Arial" w:cs="Arial"/>
              </w:rPr>
              <w:t>n/a</w:t>
            </w:r>
          </w:p>
        </w:tc>
      </w:tr>
      <w:tr w:rsidR="00E0450C" w:rsidRPr="0042729E" w14:paraId="5D110826" w14:textId="77777777" w:rsidTr="006F78D1">
        <w:trPr>
          <w:gridAfter w:val="1"/>
          <w:wAfter w:w="695" w:type="pct"/>
        </w:trPr>
        <w:tc>
          <w:tcPr>
            <w:tcW w:w="1287" w:type="pct"/>
            <w:tcBorders>
              <w:top w:val="single" w:sz="4" w:space="0" w:color="auto"/>
            </w:tcBorders>
          </w:tcPr>
          <w:p w14:paraId="1EF7CB0C" w14:textId="77777777" w:rsidR="00E0450C" w:rsidRPr="00A845B7" w:rsidRDefault="00E0450C" w:rsidP="00E0450C">
            <w:pPr>
              <w:rPr>
                <w:rFonts w:ascii="Arial" w:hAnsi="Arial" w:cs="Arial"/>
              </w:rPr>
            </w:pPr>
            <w:r w:rsidRPr="00A845B7">
              <w:rPr>
                <w:rFonts w:ascii="Arial" w:hAnsi="Arial" w:cs="Arial"/>
              </w:rPr>
              <w:t>Total</w:t>
            </w:r>
          </w:p>
        </w:tc>
        <w:tc>
          <w:tcPr>
            <w:tcW w:w="698" w:type="pct"/>
            <w:tcBorders>
              <w:top w:val="single" w:sz="4" w:space="0" w:color="auto"/>
            </w:tcBorders>
          </w:tcPr>
          <w:p w14:paraId="23355B03" w14:textId="1F48456B" w:rsidR="00E0450C" w:rsidRPr="00B3045C" w:rsidRDefault="00E0450C" w:rsidP="00E0450C">
            <w:pPr>
              <w:jc w:val="right"/>
              <w:rPr>
                <w:rFonts w:ascii="Arial" w:hAnsi="Arial" w:cs="Arial"/>
              </w:rPr>
            </w:pPr>
            <w:r w:rsidRPr="00B3045C">
              <w:rPr>
                <w:rFonts w:ascii="Arial" w:hAnsi="Arial" w:cs="Arial"/>
              </w:rPr>
              <w:t>1</w:t>
            </w:r>
            <w:r w:rsidR="00B3045C" w:rsidRPr="0018703F">
              <w:rPr>
                <w:rFonts w:ascii="Arial" w:hAnsi="Arial" w:cs="Arial"/>
              </w:rPr>
              <w:t>5</w:t>
            </w:r>
            <w:r w:rsidR="00306F64">
              <w:rPr>
                <w:rFonts w:ascii="Arial" w:hAnsi="Arial" w:cs="Arial"/>
              </w:rPr>
              <w:t>4</w:t>
            </w:r>
          </w:p>
        </w:tc>
        <w:tc>
          <w:tcPr>
            <w:tcW w:w="619" w:type="pct"/>
            <w:tcBorders>
              <w:top w:val="single" w:sz="4" w:space="0" w:color="auto"/>
            </w:tcBorders>
          </w:tcPr>
          <w:p w14:paraId="50F138C9" w14:textId="1AF5D831" w:rsidR="00E0450C" w:rsidRPr="00B3045C" w:rsidRDefault="00E0450C" w:rsidP="00E0450C">
            <w:pPr>
              <w:jc w:val="right"/>
              <w:rPr>
                <w:rFonts w:ascii="Arial" w:hAnsi="Arial" w:cs="Arial"/>
              </w:rPr>
            </w:pPr>
            <w:r w:rsidRPr="00B3045C">
              <w:rPr>
                <w:rFonts w:ascii="Arial" w:hAnsi="Arial" w:cs="Arial"/>
              </w:rPr>
              <w:t>1</w:t>
            </w:r>
            <w:r w:rsidR="00D13923" w:rsidRPr="00B3045C">
              <w:rPr>
                <w:rFonts w:ascii="Arial" w:hAnsi="Arial" w:cs="Arial"/>
              </w:rPr>
              <w:t>36</w:t>
            </w:r>
          </w:p>
        </w:tc>
        <w:tc>
          <w:tcPr>
            <w:tcW w:w="850" w:type="pct"/>
            <w:tcBorders>
              <w:top w:val="single" w:sz="4" w:space="0" w:color="auto"/>
            </w:tcBorders>
          </w:tcPr>
          <w:p w14:paraId="511C67C9" w14:textId="1DD40480" w:rsidR="00E0450C" w:rsidRPr="0018703F" w:rsidRDefault="00E0450C" w:rsidP="00E0450C">
            <w:pPr>
              <w:jc w:val="right"/>
              <w:rPr>
                <w:rFonts w:ascii="Arial" w:hAnsi="Arial" w:cs="Arial"/>
              </w:rPr>
            </w:pPr>
            <w:r w:rsidRPr="00B3045C">
              <w:rPr>
                <w:rFonts w:ascii="Arial" w:hAnsi="Arial" w:cs="Arial"/>
              </w:rPr>
              <w:t>+</w:t>
            </w:r>
            <w:r w:rsidR="00B3045C" w:rsidRPr="0018703F">
              <w:rPr>
                <w:rFonts w:ascii="Arial" w:hAnsi="Arial" w:cs="Arial"/>
              </w:rPr>
              <w:t>1</w:t>
            </w:r>
            <w:r w:rsidR="00306F64">
              <w:rPr>
                <w:rFonts w:ascii="Arial" w:hAnsi="Arial" w:cs="Arial"/>
              </w:rPr>
              <w:t>3.1</w:t>
            </w:r>
            <w:r w:rsidRPr="00B3045C">
              <w:rPr>
                <w:rFonts w:ascii="Arial" w:hAnsi="Arial" w:cs="Arial"/>
              </w:rPr>
              <w:t>%</w:t>
            </w:r>
            <w:r w:rsidRPr="00B3045C" w:rsidDel="00931630">
              <w:rPr>
                <w:rFonts w:ascii="Arial" w:hAnsi="Arial" w:cs="Arial"/>
              </w:rPr>
              <w:t xml:space="preserve"> </w:t>
            </w:r>
          </w:p>
        </w:tc>
        <w:tc>
          <w:tcPr>
            <w:tcW w:w="851" w:type="pct"/>
            <w:tcBorders>
              <w:top w:val="single" w:sz="4" w:space="0" w:color="auto"/>
            </w:tcBorders>
          </w:tcPr>
          <w:p w14:paraId="49C67205" w14:textId="1EF450DE" w:rsidR="00E0450C" w:rsidRPr="0018703F" w:rsidRDefault="00E21A8E" w:rsidP="00E0450C">
            <w:pPr>
              <w:jc w:val="right"/>
              <w:rPr>
                <w:rFonts w:ascii="Arial" w:hAnsi="Arial" w:cs="Arial"/>
              </w:rPr>
            </w:pPr>
            <w:r w:rsidRPr="00B3045C">
              <w:rPr>
                <w:rFonts w:ascii="Arial" w:hAnsi="Arial" w:cs="Arial"/>
              </w:rPr>
              <w:t>+</w:t>
            </w:r>
            <w:r w:rsidR="00306F64">
              <w:rPr>
                <w:rFonts w:ascii="Arial" w:hAnsi="Arial" w:cs="Arial"/>
              </w:rPr>
              <w:t>3.9</w:t>
            </w:r>
            <w:r w:rsidR="00E0450C" w:rsidRPr="00B3045C">
              <w:rPr>
                <w:rFonts w:ascii="Arial" w:hAnsi="Arial" w:cs="Arial"/>
              </w:rPr>
              <w:t>%</w:t>
            </w:r>
          </w:p>
        </w:tc>
      </w:tr>
    </w:tbl>
    <w:p w14:paraId="71728DF1" w14:textId="77777777" w:rsidR="007D43ED" w:rsidRPr="000971B9" w:rsidRDefault="007D43ED" w:rsidP="007D43ED">
      <w:pPr>
        <w:rPr>
          <w:rFonts w:ascii="Arial" w:hAnsi="Arial" w:cs="Arial"/>
          <w:b/>
          <w:bCs/>
          <w:sz w:val="24"/>
          <w:szCs w:val="24"/>
        </w:rPr>
      </w:pPr>
    </w:p>
    <w:p w14:paraId="52BC4538" w14:textId="4C4A5AD6" w:rsidR="007D43ED" w:rsidRPr="00371834" w:rsidRDefault="007D43ED" w:rsidP="007D43ED">
      <w:pPr>
        <w:jc w:val="left"/>
        <w:rPr>
          <w:rFonts w:ascii="Arial" w:hAnsi="Arial" w:cs="Arial"/>
        </w:rPr>
      </w:pPr>
      <w:r w:rsidRPr="00423845">
        <w:rPr>
          <w:rFonts w:ascii="Arial" w:hAnsi="Arial" w:cs="Arial"/>
        </w:rPr>
        <w:t xml:space="preserve">Other International total sales increased by </w:t>
      </w:r>
      <w:r w:rsidR="008F03BC">
        <w:rPr>
          <w:rFonts w:ascii="Arial" w:hAnsi="Arial" w:cs="Arial"/>
        </w:rPr>
        <w:t>3</w:t>
      </w:r>
      <w:r w:rsidR="001F0554" w:rsidRPr="00423845">
        <w:rPr>
          <w:rFonts w:ascii="Arial" w:hAnsi="Arial" w:cs="Arial"/>
        </w:rPr>
        <w:t>.</w:t>
      </w:r>
      <w:r w:rsidR="008F03BC">
        <w:rPr>
          <w:rFonts w:ascii="Arial" w:hAnsi="Arial" w:cs="Arial"/>
        </w:rPr>
        <w:t>5</w:t>
      </w:r>
      <w:r w:rsidRPr="00423845">
        <w:rPr>
          <w:rFonts w:ascii="Arial" w:hAnsi="Arial" w:cs="Arial"/>
        </w:rPr>
        <w:t>% (+</w:t>
      </w:r>
      <w:r w:rsidR="00423845" w:rsidRPr="0018703F">
        <w:rPr>
          <w:rFonts w:ascii="Arial" w:hAnsi="Arial" w:cs="Arial"/>
        </w:rPr>
        <w:t>2</w:t>
      </w:r>
      <w:r w:rsidR="009C6430" w:rsidRPr="00423845">
        <w:rPr>
          <w:rFonts w:ascii="Arial" w:hAnsi="Arial" w:cs="Arial"/>
        </w:rPr>
        <w:t>.</w:t>
      </w:r>
      <w:r w:rsidR="00423845" w:rsidRPr="0018703F">
        <w:rPr>
          <w:rFonts w:ascii="Arial" w:hAnsi="Arial" w:cs="Arial"/>
        </w:rPr>
        <w:t>0</w:t>
      </w:r>
      <w:r w:rsidRPr="00423845">
        <w:rPr>
          <w:rFonts w:ascii="Arial" w:hAnsi="Arial" w:cs="Arial"/>
        </w:rPr>
        <w:t>% LFL) to £</w:t>
      </w:r>
      <w:r w:rsidR="00423845" w:rsidRPr="0018703F">
        <w:rPr>
          <w:rFonts w:ascii="Arial" w:hAnsi="Arial" w:cs="Arial"/>
        </w:rPr>
        <w:t>2</w:t>
      </w:r>
      <w:r w:rsidR="00EA7F9F" w:rsidRPr="00423845">
        <w:rPr>
          <w:rFonts w:ascii="Arial" w:hAnsi="Arial" w:cs="Arial"/>
        </w:rPr>
        <w:t>,</w:t>
      </w:r>
      <w:r w:rsidR="00423845" w:rsidRPr="0018703F">
        <w:rPr>
          <w:rFonts w:ascii="Arial" w:hAnsi="Arial" w:cs="Arial"/>
        </w:rPr>
        <w:t>265</w:t>
      </w:r>
      <w:r w:rsidR="00EA7F9F" w:rsidRPr="00423845">
        <w:rPr>
          <w:rFonts w:ascii="Arial" w:hAnsi="Arial" w:cs="Arial"/>
        </w:rPr>
        <w:t xml:space="preserve"> </w:t>
      </w:r>
      <w:r w:rsidRPr="00423845">
        <w:rPr>
          <w:rFonts w:ascii="Arial" w:hAnsi="Arial" w:cs="Arial"/>
        </w:rPr>
        <w:t>million</w:t>
      </w:r>
      <w:r w:rsidR="006319F7" w:rsidRPr="00371834">
        <w:rPr>
          <w:rFonts w:ascii="Arial" w:hAnsi="Arial" w:cs="Arial"/>
        </w:rPr>
        <w:t>. R</w:t>
      </w:r>
      <w:r w:rsidR="005B1D91" w:rsidRPr="00371834">
        <w:rPr>
          <w:rFonts w:ascii="Arial" w:hAnsi="Arial" w:cs="Arial"/>
        </w:rPr>
        <w:t xml:space="preserve">etail profit increased by </w:t>
      </w:r>
      <w:r w:rsidR="00D5103C">
        <w:rPr>
          <w:rFonts w:ascii="Arial" w:hAnsi="Arial" w:cs="Arial"/>
        </w:rPr>
        <w:t>3</w:t>
      </w:r>
      <w:r w:rsidR="00371834" w:rsidRPr="0018703F">
        <w:rPr>
          <w:rFonts w:ascii="Arial" w:hAnsi="Arial" w:cs="Arial"/>
        </w:rPr>
        <w:t>.</w:t>
      </w:r>
      <w:r w:rsidR="00D5103C">
        <w:rPr>
          <w:rFonts w:ascii="Arial" w:hAnsi="Arial" w:cs="Arial"/>
        </w:rPr>
        <w:t>9</w:t>
      </w:r>
      <w:r w:rsidR="005B1D91" w:rsidRPr="00371834">
        <w:rPr>
          <w:rFonts w:ascii="Arial" w:hAnsi="Arial" w:cs="Arial"/>
        </w:rPr>
        <w:t>% to £</w:t>
      </w:r>
      <w:r w:rsidR="00EA7F9F" w:rsidRPr="00371834">
        <w:rPr>
          <w:rFonts w:ascii="Arial" w:hAnsi="Arial" w:cs="Arial"/>
        </w:rPr>
        <w:t>1</w:t>
      </w:r>
      <w:r w:rsidR="00D5103C">
        <w:rPr>
          <w:rFonts w:ascii="Arial" w:hAnsi="Arial" w:cs="Arial"/>
        </w:rPr>
        <w:t>54</w:t>
      </w:r>
      <w:r w:rsidR="00EA7F9F" w:rsidRPr="00371834">
        <w:rPr>
          <w:rFonts w:ascii="Arial" w:hAnsi="Arial" w:cs="Arial"/>
        </w:rPr>
        <w:t xml:space="preserve"> </w:t>
      </w:r>
      <w:r w:rsidR="005B1D91" w:rsidRPr="00371834">
        <w:rPr>
          <w:rFonts w:ascii="Arial" w:hAnsi="Arial" w:cs="Arial"/>
        </w:rPr>
        <w:t xml:space="preserve">million driven by Poland. </w:t>
      </w:r>
      <w:r w:rsidRPr="00371834">
        <w:rPr>
          <w:rFonts w:ascii="Arial" w:hAnsi="Arial" w:cs="Arial"/>
        </w:rPr>
        <w:t xml:space="preserve"> </w:t>
      </w:r>
    </w:p>
    <w:p w14:paraId="1BB85A20" w14:textId="77777777" w:rsidR="007D43ED" w:rsidRPr="0042729E" w:rsidRDefault="007D43ED" w:rsidP="007D43ED">
      <w:pPr>
        <w:jc w:val="left"/>
        <w:rPr>
          <w:rFonts w:ascii="Arial" w:hAnsi="Arial" w:cs="Arial"/>
          <w:highlight w:val="yellow"/>
        </w:rPr>
      </w:pPr>
    </w:p>
    <w:p w14:paraId="0AB50DFA" w14:textId="461423C7" w:rsidR="00514690" w:rsidRDefault="00B407FA" w:rsidP="00514690">
      <w:pPr>
        <w:jc w:val="left"/>
        <w:rPr>
          <w:rFonts w:ascii="Arial" w:hAnsi="Arial" w:cs="Arial"/>
          <w:szCs w:val="24"/>
        </w:rPr>
      </w:pPr>
      <w:bookmarkStart w:id="21" w:name="_Hlk508967566"/>
      <w:bookmarkStart w:id="22" w:name="_Hlk491357368"/>
      <w:r w:rsidRPr="00FC41B5">
        <w:rPr>
          <w:rFonts w:ascii="Arial" w:hAnsi="Arial" w:cs="Arial"/>
        </w:rPr>
        <w:t>During the year</w:t>
      </w:r>
      <w:r w:rsidR="005E243F">
        <w:rPr>
          <w:rFonts w:ascii="Arial" w:hAnsi="Arial" w:cs="Arial"/>
        </w:rPr>
        <w:t>, in Poland</w:t>
      </w:r>
      <w:r w:rsidRPr="00FC41B5">
        <w:rPr>
          <w:rFonts w:ascii="Arial" w:hAnsi="Arial" w:cs="Arial"/>
        </w:rPr>
        <w:t xml:space="preserve"> </w:t>
      </w:r>
      <w:r w:rsidR="00514690" w:rsidRPr="00FC41B5">
        <w:rPr>
          <w:rFonts w:ascii="Arial" w:hAnsi="Arial" w:cs="Arial"/>
        </w:rPr>
        <w:t>one new store</w:t>
      </w:r>
      <w:r w:rsidRPr="00FC41B5">
        <w:rPr>
          <w:rFonts w:ascii="Arial" w:hAnsi="Arial" w:cs="Arial"/>
        </w:rPr>
        <w:t xml:space="preserve"> </w:t>
      </w:r>
      <w:r w:rsidR="00514690" w:rsidRPr="00FC41B5">
        <w:rPr>
          <w:rFonts w:ascii="Arial" w:hAnsi="Arial" w:cs="Arial"/>
        </w:rPr>
        <w:t>was opened</w:t>
      </w:r>
      <w:r w:rsidR="005E243F">
        <w:rPr>
          <w:rFonts w:ascii="Arial" w:hAnsi="Arial" w:cs="Arial"/>
        </w:rPr>
        <w:t xml:space="preserve"> and one was relocated</w:t>
      </w:r>
      <w:r w:rsidR="00832149">
        <w:rPr>
          <w:rFonts w:ascii="Arial" w:hAnsi="Arial" w:cs="Arial"/>
        </w:rPr>
        <w:t>,</w:t>
      </w:r>
      <w:r w:rsidR="00514690" w:rsidRPr="00FC41B5">
        <w:rPr>
          <w:rFonts w:ascii="Arial" w:hAnsi="Arial" w:cs="Arial"/>
        </w:rPr>
        <w:t xml:space="preserve"> and </w:t>
      </w:r>
      <w:r w:rsidR="005E243F">
        <w:rPr>
          <w:rFonts w:ascii="Arial" w:hAnsi="Arial" w:cs="Arial"/>
        </w:rPr>
        <w:t xml:space="preserve">in Russia </w:t>
      </w:r>
      <w:r w:rsidR="00514690" w:rsidRPr="00FC41B5">
        <w:rPr>
          <w:rFonts w:ascii="Arial" w:hAnsi="Arial" w:cs="Arial"/>
        </w:rPr>
        <w:t>one store was closed</w:t>
      </w:r>
      <w:r w:rsidRPr="00FC41B5">
        <w:rPr>
          <w:rFonts w:ascii="Arial" w:hAnsi="Arial" w:cs="Arial"/>
        </w:rPr>
        <w:t>.</w:t>
      </w:r>
      <w:bookmarkStart w:id="23" w:name="_Hlk508034666"/>
      <w:r w:rsidRPr="00FC41B5">
        <w:rPr>
          <w:rFonts w:ascii="Arial" w:hAnsi="Arial" w:cs="Arial"/>
        </w:rPr>
        <w:t xml:space="preserve"> </w:t>
      </w:r>
      <w:bookmarkEnd w:id="21"/>
      <w:r w:rsidR="00514690" w:rsidRPr="00FC41B5">
        <w:rPr>
          <w:rFonts w:ascii="Arial" w:hAnsi="Arial" w:cs="Arial"/>
        </w:rPr>
        <w:t xml:space="preserve">In </w:t>
      </w:r>
      <w:r w:rsidR="00D5103C">
        <w:rPr>
          <w:rFonts w:ascii="Arial" w:hAnsi="Arial" w:cs="Arial"/>
        </w:rPr>
        <w:t>November</w:t>
      </w:r>
      <w:r w:rsidR="008F03BC">
        <w:rPr>
          <w:rFonts w:ascii="Arial" w:hAnsi="Arial" w:cs="Arial"/>
        </w:rPr>
        <w:t xml:space="preserve"> 2017</w:t>
      </w:r>
      <w:r w:rsidR="00D5103C">
        <w:rPr>
          <w:rFonts w:ascii="Arial" w:hAnsi="Arial" w:cs="Arial"/>
        </w:rPr>
        <w:t xml:space="preserve"> </w:t>
      </w:r>
      <w:r w:rsidR="00514690" w:rsidRPr="00FC41B5">
        <w:rPr>
          <w:rFonts w:ascii="Arial" w:hAnsi="Arial" w:cs="Arial"/>
        </w:rPr>
        <w:t xml:space="preserve">Kingfisher </w:t>
      </w:r>
      <w:r w:rsidR="00514690" w:rsidRPr="00FC41B5">
        <w:rPr>
          <w:rFonts w:ascii="Arial" w:hAnsi="Arial" w:cs="Arial"/>
          <w:color w:val="000000"/>
        </w:rPr>
        <w:t xml:space="preserve">acquired 26 </w:t>
      </w:r>
      <w:proofErr w:type="spellStart"/>
      <w:r w:rsidR="00514690" w:rsidRPr="00FC41B5">
        <w:rPr>
          <w:rFonts w:ascii="Arial" w:hAnsi="Arial" w:cs="Arial"/>
          <w:color w:val="000000"/>
        </w:rPr>
        <w:t>Praktiker</w:t>
      </w:r>
      <w:proofErr w:type="spellEnd"/>
      <w:r w:rsidR="00514690" w:rsidRPr="00FC41B5">
        <w:rPr>
          <w:rFonts w:ascii="Arial" w:hAnsi="Arial" w:cs="Arial"/>
          <w:color w:val="000000"/>
        </w:rPr>
        <w:t xml:space="preserve"> Romania stores</w:t>
      </w:r>
      <w:bookmarkEnd w:id="23"/>
      <w:r w:rsidR="00514690" w:rsidRPr="00FC41B5">
        <w:rPr>
          <w:rFonts w:ascii="Arial" w:hAnsi="Arial" w:cs="Arial"/>
          <w:color w:val="000000"/>
        </w:rPr>
        <w:t>.</w:t>
      </w:r>
    </w:p>
    <w:p w14:paraId="28EFB944" w14:textId="459708E7" w:rsidR="00B407FA" w:rsidRPr="00AC598B" w:rsidRDefault="00B407FA" w:rsidP="00B407FA">
      <w:pPr>
        <w:jc w:val="left"/>
        <w:rPr>
          <w:rFonts w:ascii="Arial" w:hAnsi="Arial" w:cs="Arial"/>
          <w:b/>
        </w:rPr>
      </w:pPr>
    </w:p>
    <w:bookmarkEnd w:id="22"/>
    <w:p w14:paraId="37E63D1F" w14:textId="77777777" w:rsidR="007D43ED" w:rsidRPr="00A845B7" w:rsidRDefault="007D43ED" w:rsidP="007D43ED">
      <w:pPr>
        <w:jc w:val="left"/>
        <w:rPr>
          <w:rFonts w:ascii="Arial" w:hAnsi="Arial" w:cs="Arial"/>
          <w:b/>
        </w:rPr>
      </w:pPr>
      <w:r w:rsidRPr="00A845B7">
        <w:rPr>
          <w:rFonts w:ascii="Arial" w:hAnsi="Arial" w:cs="Arial"/>
          <w:b/>
          <w:bCs/>
        </w:rPr>
        <w:t>Other International</w:t>
      </w:r>
      <w:r w:rsidRPr="00A845B7">
        <w:rPr>
          <w:rFonts w:ascii="Arial" w:hAnsi="Arial" w:cs="Arial"/>
          <w:b/>
        </w:rPr>
        <w:t xml:space="preserve"> (established): </w:t>
      </w:r>
    </w:p>
    <w:p w14:paraId="16C3B0F2" w14:textId="77777777" w:rsidR="007D43ED" w:rsidRPr="00925EFB" w:rsidRDefault="007D43ED" w:rsidP="007D43ED">
      <w:pPr>
        <w:jc w:val="left"/>
        <w:rPr>
          <w:rFonts w:ascii="Arial" w:hAnsi="Arial" w:cs="Arial"/>
          <w:sz w:val="24"/>
          <w:szCs w:val="24"/>
          <w:highlight w:val="yellow"/>
        </w:rPr>
      </w:pPr>
    </w:p>
    <w:p w14:paraId="6C67EFDB" w14:textId="2957E8EB" w:rsidR="007D43ED" w:rsidRPr="0018703F" w:rsidRDefault="007D43ED" w:rsidP="007D43ED">
      <w:pPr>
        <w:jc w:val="left"/>
        <w:rPr>
          <w:rFonts w:ascii="Arial" w:hAnsi="Arial" w:cs="Arial"/>
          <w:sz w:val="24"/>
          <w:szCs w:val="24"/>
        </w:rPr>
      </w:pPr>
      <w:bookmarkStart w:id="24" w:name="_Hlk508967538"/>
      <w:r w:rsidRPr="00371834">
        <w:rPr>
          <w:rFonts w:ascii="Arial" w:hAnsi="Arial" w:cs="Arial"/>
        </w:rPr>
        <w:t xml:space="preserve">Sales in </w:t>
      </w:r>
      <w:r w:rsidRPr="00371834">
        <w:rPr>
          <w:rFonts w:ascii="Arial" w:hAnsi="Arial" w:cs="Arial"/>
          <w:b/>
        </w:rPr>
        <w:t>Poland</w:t>
      </w:r>
      <w:r w:rsidRPr="00371834">
        <w:rPr>
          <w:rFonts w:ascii="Arial" w:hAnsi="Arial" w:cs="Arial"/>
        </w:rPr>
        <w:t xml:space="preserve"> were up </w:t>
      </w:r>
      <w:r w:rsidR="00B542F1">
        <w:rPr>
          <w:rFonts w:ascii="Arial" w:hAnsi="Arial" w:cs="Arial"/>
        </w:rPr>
        <w:t>6.3</w:t>
      </w:r>
      <w:r w:rsidRPr="00371834">
        <w:rPr>
          <w:rFonts w:ascii="Arial" w:hAnsi="Arial" w:cs="Arial"/>
        </w:rPr>
        <w:t>% (+</w:t>
      </w:r>
      <w:r w:rsidR="00423845" w:rsidRPr="0018703F">
        <w:rPr>
          <w:rFonts w:ascii="Arial" w:hAnsi="Arial" w:cs="Arial"/>
        </w:rPr>
        <w:t>5</w:t>
      </w:r>
      <w:r w:rsidR="008E36A9" w:rsidRPr="00371834">
        <w:rPr>
          <w:rFonts w:ascii="Arial" w:hAnsi="Arial" w:cs="Arial"/>
        </w:rPr>
        <w:t>.</w:t>
      </w:r>
      <w:r w:rsidR="00423845" w:rsidRPr="0018703F">
        <w:rPr>
          <w:rFonts w:ascii="Arial" w:hAnsi="Arial" w:cs="Arial"/>
        </w:rPr>
        <w:t>3</w:t>
      </w:r>
      <w:r w:rsidRPr="00371834">
        <w:rPr>
          <w:rFonts w:ascii="Arial" w:hAnsi="Arial" w:cs="Arial"/>
        </w:rPr>
        <w:t>% LFL) to £</w:t>
      </w:r>
      <w:r w:rsidR="00EA7F9F" w:rsidRPr="00371834">
        <w:rPr>
          <w:rFonts w:ascii="Arial" w:hAnsi="Arial" w:cs="Arial"/>
        </w:rPr>
        <w:t>1,</w:t>
      </w:r>
      <w:r w:rsidR="00423845" w:rsidRPr="0018703F">
        <w:rPr>
          <w:rFonts w:ascii="Arial" w:hAnsi="Arial" w:cs="Arial"/>
        </w:rPr>
        <w:t>384</w:t>
      </w:r>
      <w:r w:rsidR="00EA7F9F" w:rsidRPr="00371834">
        <w:rPr>
          <w:rFonts w:ascii="Arial" w:hAnsi="Arial" w:cs="Arial"/>
        </w:rPr>
        <w:t xml:space="preserve"> </w:t>
      </w:r>
      <w:r w:rsidRPr="00371834">
        <w:rPr>
          <w:rFonts w:ascii="Arial" w:hAnsi="Arial" w:cs="Arial"/>
        </w:rPr>
        <w:t>million</w:t>
      </w:r>
      <w:r w:rsidR="00F23600" w:rsidRPr="00371834">
        <w:rPr>
          <w:rFonts w:ascii="Arial" w:hAnsi="Arial" w:cs="Arial"/>
        </w:rPr>
        <w:t xml:space="preserve"> benefiting from </w:t>
      </w:r>
      <w:r w:rsidR="00624ACF" w:rsidRPr="00371834">
        <w:rPr>
          <w:rFonts w:ascii="Arial" w:hAnsi="Arial" w:cs="Arial"/>
        </w:rPr>
        <w:t xml:space="preserve">a supportive market and </w:t>
      </w:r>
      <w:r w:rsidR="00945E62">
        <w:rPr>
          <w:rFonts w:ascii="Arial" w:hAnsi="Arial" w:cs="Arial"/>
        </w:rPr>
        <w:t>strong performance from new ranges</w:t>
      </w:r>
      <w:r w:rsidRPr="00371834">
        <w:rPr>
          <w:rFonts w:ascii="Arial" w:hAnsi="Arial" w:cs="Arial"/>
        </w:rPr>
        <w:t xml:space="preserve">. </w:t>
      </w:r>
      <w:r w:rsidRPr="00FC41B5">
        <w:rPr>
          <w:rFonts w:ascii="Arial" w:hAnsi="Arial" w:cs="Arial"/>
        </w:rPr>
        <w:t xml:space="preserve">LFL sales of seasonal products were up </w:t>
      </w:r>
      <w:r w:rsidR="00375B34" w:rsidRPr="00D978CF">
        <w:rPr>
          <w:rFonts w:ascii="Arial" w:hAnsi="Arial" w:cs="Arial"/>
        </w:rPr>
        <w:t>0.</w:t>
      </w:r>
      <w:r w:rsidR="009F72B1">
        <w:rPr>
          <w:rFonts w:ascii="Arial" w:hAnsi="Arial" w:cs="Arial"/>
        </w:rPr>
        <w:t>7</w:t>
      </w:r>
      <w:r w:rsidRPr="00D978CF">
        <w:rPr>
          <w:rFonts w:ascii="Arial" w:hAnsi="Arial" w:cs="Arial"/>
        </w:rPr>
        <w:t>%</w:t>
      </w:r>
      <w:r w:rsidRPr="00FC41B5">
        <w:rPr>
          <w:rFonts w:ascii="Arial" w:hAnsi="Arial" w:cs="Arial"/>
        </w:rPr>
        <w:t xml:space="preserve"> with sales of </w:t>
      </w:r>
      <w:r w:rsidR="001E7802" w:rsidRPr="00FC41B5">
        <w:rPr>
          <w:rFonts w:ascii="Arial" w:hAnsi="Arial" w:cs="Arial"/>
        </w:rPr>
        <w:t xml:space="preserve">non-seasonal </w:t>
      </w:r>
      <w:r w:rsidRPr="00FC41B5">
        <w:rPr>
          <w:rFonts w:ascii="Arial" w:hAnsi="Arial" w:cs="Arial"/>
        </w:rPr>
        <w:t>products</w:t>
      </w:r>
      <w:r w:rsidR="00BE0CF5" w:rsidRPr="00FC41B5">
        <w:rPr>
          <w:rFonts w:ascii="Arial" w:hAnsi="Arial" w:cs="Arial"/>
        </w:rPr>
        <w:t>, including showroom</w:t>
      </w:r>
      <w:r w:rsidRPr="00FC41B5">
        <w:rPr>
          <w:rFonts w:ascii="Arial" w:hAnsi="Arial" w:cs="Arial"/>
        </w:rPr>
        <w:t xml:space="preserve"> up </w:t>
      </w:r>
      <w:r w:rsidR="009F72B1">
        <w:rPr>
          <w:rFonts w:ascii="Arial" w:hAnsi="Arial" w:cs="Arial"/>
        </w:rPr>
        <w:t>6</w:t>
      </w:r>
      <w:r w:rsidR="00F750B6" w:rsidRPr="00D978CF">
        <w:rPr>
          <w:rFonts w:ascii="Arial" w:hAnsi="Arial" w:cs="Arial"/>
        </w:rPr>
        <w:t>.</w:t>
      </w:r>
      <w:r w:rsidR="009F72B1">
        <w:rPr>
          <w:rFonts w:ascii="Arial" w:hAnsi="Arial" w:cs="Arial"/>
        </w:rPr>
        <w:t>0</w:t>
      </w:r>
      <w:r w:rsidRPr="00D978CF">
        <w:rPr>
          <w:rFonts w:ascii="Arial" w:hAnsi="Arial" w:cs="Arial"/>
        </w:rPr>
        <w:t>%.</w:t>
      </w:r>
      <w:r w:rsidRPr="00371834">
        <w:rPr>
          <w:rFonts w:ascii="Arial" w:hAnsi="Arial" w:cs="Arial"/>
        </w:rPr>
        <w:t xml:space="preserve"> Gross margins were </w:t>
      </w:r>
      <w:r w:rsidR="0037791F">
        <w:rPr>
          <w:rFonts w:ascii="Arial" w:hAnsi="Arial" w:cs="Arial"/>
        </w:rPr>
        <w:t xml:space="preserve">slightly up </w:t>
      </w:r>
      <w:r w:rsidR="00990F9A">
        <w:rPr>
          <w:rFonts w:ascii="Arial" w:hAnsi="Arial" w:cs="Arial"/>
        </w:rPr>
        <w:t>(+</w:t>
      </w:r>
      <w:r w:rsidR="00371834" w:rsidRPr="0018703F">
        <w:rPr>
          <w:rFonts w:ascii="Arial" w:hAnsi="Arial" w:cs="Arial"/>
        </w:rPr>
        <w:t>10</w:t>
      </w:r>
      <w:r w:rsidR="00371834" w:rsidRPr="00371834">
        <w:rPr>
          <w:rFonts w:ascii="Arial" w:hAnsi="Arial" w:cs="Arial"/>
        </w:rPr>
        <w:t xml:space="preserve"> </w:t>
      </w:r>
      <w:r w:rsidRPr="00371834">
        <w:rPr>
          <w:rFonts w:ascii="Arial" w:hAnsi="Arial" w:cs="Arial"/>
        </w:rPr>
        <w:t>basis points</w:t>
      </w:r>
      <w:r w:rsidR="00990F9A">
        <w:rPr>
          <w:rFonts w:ascii="Arial" w:hAnsi="Arial" w:cs="Arial"/>
        </w:rPr>
        <w:t>)</w:t>
      </w:r>
      <w:r w:rsidRPr="00371834">
        <w:rPr>
          <w:rFonts w:ascii="Arial" w:hAnsi="Arial" w:cs="Arial"/>
        </w:rPr>
        <w:t xml:space="preserve">. Retail profit grew by </w:t>
      </w:r>
      <w:r w:rsidR="00C07FD9">
        <w:rPr>
          <w:rFonts w:ascii="Arial" w:hAnsi="Arial" w:cs="Arial"/>
        </w:rPr>
        <w:t>8.0</w:t>
      </w:r>
      <w:r w:rsidRPr="00371834">
        <w:rPr>
          <w:rFonts w:ascii="Arial" w:hAnsi="Arial" w:cs="Arial"/>
        </w:rPr>
        <w:t>% to £</w:t>
      </w:r>
      <w:r w:rsidR="00EA7F9F" w:rsidRPr="00371834">
        <w:rPr>
          <w:rFonts w:ascii="Arial" w:hAnsi="Arial" w:cs="Arial"/>
        </w:rPr>
        <w:t>1</w:t>
      </w:r>
      <w:r w:rsidR="00162D50" w:rsidRPr="0018703F">
        <w:rPr>
          <w:rFonts w:ascii="Arial" w:hAnsi="Arial" w:cs="Arial"/>
        </w:rPr>
        <w:t>70</w:t>
      </w:r>
      <w:r w:rsidR="00EA7F9F" w:rsidRPr="00371834">
        <w:rPr>
          <w:rFonts w:ascii="Arial" w:hAnsi="Arial" w:cs="Arial"/>
        </w:rPr>
        <w:t xml:space="preserve"> </w:t>
      </w:r>
      <w:r w:rsidRPr="00371834">
        <w:rPr>
          <w:rFonts w:ascii="Arial" w:hAnsi="Arial" w:cs="Arial"/>
        </w:rPr>
        <w:t xml:space="preserve">million </w:t>
      </w:r>
      <w:r w:rsidR="005B1D91" w:rsidRPr="00371834">
        <w:rPr>
          <w:rFonts w:ascii="Arial" w:hAnsi="Arial" w:cs="Arial"/>
        </w:rPr>
        <w:t>reflecting</w:t>
      </w:r>
      <w:r w:rsidRPr="00371834">
        <w:rPr>
          <w:rFonts w:ascii="Arial" w:hAnsi="Arial" w:cs="Arial"/>
        </w:rPr>
        <w:t xml:space="preserve"> the sales growth</w:t>
      </w:r>
      <w:r w:rsidR="005B1D91" w:rsidRPr="00371834">
        <w:rPr>
          <w:rFonts w:ascii="Arial" w:hAnsi="Arial" w:cs="Arial"/>
        </w:rPr>
        <w:t xml:space="preserve"> and</w:t>
      </w:r>
      <w:r w:rsidR="00371834" w:rsidRPr="00371834">
        <w:rPr>
          <w:rFonts w:ascii="Arial" w:hAnsi="Arial" w:cs="Arial"/>
        </w:rPr>
        <w:t xml:space="preserve"> slightly</w:t>
      </w:r>
      <w:r w:rsidR="005B1D91" w:rsidRPr="00371834">
        <w:rPr>
          <w:rFonts w:ascii="Arial" w:hAnsi="Arial" w:cs="Arial"/>
        </w:rPr>
        <w:t xml:space="preserve"> higher gross margins.</w:t>
      </w:r>
      <w:r w:rsidR="005B1D91" w:rsidRPr="00371834">
        <w:rPr>
          <w:rFonts w:ascii="Arial" w:hAnsi="Arial" w:cs="Arial"/>
          <w:sz w:val="24"/>
          <w:szCs w:val="24"/>
        </w:rPr>
        <w:t xml:space="preserve"> </w:t>
      </w:r>
    </w:p>
    <w:bookmarkEnd w:id="24"/>
    <w:p w14:paraId="6A698A62" w14:textId="77777777" w:rsidR="007D43ED" w:rsidRPr="0042729E" w:rsidRDefault="007D43ED" w:rsidP="007D43ED">
      <w:pPr>
        <w:jc w:val="left"/>
        <w:rPr>
          <w:rFonts w:ascii="Arial" w:hAnsi="Arial" w:cs="Arial"/>
          <w:sz w:val="24"/>
          <w:szCs w:val="24"/>
          <w:highlight w:val="yellow"/>
        </w:rPr>
      </w:pPr>
    </w:p>
    <w:p w14:paraId="6DEECC1B" w14:textId="0EEFA19E" w:rsidR="007D43ED" w:rsidRPr="00A845B7" w:rsidRDefault="007D43ED" w:rsidP="007D43ED">
      <w:pPr>
        <w:jc w:val="left"/>
        <w:rPr>
          <w:rFonts w:ascii="Arial" w:hAnsi="Arial" w:cs="Arial"/>
        </w:rPr>
      </w:pPr>
      <w:r w:rsidRPr="00423845">
        <w:rPr>
          <w:rFonts w:ascii="Arial" w:hAnsi="Arial" w:cs="Arial"/>
        </w:rPr>
        <w:t xml:space="preserve">In </w:t>
      </w:r>
      <w:r w:rsidRPr="00423845">
        <w:rPr>
          <w:rFonts w:ascii="Arial" w:hAnsi="Arial" w:cs="Arial"/>
          <w:b/>
        </w:rPr>
        <w:t xml:space="preserve">Russia </w:t>
      </w:r>
      <w:r w:rsidRPr="00423845">
        <w:rPr>
          <w:rFonts w:ascii="Arial" w:hAnsi="Arial" w:cs="Arial"/>
        </w:rPr>
        <w:t xml:space="preserve">sales </w:t>
      </w:r>
      <w:r w:rsidR="00C07FD9">
        <w:rPr>
          <w:rFonts w:ascii="Arial" w:hAnsi="Arial" w:cs="Arial"/>
        </w:rPr>
        <w:t>decreased</w:t>
      </w:r>
      <w:r w:rsidR="00C07FD9" w:rsidRPr="0018703F">
        <w:rPr>
          <w:rFonts w:ascii="Arial" w:hAnsi="Arial" w:cs="Arial"/>
        </w:rPr>
        <w:t xml:space="preserve"> </w:t>
      </w:r>
      <w:r w:rsidR="00FC5C5A" w:rsidRPr="00423845">
        <w:rPr>
          <w:rFonts w:ascii="Arial" w:hAnsi="Arial" w:cs="Arial"/>
        </w:rPr>
        <w:t xml:space="preserve">by </w:t>
      </w:r>
      <w:r w:rsidR="00C07FD9">
        <w:rPr>
          <w:rFonts w:ascii="Arial" w:hAnsi="Arial" w:cs="Arial"/>
        </w:rPr>
        <w:t>3.7</w:t>
      </w:r>
      <w:r w:rsidRPr="00423845">
        <w:rPr>
          <w:rFonts w:ascii="Arial" w:hAnsi="Arial" w:cs="Arial"/>
        </w:rPr>
        <w:t>% (</w:t>
      </w:r>
      <w:r w:rsidR="00423845" w:rsidRPr="0018703F">
        <w:rPr>
          <w:rFonts w:ascii="Arial" w:hAnsi="Arial" w:cs="Arial"/>
        </w:rPr>
        <w:t>-5.8</w:t>
      </w:r>
      <w:r w:rsidRPr="00423845">
        <w:rPr>
          <w:rFonts w:ascii="Arial" w:hAnsi="Arial" w:cs="Arial"/>
        </w:rPr>
        <w:t>% LFL) to £</w:t>
      </w:r>
      <w:r w:rsidR="008E36A9" w:rsidRPr="00423845">
        <w:rPr>
          <w:rFonts w:ascii="Arial" w:hAnsi="Arial" w:cs="Arial"/>
        </w:rPr>
        <w:t>3</w:t>
      </w:r>
      <w:r w:rsidR="00423845" w:rsidRPr="0018703F">
        <w:rPr>
          <w:rFonts w:ascii="Arial" w:hAnsi="Arial" w:cs="Arial"/>
        </w:rPr>
        <w:t>91</w:t>
      </w:r>
      <w:r w:rsidR="009C6430" w:rsidRPr="00423845">
        <w:rPr>
          <w:rFonts w:ascii="Arial" w:hAnsi="Arial" w:cs="Arial"/>
        </w:rPr>
        <w:t xml:space="preserve"> </w:t>
      </w:r>
      <w:r w:rsidRPr="00423845">
        <w:rPr>
          <w:rFonts w:ascii="Arial" w:hAnsi="Arial" w:cs="Arial"/>
        </w:rPr>
        <w:t>million</w:t>
      </w:r>
      <w:r w:rsidR="00596958" w:rsidRPr="00423845">
        <w:rPr>
          <w:rFonts w:ascii="Arial" w:hAnsi="Arial" w:cs="Arial"/>
        </w:rPr>
        <w:t>.</w:t>
      </w:r>
      <w:r w:rsidRPr="00423845">
        <w:rPr>
          <w:rFonts w:ascii="Arial" w:hAnsi="Arial" w:cs="Arial"/>
        </w:rPr>
        <w:t xml:space="preserve"> </w:t>
      </w:r>
      <w:r w:rsidR="00624ACF" w:rsidRPr="00162D50">
        <w:rPr>
          <w:rFonts w:ascii="Arial" w:hAnsi="Arial" w:cs="Arial"/>
        </w:rPr>
        <w:t xml:space="preserve">The business </w:t>
      </w:r>
      <w:r w:rsidR="00162D50" w:rsidRPr="0018703F">
        <w:rPr>
          <w:rFonts w:ascii="Arial" w:hAnsi="Arial" w:cs="Arial"/>
        </w:rPr>
        <w:t xml:space="preserve">incurred </w:t>
      </w:r>
      <w:r w:rsidR="00AC2B0B" w:rsidRPr="00162D50">
        <w:rPr>
          <w:rFonts w:ascii="Arial" w:hAnsi="Arial" w:cs="Arial"/>
        </w:rPr>
        <w:t>a</w:t>
      </w:r>
      <w:r w:rsidR="00162D50">
        <w:rPr>
          <w:rFonts w:ascii="Arial" w:hAnsi="Arial" w:cs="Arial"/>
        </w:rPr>
        <w:t>n</w:t>
      </w:r>
      <w:r w:rsidR="00AC2B0B" w:rsidRPr="00162D50">
        <w:rPr>
          <w:rFonts w:ascii="Arial" w:hAnsi="Arial" w:cs="Arial"/>
        </w:rPr>
        <w:t xml:space="preserve"> </w:t>
      </w:r>
      <w:r w:rsidR="008E36A9" w:rsidRPr="00162D50">
        <w:rPr>
          <w:rFonts w:ascii="Arial" w:hAnsi="Arial" w:cs="Arial"/>
        </w:rPr>
        <w:t>£</w:t>
      </w:r>
      <w:r w:rsidR="00162D50" w:rsidRPr="0018703F">
        <w:rPr>
          <w:rFonts w:ascii="Arial" w:hAnsi="Arial" w:cs="Arial"/>
        </w:rPr>
        <w:t>8</w:t>
      </w:r>
      <w:r w:rsidR="006319F7" w:rsidRPr="00162D50">
        <w:rPr>
          <w:rFonts w:ascii="Arial" w:hAnsi="Arial" w:cs="Arial"/>
        </w:rPr>
        <w:t xml:space="preserve"> </w:t>
      </w:r>
      <w:r w:rsidR="008E36A9" w:rsidRPr="00162D50">
        <w:rPr>
          <w:rFonts w:ascii="Arial" w:hAnsi="Arial" w:cs="Arial"/>
        </w:rPr>
        <w:t>m</w:t>
      </w:r>
      <w:r w:rsidR="006319F7" w:rsidRPr="00162D50">
        <w:rPr>
          <w:rFonts w:ascii="Arial" w:hAnsi="Arial" w:cs="Arial"/>
        </w:rPr>
        <w:t>illion</w:t>
      </w:r>
      <w:r w:rsidR="008E36A9" w:rsidRPr="00162D50">
        <w:rPr>
          <w:rFonts w:ascii="Arial" w:hAnsi="Arial" w:cs="Arial"/>
        </w:rPr>
        <w:t xml:space="preserve"> </w:t>
      </w:r>
      <w:r w:rsidR="00162D50">
        <w:rPr>
          <w:rFonts w:ascii="Arial" w:hAnsi="Arial" w:cs="Arial"/>
        </w:rPr>
        <w:t xml:space="preserve">retail </w:t>
      </w:r>
      <w:r w:rsidR="00162D50" w:rsidRPr="0018703F">
        <w:rPr>
          <w:rFonts w:ascii="Arial" w:hAnsi="Arial" w:cs="Arial"/>
        </w:rPr>
        <w:t xml:space="preserve">loss </w:t>
      </w:r>
      <w:r w:rsidR="00681C26" w:rsidRPr="00162D50">
        <w:rPr>
          <w:rFonts w:ascii="Arial" w:hAnsi="Arial" w:cs="Arial"/>
        </w:rPr>
        <w:t>(201</w:t>
      </w:r>
      <w:r w:rsidR="004A1C1F" w:rsidRPr="00162D50">
        <w:rPr>
          <w:rFonts w:ascii="Arial" w:hAnsi="Arial" w:cs="Arial"/>
        </w:rPr>
        <w:t>6</w:t>
      </w:r>
      <w:r w:rsidR="00822B9C" w:rsidRPr="00162D50">
        <w:rPr>
          <w:rFonts w:ascii="Arial" w:hAnsi="Arial" w:cs="Arial"/>
        </w:rPr>
        <w:t>/1</w:t>
      </w:r>
      <w:r w:rsidR="004A1C1F" w:rsidRPr="00162D50">
        <w:rPr>
          <w:rFonts w:ascii="Arial" w:hAnsi="Arial" w:cs="Arial"/>
        </w:rPr>
        <w:t>7</w:t>
      </w:r>
      <w:r w:rsidR="00681C26" w:rsidRPr="00162D50">
        <w:rPr>
          <w:rFonts w:ascii="Arial" w:hAnsi="Arial" w:cs="Arial"/>
        </w:rPr>
        <w:t>: £</w:t>
      </w:r>
      <w:r w:rsidR="004A1C1F" w:rsidRPr="00162D50">
        <w:rPr>
          <w:rFonts w:ascii="Arial" w:hAnsi="Arial" w:cs="Arial"/>
        </w:rPr>
        <w:t>1</w:t>
      </w:r>
      <w:r w:rsidR="008E36A9" w:rsidRPr="00162D50">
        <w:rPr>
          <w:rFonts w:ascii="Arial" w:hAnsi="Arial" w:cs="Arial"/>
        </w:rPr>
        <w:t xml:space="preserve"> </w:t>
      </w:r>
      <w:r w:rsidR="00681C26" w:rsidRPr="00162D50">
        <w:rPr>
          <w:rFonts w:ascii="Arial" w:hAnsi="Arial" w:cs="Arial"/>
        </w:rPr>
        <w:t xml:space="preserve">million </w:t>
      </w:r>
      <w:r w:rsidR="00E26457">
        <w:rPr>
          <w:rFonts w:ascii="Arial" w:hAnsi="Arial" w:cs="Arial"/>
        </w:rPr>
        <w:t xml:space="preserve">reported </w:t>
      </w:r>
      <w:r w:rsidR="00162D50">
        <w:rPr>
          <w:rFonts w:ascii="Arial" w:hAnsi="Arial" w:cs="Arial"/>
        </w:rPr>
        <w:t xml:space="preserve">retail </w:t>
      </w:r>
      <w:r w:rsidR="00681C26" w:rsidRPr="00162D50">
        <w:rPr>
          <w:rFonts w:ascii="Arial" w:hAnsi="Arial" w:cs="Arial"/>
        </w:rPr>
        <w:t>profit</w:t>
      </w:r>
      <w:r w:rsidR="00144DA6" w:rsidRPr="00162D50">
        <w:rPr>
          <w:rFonts w:ascii="Arial" w:hAnsi="Arial" w:cs="Arial"/>
        </w:rPr>
        <w:t xml:space="preserve">) </w:t>
      </w:r>
      <w:r w:rsidR="0012195C" w:rsidRPr="005B2D1B">
        <w:rPr>
          <w:rFonts w:ascii="Arial" w:hAnsi="Arial" w:cs="Arial"/>
        </w:rPr>
        <w:t>reflecting a challenging environment</w:t>
      </w:r>
      <w:r w:rsidR="00C07FD9">
        <w:rPr>
          <w:rFonts w:ascii="Arial" w:hAnsi="Arial" w:cs="Arial"/>
        </w:rPr>
        <w:t xml:space="preserve">. </w:t>
      </w:r>
      <w:r w:rsidRPr="00423845">
        <w:rPr>
          <w:rFonts w:ascii="Arial" w:hAnsi="Arial" w:cs="Arial"/>
        </w:rPr>
        <w:t xml:space="preserve">In </w:t>
      </w:r>
      <w:r w:rsidRPr="00423845">
        <w:rPr>
          <w:rFonts w:ascii="Arial" w:hAnsi="Arial" w:cs="Arial"/>
          <w:b/>
        </w:rPr>
        <w:t>Spain</w:t>
      </w:r>
      <w:r w:rsidRPr="00423845">
        <w:rPr>
          <w:rFonts w:ascii="Arial" w:hAnsi="Arial" w:cs="Arial"/>
        </w:rPr>
        <w:t xml:space="preserve"> sales </w:t>
      </w:r>
      <w:r w:rsidR="00C07FD9">
        <w:rPr>
          <w:rFonts w:ascii="Arial" w:hAnsi="Arial" w:cs="Arial"/>
        </w:rPr>
        <w:t>decreased by 4.8%</w:t>
      </w:r>
      <w:r w:rsidRPr="00423845">
        <w:rPr>
          <w:rFonts w:ascii="Arial" w:hAnsi="Arial" w:cs="Arial"/>
        </w:rPr>
        <w:t xml:space="preserve"> (</w:t>
      </w:r>
      <w:r w:rsidR="00423845" w:rsidRPr="0018703F">
        <w:rPr>
          <w:rFonts w:ascii="Arial" w:hAnsi="Arial" w:cs="Arial"/>
        </w:rPr>
        <w:t>-3.2</w:t>
      </w:r>
      <w:r w:rsidRPr="00423845">
        <w:rPr>
          <w:rFonts w:ascii="Arial" w:hAnsi="Arial" w:cs="Arial"/>
        </w:rPr>
        <w:t>% LFL) to £</w:t>
      </w:r>
      <w:r w:rsidR="008E36A9" w:rsidRPr="00423845">
        <w:rPr>
          <w:rFonts w:ascii="Arial" w:hAnsi="Arial" w:cs="Arial"/>
        </w:rPr>
        <w:t>31</w:t>
      </w:r>
      <w:r w:rsidR="00423845" w:rsidRPr="0018703F">
        <w:rPr>
          <w:rFonts w:ascii="Arial" w:hAnsi="Arial" w:cs="Arial"/>
        </w:rPr>
        <w:t>6</w:t>
      </w:r>
      <w:r w:rsidR="00822B9C" w:rsidRPr="00423845">
        <w:rPr>
          <w:rFonts w:ascii="Arial" w:hAnsi="Arial" w:cs="Arial"/>
        </w:rPr>
        <w:t xml:space="preserve"> </w:t>
      </w:r>
      <w:r w:rsidRPr="00423845">
        <w:rPr>
          <w:rFonts w:ascii="Arial" w:hAnsi="Arial" w:cs="Arial"/>
        </w:rPr>
        <w:t>million</w:t>
      </w:r>
      <w:r w:rsidR="00C07FD9">
        <w:rPr>
          <w:rFonts w:ascii="Arial" w:hAnsi="Arial" w:cs="Arial"/>
        </w:rPr>
        <w:t xml:space="preserve"> </w:t>
      </w:r>
      <w:r w:rsidR="00C51098" w:rsidRPr="00162D50">
        <w:rPr>
          <w:rFonts w:ascii="Arial" w:hAnsi="Arial" w:cs="Arial"/>
        </w:rPr>
        <w:t>delivering a</w:t>
      </w:r>
      <w:r w:rsidRPr="00162D50">
        <w:rPr>
          <w:rFonts w:ascii="Arial" w:hAnsi="Arial" w:cs="Arial"/>
        </w:rPr>
        <w:t xml:space="preserve"> </w:t>
      </w:r>
      <w:r w:rsidR="0047756B" w:rsidRPr="00162D50">
        <w:rPr>
          <w:rFonts w:ascii="Arial" w:hAnsi="Arial" w:cs="Arial"/>
        </w:rPr>
        <w:t>£</w:t>
      </w:r>
      <w:r w:rsidR="008E36A9" w:rsidRPr="00162D50">
        <w:rPr>
          <w:rFonts w:ascii="Arial" w:hAnsi="Arial" w:cs="Arial"/>
        </w:rPr>
        <w:t>2</w:t>
      </w:r>
      <w:r w:rsidR="0047756B" w:rsidRPr="00162D50">
        <w:rPr>
          <w:rFonts w:ascii="Arial" w:hAnsi="Arial" w:cs="Arial"/>
        </w:rPr>
        <w:t xml:space="preserve"> million retail profit</w:t>
      </w:r>
      <w:r w:rsidRPr="00162D50">
        <w:rPr>
          <w:rFonts w:ascii="Arial" w:hAnsi="Arial" w:cs="Arial"/>
        </w:rPr>
        <w:t xml:space="preserve"> (201</w:t>
      </w:r>
      <w:r w:rsidR="004A1C1F" w:rsidRPr="00162D50">
        <w:rPr>
          <w:rFonts w:ascii="Arial" w:hAnsi="Arial" w:cs="Arial"/>
        </w:rPr>
        <w:t>6</w:t>
      </w:r>
      <w:r w:rsidR="00822B9C" w:rsidRPr="00162D50">
        <w:rPr>
          <w:rFonts w:ascii="Arial" w:hAnsi="Arial" w:cs="Arial"/>
        </w:rPr>
        <w:t>/1</w:t>
      </w:r>
      <w:r w:rsidR="004A1C1F" w:rsidRPr="00162D50">
        <w:rPr>
          <w:rFonts w:ascii="Arial" w:hAnsi="Arial" w:cs="Arial"/>
        </w:rPr>
        <w:t>7</w:t>
      </w:r>
      <w:r w:rsidRPr="00162D50">
        <w:rPr>
          <w:rFonts w:ascii="Arial" w:hAnsi="Arial" w:cs="Arial"/>
        </w:rPr>
        <w:t xml:space="preserve">: </w:t>
      </w:r>
      <w:r w:rsidR="004A1C1F" w:rsidRPr="00162D50">
        <w:rPr>
          <w:rFonts w:ascii="Arial" w:hAnsi="Arial" w:cs="Arial"/>
        </w:rPr>
        <w:t>£2 million</w:t>
      </w:r>
      <w:r w:rsidR="00E26457">
        <w:rPr>
          <w:rFonts w:ascii="Arial" w:hAnsi="Arial" w:cs="Arial"/>
        </w:rPr>
        <w:t xml:space="preserve"> reported</w:t>
      </w:r>
      <w:r w:rsidR="00295B76">
        <w:rPr>
          <w:rFonts w:ascii="Arial" w:hAnsi="Arial" w:cs="Arial"/>
        </w:rPr>
        <w:t xml:space="preserve"> retail profit</w:t>
      </w:r>
      <w:r w:rsidRPr="00162D50">
        <w:rPr>
          <w:rFonts w:ascii="Arial" w:hAnsi="Arial" w:cs="Arial"/>
        </w:rPr>
        <w:t xml:space="preserve">). </w:t>
      </w:r>
      <w:r w:rsidR="00E53A31" w:rsidRPr="00162D50">
        <w:rPr>
          <w:rFonts w:ascii="Arial" w:hAnsi="Arial" w:cs="Arial"/>
        </w:rPr>
        <w:t xml:space="preserve">In </w:t>
      </w:r>
      <w:r w:rsidR="00E53A31" w:rsidRPr="00162D50">
        <w:rPr>
          <w:rFonts w:ascii="Arial" w:hAnsi="Arial" w:cs="Arial"/>
          <w:b/>
        </w:rPr>
        <w:t xml:space="preserve">Turkey, </w:t>
      </w:r>
      <w:r w:rsidR="00E53A31" w:rsidRPr="00162D50">
        <w:rPr>
          <w:rFonts w:ascii="Arial" w:hAnsi="Arial" w:cs="Arial"/>
        </w:rPr>
        <w:t xml:space="preserve">Kingfisher’s 50% JV, </w:t>
      </w:r>
      <w:proofErr w:type="spellStart"/>
      <w:r w:rsidR="00E53A31" w:rsidRPr="00162D50">
        <w:rPr>
          <w:rFonts w:ascii="Arial" w:hAnsi="Arial" w:cs="Arial"/>
          <w:bCs/>
        </w:rPr>
        <w:t>Koçtaş</w:t>
      </w:r>
      <w:proofErr w:type="spellEnd"/>
      <w:r w:rsidR="00E53A31" w:rsidRPr="00162D50">
        <w:rPr>
          <w:rFonts w:ascii="Arial" w:hAnsi="Arial" w:cs="Arial"/>
          <w:bCs/>
        </w:rPr>
        <w:t>,</w:t>
      </w:r>
      <w:r w:rsidR="00E53A31" w:rsidRPr="00162D50">
        <w:rPr>
          <w:rFonts w:ascii="Arial" w:hAnsi="Arial" w:cs="Arial"/>
        </w:rPr>
        <w:t xml:space="preserve"> contributed retail profit of £</w:t>
      </w:r>
      <w:r w:rsidR="00162D50" w:rsidRPr="0018703F">
        <w:rPr>
          <w:rFonts w:ascii="Arial" w:hAnsi="Arial" w:cs="Arial"/>
        </w:rPr>
        <w:t>7</w:t>
      </w:r>
      <w:r w:rsidR="008E36A9" w:rsidRPr="00162D50">
        <w:rPr>
          <w:rFonts w:ascii="Arial" w:hAnsi="Arial" w:cs="Arial"/>
        </w:rPr>
        <w:t xml:space="preserve"> </w:t>
      </w:r>
      <w:r w:rsidR="00E53A31" w:rsidRPr="00162D50">
        <w:rPr>
          <w:rFonts w:ascii="Arial" w:hAnsi="Arial" w:cs="Arial"/>
        </w:rPr>
        <w:t>million (201</w:t>
      </w:r>
      <w:r w:rsidR="004A1C1F" w:rsidRPr="00162D50">
        <w:rPr>
          <w:rFonts w:ascii="Arial" w:hAnsi="Arial" w:cs="Arial"/>
        </w:rPr>
        <w:t>6</w:t>
      </w:r>
      <w:r w:rsidR="00E53A31" w:rsidRPr="00162D50">
        <w:rPr>
          <w:rFonts w:ascii="Arial" w:hAnsi="Arial" w:cs="Arial"/>
        </w:rPr>
        <w:t>/1</w:t>
      </w:r>
      <w:r w:rsidR="004A1C1F" w:rsidRPr="00162D50">
        <w:rPr>
          <w:rFonts w:ascii="Arial" w:hAnsi="Arial" w:cs="Arial"/>
        </w:rPr>
        <w:t>7</w:t>
      </w:r>
      <w:r w:rsidR="00E53A31" w:rsidRPr="00162D50">
        <w:rPr>
          <w:rFonts w:ascii="Arial" w:hAnsi="Arial" w:cs="Arial"/>
        </w:rPr>
        <w:t>: £</w:t>
      </w:r>
      <w:r w:rsidR="004A1C1F" w:rsidRPr="00162D50">
        <w:rPr>
          <w:rFonts w:ascii="Arial" w:hAnsi="Arial" w:cs="Arial"/>
        </w:rPr>
        <w:t>5</w:t>
      </w:r>
      <w:r w:rsidR="008E36A9" w:rsidRPr="00162D50">
        <w:rPr>
          <w:rFonts w:ascii="Arial" w:hAnsi="Arial" w:cs="Arial"/>
        </w:rPr>
        <w:t xml:space="preserve"> </w:t>
      </w:r>
      <w:r w:rsidR="00E53A31" w:rsidRPr="00162D50">
        <w:rPr>
          <w:rFonts w:ascii="Arial" w:hAnsi="Arial" w:cs="Arial"/>
        </w:rPr>
        <w:t xml:space="preserve">million </w:t>
      </w:r>
      <w:r w:rsidR="00E26457">
        <w:rPr>
          <w:rFonts w:ascii="Arial" w:hAnsi="Arial" w:cs="Arial"/>
        </w:rPr>
        <w:t xml:space="preserve">reported </w:t>
      </w:r>
      <w:r w:rsidR="00E53A31" w:rsidRPr="00162D50">
        <w:rPr>
          <w:rFonts w:ascii="Arial" w:hAnsi="Arial" w:cs="Arial"/>
        </w:rPr>
        <w:t>retail profit).</w:t>
      </w:r>
    </w:p>
    <w:p w14:paraId="7D192755" w14:textId="77777777" w:rsidR="007D43ED" w:rsidRPr="00931630" w:rsidRDefault="007D43ED" w:rsidP="007D43ED">
      <w:pPr>
        <w:jc w:val="left"/>
        <w:rPr>
          <w:rFonts w:ascii="Arial" w:hAnsi="Arial" w:cs="Arial"/>
          <w:b/>
          <w:sz w:val="24"/>
          <w:szCs w:val="24"/>
          <w:highlight w:val="yellow"/>
          <w:u w:val="single"/>
        </w:rPr>
      </w:pPr>
    </w:p>
    <w:p w14:paraId="4906EE13" w14:textId="5ACC8C09" w:rsidR="007D43ED" w:rsidRPr="00A845B7" w:rsidRDefault="007D43ED" w:rsidP="007D43ED">
      <w:pPr>
        <w:jc w:val="left"/>
        <w:rPr>
          <w:rFonts w:ascii="Arial" w:hAnsi="Arial" w:cs="Arial"/>
          <w:b/>
        </w:rPr>
      </w:pPr>
      <w:r w:rsidRPr="00A845B7">
        <w:rPr>
          <w:rFonts w:ascii="Arial" w:hAnsi="Arial" w:cs="Arial"/>
          <w:b/>
        </w:rPr>
        <w:t>New Country Development:</w:t>
      </w:r>
    </w:p>
    <w:p w14:paraId="29E83508" w14:textId="77777777" w:rsidR="007D43ED" w:rsidRPr="00F9080F" w:rsidRDefault="007D43ED" w:rsidP="007D43ED">
      <w:pPr>
        <w:jc w:val="left"/>
        <w:rPr>
          <w:rFonts w:ascii="Arial" w:hAnsi="Arial" w:cs="Arial"/>
          <w:b/>
          <w:highlight w:val="yellow"/>
        </w:rPr>
      </w:pPr>
    </w:p>
    <w:p w14:paraId="4C473D7C" w14:textId="14F011E7" w:rsidR="007D43ED" w:rsidRPr="00F9080F" w:rsidRDefault="007D43ED">
      <w:pPr>
        <w:jc w:val="left"/>
        <w:rPr>
          <w:rFonts w:ascii="Arial" w:hAnsi="Arial" w:cs="Arial"/>
        </w:rPr>
      </w:pPr>
      <w:r w:rsidRPr="00423845">
        <w:rPr>
          <w:rFonts w:ascii="Arial" w:hAnsi="Arial" w:cs="Arial"/>
        </w:rPr>
        <w:t xml:space="preserve">New Country Development </w:t>
      </w:r>
      <w:r w:rsidR="006319F7" w:rsidRPr="00423845">
        <w:rPr>
          <w:rFonts w:ascii="Arial" w:hAnsi="Arial" w:cs="Arial"/>
        </w:rPr>
        <w:t>comprises our</w:t>
      </w:r>
      <w:r w:rsidRPr="00423845">
        <w:rPr>
          <w:rFonts w:ascii="Arial" w:hAnsi="Arial" w:cs="Arial"/>
        </w:rPr>
        <w:t xml:space="preserve"> operations in Romania, Portugal and Germany. Sales were £</w:t>
      </w:r>
      <w:r w:rsidR="008E36A9" w:rsidRPr="00423845">
        <w:rPr>
          <w:rFonts w:ascii="Arial" w:hAnsi="Arial" w:cs="Arial"/>
        </w:rPr>
        <w:t>1</w:t>
      </w:r>
      <w:r w:rsidR="00423845" w:rsidRPr="0018703F">
        <w:rPr>
          <w:rFonts w:ascii="Arial" w:hAnsi="Arial" w:cs="Arial"/>
        </w:rPr>
        <w:t>74</w:t>
      </w:r>
      <w:r w:rsidR="008E36A9" w:rsidRPr="00423845">
        <w:rPr>
          <w:rFonts w:ascii="Arial" w:hAnsi="Arial" w:cs="Arial"/>
        </w:rPr>
        <w:t xml:space="preserve"> </w:t>
      </w:r>
      <w:r w:rsidRPr="00423845">
        <w:rPr>
          <w:rFonts w:ascii="Arial" w:hAnsi="Arial" w:cs="Arial"/>
        </w:rPr>
        <w:t xml:space="preserve">million </w:t>
      </w:r>
      <w:r w:rsidRPr="00162D50">
        <w:rPr>
          <w:rFonts w:ascii="Arial" w:hAnsi="Arial" w:cs="Arial"/>
        </w:rPr>
        <w:t xml:space="preserve">with </w:t>
      </w:r>
      <w:r w:rsidR="00C07FD9">
        <w:rPr>
          <w:rFonts w:ascii="Arial" w:hAnsi="Arial" w:cs="Arial"/>
        </w:rPr>
        <w:t xml:space="preserve">a </w:t>
      </w:r>
      <w:r w:rsidR="00162D50">
        <w:rPr>
          <w:rFonts w:ascii="Arial" w:hAnsi="Arial" w:cs="Arial"/>
        </w:rPr>
        <w:t xml:space="preserve">retail </w:t>
      </w:r>
      <w:r w:rsidRPr="00162D50">
        <w:rPr>
          <w:rFonts w:ascii="Arial" w:hAnsi="Arial" w:cs="Arial"/>
        </w:rPr>
        <w:t>loss of £</w:t>
      </w:r>
      <w:r w:rsidR="00306F64" w:rsidRPr="00162D50">
        <w:rPr>
          <w:rFonts w:ascii="Arial" w:hAnsi="Arial" w:cs="Arial"/>
        </w:rPr>
        <w:t>1</w:t>
      </w:r>
      <w:r w:rsidR="00306F64">
        <w:rPr>
          <w:rFonts w:ascii="Arial" w:hAnsi="Arial" w:cs="Arial"/>
        </w:rPr>
        <w:t>7</w:t>
      </w:r>
      <w:r w:rsidR="00306F64" w:rsidRPr="00162D50">
        <w:rPr>
          <w:rFonts w:ascii="Arial" w:hAnsi="Arial" w:cs="Arial"/>
        </w:rPr>
        <w:t xml:space="preserve"> </w:t>
      </w:r>
      <w:r w:rsidRPr="00162D50">
        <w:rPr>
          <w:rFonts w:ascii="Arial" w:hAnsi="Arial" w:cs="Arial"/>
        </w:rPr>
        <w:t>million (201</w:t>
      </w:r>
      <w:r w:rsidR="00D26880" w:rsidRPr="00162D50">
        <w:rPr>
          <w:rFonts w:ascii="Arial" w:hAnsi="Arial" w:cs="Arial"/>
        </w:rPr>
        <w:t>6</w:t>
      </w:r>
      <w:r w:rsidR="00822B9C" w:rsidRPr="00162D50">
        <w:rPr>
          <w:rFonts w:ascii="Arial" w:hAnsi="Arial" w:cs="Arial"/>
        </w:rPr>
        <w:t>/1</w:t>
      </w:r>
      <w:r w:rsidR="00D26880" w:rsidRPr="00162D50">
        <w:rPr>
          <w:rFonts w:ascii="Arial" w:hAnsi="Arial" w:cs="Arial"/>
        </w:rPr>
        <w:t>7</w:t>
      </w:r>
      <w:r w:rsidRPr="00162D50">
        <w:rPr>
          <w:rFonts w:ascii="Arial" w:hAnsi="Arial" w:cs="Arial"/>
        </w:rPr>
        <w:t>: £</w:t>
      </w:r>
      <w:r w:rsidR="001633F9" w:rsidRPr="00162D50">
        <w:rPr>
          <w:rFonts w:ascii="Arial" w:hAnsi="Arial" w:cs="Arial"/>
        </w:rPr>
        <w:t>1</w:t>
      </w:r>
      <w:r w:rsidR="00D26880" w:rsidRPr="00162D50">
        <w:rPr>
          <w:rFonts w:ascii="Arial" w:hAnsi="Arial" w:cs="Arial"/>
        </w:rPr>
        <w:t>6</w:t>
      </w:r>
      <w:r w:rsidR="008E36A9" w:rsidRPr="00162D50">
        <w:rPr>
          <w:rFonts w:ascii="Arial" w:hAnsi="Arial" w:cs="Arial"/>
        </w:rPr>
        <w:t xml:space="preserve"> </w:t>
      </w:r>
      <w:r w:rsidRPr="00162D50">
        <w:rPr>
          <w:rFonts w:ascii="Arial" w:hAnsi="Arial" w:cs="Arial"/>
        </w:rPr>
        <w:t>million</w:t>
      </w:r>
      <w:r w:rsidR="00C07FD9">
        <w:rPr>
          <w:rFonts w:ascii="Arial" w:hAnsi="Arial" w:cs="Arial"/>
        </w:rPr>
        <w:t xml:space="preserve"> </w:t>
      </w:r>
      <w:r w:rsidR="00E26457">
        <w:rPr>
          <w:rFonts w:ascii="Arial" w:hAnsi="Arial" w:cs="Arial"/>
        </w:rPr>
        <w:t xml:space="preserve">reported </w:t>
      </w:r>
      <w:r w:rsidR="00162D50">
        <w:rPr>
          <w:rFonts w:ascii="Arial" w:hAnsi="Arial" w:cs="Arial"/>
        </w:rPr>
        <w:t xml:space="preserve">retail </w:t>
      </w:r>
      <w:r w:rsidRPr="00162D50">
        <w:rPr>
          <w:rFonts w:ascii="Arial" w:hAnsi="Arial" w:cs="Arial"/>
        </w:rPr>
        <w:t>loss</w:t>
      </w:r>
      <w:r w:rsidR="00DC0114" w:rsidRPr="00162D50">
        <w:rPr>
          <w:rFonts w:ascii="Arial" w:hAnsi="Arial" w:cs="Arial"/>
        </w:rPr>
        <w:t>)</w:t>
      </w:r>
      <w:r w:rsidR="00AF715F" w:rsidRPr="00162D50">
        <w:rPr>
          <w:rFonts w:ascii="Arial" w:hAnsi="Arial" w:cs="Arial"/>
        </w:rPr>
        <w:t>.</w:t>
      </w:r>
      <w:r w:rsidR="00DC0114" w:rsidRPr="00162D50">
        <w:rPr>
          <w:rFonts w:ascii="Arial" w:hAnsi="Arial" w:cs="Arial"/>
        </w:rPr>
        <w:t xml:space="preserve"> </w:t>
      </w:r>
      <w:r w:rsidR="005709B5" w:rsidRPr="00162D50">
        <w:rPr>
          <w:rFonts w:ascii="Arial" w:hAnsi="Arial" w:cs="Arial"/>
        </w:rPr>
        <w:t>Romania</w:t>
      </w:r>
      <w:r w:rsidR="008E36A9" w:rsidRPr="00162D50">
        <w:rPr>
          <w:rFonts w:ascii="Arial" w:hAnsi="Arial" w:cs="Arial"/>
        </w:rPr>
        <w:t xml:space="preserve"> </w:t>
      </w:r>
      <w:r w:rsidR="00AF715F" w:rsidRPr="00162D50">
        <w:rPr>
          <w:rFonts w:ascii="Arial" w:hAnsi="Arial" w:cs="Arial"/>
        </w:rPr>
        <w:t xml:space="preserve">delivered a </w:t>
      </w:r>
      <w:r w:rsidR="00162D50" w:rsidRPr="0018703F">
        <w:rPr>
          <w:rFonts w:ascii="Arial" w:hAnsi="Arial" w:cs="Arial"/>
        </w:rPr>
        <w:t xml:space="preserve">£3 million </w:t>
      </w:r>
      <w:r w:rsidR="00162D50">
        <w:rPr>
          <w:rFonts w:ascii="Arial" w:hAnsi="Arial" w:cs="Arial"/>
        </w:rPr>
        <w:t xml:space="preserve">retail </w:t>
      </w:r>
      <w:r w:rsidR="00162D50" w:rsidRPr="0018703F">
        <w:rPr>
          <w:rFonts w:ascii="Arial" w:hAnsi="Arial" w:cs="Arial"/>
        </w:rPr>
        <w:t>profit</w:t>
      </w:r>
      <w:r w:rsidR="00AF715F" w:rsidRPr="00162D50">
        <w:rPr>
          <w:rFonts w:ascii="Arial" w:hAnsi="Arial" w:cs="Arial"/>
        </w:rPr>
        <w:t xml:space="preserve"> </w:t>
      </w:r>
      <w:r w:rsidR="008E36A9" w:rsidRPr="00162D50">
        <w:rPr>
          <w:rFonts w:ascii="Arial" w:hAnsi="Arial" w:cs="Arial"/>
        </w:rPr>
        <w:t>(201</w:t>
      </w:r>
      <w:r w:rsidR="00D26880" w:rsidRPr="00162D50">
        <w:rPr>
          <w:rFonts w:ascii="Arial" w:hAnsi="Arial" w:cs="Arial"/>
        </w:rPr>
        <w:t>6</w:t>
      </w:r>
      <w:r w:rsidR="008E36A9" w:rsidRPr="00162D50">
        <w:rPr>
          <w:rFonts w:ascii="Arial" w:hAnsi="Arial" w:cs="Arial"/>
        </w:rPr>
        <w:t>/1</w:t>
      </w:r>
      <w:r w:rsidR="00D26880" w:rsidRPr="00162D50">
        <w:rPr>
          <w:rFonts w:ascii="Arial" w:hAnsi="Arial" w:cs="Arial"/>
        </w:rPr>
        <w:t>7</w:t>
      </w:r>
      <w:r w:rsidR="008E36A9" w:rsidRPr="00162D50">
        <w:rPr>
          <w:rFonts w:ascii="Arial" w:hAnsi="Arial" w:cs="Arial"/>
        </w:rPr>
        <w:t xml:space="preserve">: </w:t>
      </w:r>
      <w:r w:rsidR="005B2D1B">
        <w:rPr>
          <w:rFonts w:ascii="Arial" w:hAnsi="Arial" w:cs="Arial"/>
        </w:rPr>
        <w:t>break even</w:t>
      </w:r>
      <w:r w:rsidR="00C07FD9">
        <w:rPr>
          <w:rFonts w:ascii="Arial" w:hAnsi="Arial" w:cs="Arial"/>
        </w:rPr>
        <w:t xml:space="preserve"> </w:t>
      </w:r>
      <w:r w:rsidR="00E26457">
        <w:rPr>
          <w:rFonts w:ascii="Arial" w:hAnsi="Arial" w:cs="Arial"/>
        </w:rPr>
        <w:t xml:space="preserve">reported </w:t>
      </w:r>
      <w:r w:rsidR="00C07FD9">
        <w:rPr>
          <w:rFonts w:ascii="Arial" w:hAnsi="Arial" w:cs="Arial"/>
        </w:rPr>
        <w:t>re</w:t>
      </w:r>
      <w:r w:rsidR="00295B76">
        <w:rPr>
          <w:rFonts w:ascii="Arial" w:hAnsi="Arial" w:cs="Arial"/>
        </w:rPr>
        <w:t>sult</w:t>
      </w:r>
      <w:r w:rsidR="008E36A9" w:rsidRPr="00162D50">
        <w:rPr>
          <w:rFonts w:ascii="Arial" w:hAnsi="Arial" w:cs="Arial"/>
        </w:rPr>
        <w:t>)</w:t>
      </w:r>
      <w:r w:rsidR="00241697" w:rsidRPr="00162D50">
        <w:rPr>
          <w:rFonts w:ascii="Arial" w:hAnsi="Arial" w:cs="Arial"/>
        </w:rPr>
        <w:t xml:space="preserve"> </w:t>
      </w:r>
      <w:r w:rsidR="008E36A9" w:rsidRPr="005B2D1B">
        <w:rPr>
          <w:rFonts w:ascii="Arial" w:hAnsi="Arial" w:cs="Arial"/>
        </w:rPr>
        <w:t xml:space="preserve">and </w:t>
      </w:r>
      <w:r w:rsidR="00AF715F" w:rsidRPr="005B2D1B">
        <w:rPr>
          <w:rFonts w:ascii="Arial" w:hAnsi="Arial" w:cs="Arial"/>
        </w:rPr>
        <w:t xml:space="preserve">Screwfix Germany </w:t>
      </w:r>
      <w:r w:rsidR="005B2D1B">
        <w:rPr>
          <w:rFonts w:ascii="Arial" w:hAnsi="Arial" w:cs="Arial"/>
        </w:rPr>
        <w:t>made</w:t>
      </w:r>
      <w:r w:rsidR="005A1FE8" w:rsidRPr="00162D50">
        <w:rPr>
          <w:rFonts w:ascii="Arial" w:hAnsi="Arial" w:cs="Arial"/>
        </w:rPr>
        <w:t xml:space="preserve"> a</w:t>
      </w:r>
      <w:r w:rsidR="00306F64">
        <w:rPr>
          <w:rFonts w:ascii="Arial" w:hAnsi="Arial" w:cs="Arial"/>
        </w:rPr>
        <w:t>n</w:t>
      </w:r>
      <w:r w:rsidR="00AF715F" w:rsidRPr="00162D50">
        <w:rPr>
          <w:rFonts w:ascii="Arial" w:hAnsi="Arial" w:cs="Arial"/>
        </w:rPr>
        <w:t xml:space="preserve"> </w:t>
      </w:r>
      <w:r w:rsidR="008E36A9" w:rsidRPr="00162D50">
        <w:rPr>
          <w:rFonts w:ascii="Arial" w:hAnsi="Arial" w:cs="Arial"/>
        </w:rPr>
        <w:t>£</w:t>
      </w:r>
      <w:r w:rsidR="00306F64" w:rsidRPr="00162D50">
        <w:rPr>
          <w:rFonts w:ascii="Arial" w:hAnsi="Arial" w:cs="Arial"/>
        </w:rPr>
        <w:t>1</w:t>
      </w:r>
      <w:r w:rsidR="00306F64">
        <w:rPr>
          <w:rFonts w:ascii="Arial" w:hAnsi="Arial" w:cs="Arial"/>
        </w:rPr>
        <w:t>8</w:t>
      </w:r>
      <w:r w:rsidR="00306F64" w:rsidRPr="00162D50">
        <w:rPr>
          <w:rFonts w:ascii="Arial" w:hAnsi="Arial" w:cs="Arial"/>
        </w:rPr>
        <w:t xml:space="preserve"> </w:t>
      </w:r>
      <w:r w:rsidR="008E36A9" w:rsidRPr="00162D50">
        <w:rPr>
          <w:rFonts w:ascii="Arial" w:hAnsi="Arial" w:cs="Arial"/>
        </w:rPr>
        <w:t xml:space="preserve">million </w:t>
      </w:r>
      <w:r w:rsidR="00162D50">
        <w:rPr>
          <w:rFonts w:ascii="Arial" w:hAnsi="Arial" w:cs="Arial"/>
        </w:rPr>
        <w:t xml:space="preserve">retail </w:t>
      </w:r>
      <w:r w:rsidR="008E36A9" w:rsidRPr="00162D50">
        <w:rPr>
          <w:rFonts w:ascii="Arial" w:hAnsi="Arial" w:cs="Arial"/>
        </w:rPr>
        <w:t xml:space="preserve">loss </w:t>
      </w:r>
      <w:r w:rsidR="00AF715F" w:rsidRPr="00162D50">
        <w:rPr>
          <w:rFonts w:ascii="Arial" w:hAnsi="Arial" w:cs="Arial"/>
        </w:rPr>
        <w:t>(</w:t>
      </w:r>
      <w:r w:rsidR="008E36A9" w:rsidRPr="00162D50">
        <w:rPr>
          <w:rFonts w:ascii="Arial" w:hAnsi="Arial" w:cs="Arial"/>
        </w:rPr>
        <w:t>201</w:t>
      </w:r>
      <w:r w:rsidR="00D26880" w:rsidRPr="00162D50">
        <w:rPr>
          <w:rFonts w:ascii="Arial" w:hAnsi="Arial" w:cs="Arial"/>
        </w:rPr>
        <w:t>6</w:t>
      </w:r>
      <w:r w:rsidR="008E36A9" w:rsidRPr="00162D50">
        <w:rPr>
          <w:rFonts w:ascii="Arial" w:hAnsi="Arial" w:cs="Arial"/>
        </w:rPr>
        <w:t>/1</w:t>
      </w:r>
      <w:r w:rsidR="00D26880" w:rsidRPr="00162D50">
        <w:rPr>
          <w:rFonts w:ascii="Arial" w:hAnsi="Arial" w:cs="Arial"/>
        </w:rPr>
        <w:t>7</w:t>
      </w:r>
      <w:r w:rsidR="008E36A9" w:rsidRPr="00162D50">
        <w:rPr>
          <w:rFonts w:ascii="Arial" w:hAnsi="Arial" w:cs="Arial"/>
        </w:rPr>
        <w:t>: £</w:t>
      </w:r>
      <w:r w:rsidR="00D26880" w:rsidRPr="00162D50">
        <w:rPr>
          <w:rFonts w:ascii="Arial" w:hAnsi="Arial" w:cs="Arial"/>
        </w:rPr>
        <w:t>14</w:t>
      </w:r>
      <w:r w:rsidR="008E36A9" w:rsidRPr="00162D50">
        <w:rPr>
          <w:rFonts w:ascii="Arial" w:hAnsi="Arial" w:cs="Arial"/>
        </w:rPr>
        <w:t xml:space="preserve"> million </w:t>
      </w:r>
      <w:r w:rsidR="00E26457">
        <w:rPr>
          <w:rFonts w:ascii="Arial" w:hAnsi="Arial" w:cs="Arial"/>
        </w:rPr>
        <w:t xml:space="preserve">reported </w:t>
      </w:r>
      <w:r w:rsidR="00162D50">
        <w:rPr>
          <w:rFonts w:ascii="Arial" w:hAnsi="Arial" w:cs="Arial"/>
        </w:rPr>
        <w:t xml:space="preserve">retail </w:t>
      </w:r>
      <w:r w:rsidR="008E36A9" w:rsidRPr="00162D50">
        <w:rPr>
          <w:rFonts w:ascii="Arial" w:hAnsi="Arial" w:cs="Arial"/>
        </w:rPr>
        <w:t>loss)</w:t>
      </w:r>
      <w:r w:rsidR="00295B76">
        <w:rPr>
          <w:rFonts w:ascii="Arial" w:hAnsi="Arial" w:cs="Arial"/>
        </w:rPr>
        <w:t xml:space="preserve"> largely</w:t>
      </w:r>
      <w:r w:rsidR="00A524EB">
        <w:rPr>
          <w:rFonts w:ascii="Arial" w:hAnsi="Arial" w:cs="Arial"/>
        </w:rPr>
        <w:t xml:space="preserve"> reflecting the </w:t>
      </w:r>
      <w:proofErr w:type="spellStart"/>
      <w:r w:rsidR="00A524EB">
        <w:rPr>
          <w:rFonts w:ascii="Arial" w:hAnsi="Arial" w:cs="Arial"/>
        </w:rPr>
        <w:t>annualisation</w:t>
      </w:r>
      <w:proofErr w:type="spellEnd"/>
      <w:r w:rsidR="00A524EB">
        <w:rPr>
          <w:rFonts w:ascii="Arial" w:hAnsi="Arial" w:cs="Arial"/>
        </w:rPr>
        <w:t xml:space="preserve"> of stores opened in the previous year</w:t>
      </w:r>
      <w:r w:rsidR="00241697" w:rsidRPr="00162D50">
        <w:rPr>
          <w:rFonts w:ascii="Arial" w:hAnsi="Arial" w:cs="Arial"/>
        </w:rPr>
        <w:t>.</w:t>
      </w:r>
      <w:r w:rsidR="008F033C">
        <w:rPr>
          <w:rFonts w:ascii="Arial" w:hAnsi="Arial" w:cs="Arial"/>
        </w:rPr>
        <w:t xml:space="preserve"> Further roll out of Screwfix Germany is on hold this year pending completion of the unified IT platform</w:t>
      </w:r>
      <w:r w:rsidR="00241E2E">
        <w:rPr>
          <w:rFonts w:ascii="Arial" w:hAnsi="Arial" w:cs="Arial"/>
        </w:rPr>
        <w:t xml:space="preserve"> roll out</w:t>
      </w:r>
      <w:r w:rsidR="008F033C">
        <w:rPr>
          <w:rFonts w:ascii="Arial" w:hAnsi="Arial" w:cs="Arial"/>
        </w:rPr>
        <w:t xml:space="preserve">. </w:t>
      </w:r>
    </w:p>
    <w:p w14:paraId="640EA61F" w14:textId="77777777" w:rsidR="004B36D9" w:rsidRDefault="004B36D9">
      <w:pPr>
        <w:jc w:val="left"/>
        <w:rPr>
          <w:rFonts w:ascii="Arial" w:hAnsi="Arial" w:cs="Arial"/>
          <w:b/>
          <w:bCs/>
          <w:sz w:val="24"/>
          <w:szCs w:val="24"/>
        </w:rPr>
      </w:pPr>
      <w:r>
        <w:rPr>
          <w:rFonts w:ascii="Arial" w:hAnsi="Arial" w:cs="Arial"/>
          <w:b/>
          <w:bCs/>
          <w:sz w:val="24"/>
          <w:szCs w:val="24"/>
        </w:rPr>
        <w:br w:type="page"/>
      </w:r>
    </w:p>
    <w:p w14:paraId="2107D891" w14:textId="4A6ADB8E" w:rsidR="007D43ED" w:rsidRPr="00A845B7" w:rsidRDefault="007D43ED" w:rsidP="007D43ED">
      <w:pPr>
        <w:jc w:val="left"/>
        <w:rPr>
          <w:rFonts w:ascii="Arial" w:hAnsi="Arial" w:cs="Arial"/>
          <w:b/>
          <w:bCs/>
        </w:rPr>
      </w:pPr>
      <w:r w:rsidRPr="00A845B7">
        <w:rPr>
          <w:rFonts w:ascii="Arial" w:hAnsi="Arial" w:cs="Arial"/>
          <w:b/>
          <w:bCs/>
        </w:rPr>
        <w:lastRenderedPageBreak/>
        <w:t xml:space="preserve">Section 3: FY </w:t>
      </w:r>
      <w:r w:rsidR="00D23E41" w:rsidRPr="00A845B7">
        <w:rPr>
          <w:rFonts w:ascii="Arial" w:hAnsi="Arial" w:cs="Arial"/>
          <w:b/>
          <w:bCs/>
        </w:rPr>
        <w:t>1</w:t>
      </w:r>
      <w:r w:rsidR="00D26880">
        <w:rPr>
          <w:rFonts w:ascii="Arial" w:hAnsi="Arial" w:cs="Arial"/>
          <w:b/>
          <w:bCs/>
        </w:rPr>
        <w:t>8</w:t>
      </w:r>
      <w:r w:rsidR="00F764D3" w:rsidRPr="00A845B7">
        <w:rPr>
          <w:rFonts w:ascii="Arial" w:hAnsi="Arial" w:cs="Arial"/>
          <w:b/>
          <w:bCs/>
        </w:rPr>
        <w:t>/1</w:t>
      </w:r>
      <w:r w:rsidR="00D26880">
        <w:rPr>
          <w:rFonts w:ascii="Arial" w:hAnsi="Arial" w:cs="Arial"/>
          <w:b/>
          <w:bCs/>
        </w:rPr>
        <w:t>9</w:t>
      </w:r>
      <w:r w:rsidRPr="00A845B7">
        <w:rPr>
          <w:rFonts w:ascii="Arial" w:hAnsi="Arial" w:cs="Arial"/>
          <w:b/>
          <w:bCs/>
        </w:rPr>
        <w:t xml:space="preserve"> Technical guidance </w:t>
      </w:r>
    </w:p>
    <w:p w14:paraId="450BFC55" w14:textId="77777777" w:rsidR="007D43ED" w:rsidRPr="00A845B7" w:rsidRDefault="007D43ED" w:rsidP="007D43ED">
      <w:pPr>
        <w:jc w:val="left"/>
        <w:rPr>
          <w:rFonts w:ascii="Arial" w:hAnsi="Arial" w:cs="Arial"/>
          <w:b/>
          <w:bCs/>
        </w:rPr>
      </w:pPr>
    </w:p>
    <w:p w14:paraId="77DC118E" w14:textId="77777777" w:rsidR="007D43ED" w:rsidRPr="00165A9B" w:rsidRDefault="002E501D" w:rsidP="00925EFB">
      <w:pPr>
        <w:jc w:val="left"/>
        <w:rPr>
          <w:rFonts w:ascii="Arial" w:hAnsi="Arial" w:cs="Arial"/>
          <w:b/>
          <w:bCs/>
        </w:rPr>
      </w:pPr>
      <w:r w:rsidRPr="00165A9B">
        <w:rPr>
          <w:rFonts w:ascii="Arial" w:hAnsi="Arial" w:cs="Arial"/>
          <w:b/>
          <w:bCs/>
        </w:rPr>
        <w:t>Emplo</w:t>
      </w:r>
      <w:r w:rsidR="00E5523A" w:rsidRPr="00165A9B">
        <w:rPr>
          <w:rFonts w:ascii="Arial" w:hAnsi="Arial" w:cs="Arial"/>
          <w:b/>
          <w:bCs/>
        </w:rPr>
        <w:t>yee</w:t>
      </w:r>
      <w:r w:rsidR="00B019FB" w:rsidRPr="00165A9B">
        <w:rPr>
          <w:rFonts w:ascii="Arial" w:hAnsi="Arial" w:cs="Arial"/>
          <w:b/>
          <w:bCs/>
        </w:rPr>
        <w:t>s</w:t>
      </w:r>
      <w:r w:rsidR="00E5523A" w:rsidRPr="00165A9B">
        <w:rPr>
          <w:rFonts w:ascii="Arial" w:hAnsi="Arial" w:cs="Arial"/>
          <w:b/>
          <w:bCs/>
        </w:rPr>
        <w:t>,</w:t>
      </w:r>
      <w:r w:rsidR="007D43ED" w:rsidRPr="00165A9B">
        <w:rPr>
          <w:rFonts w:ascii="Arial" w:hAnsi="Arial" w:cs="Arial"/>
          <w:b/>
          <w:bCs/>
        </w:rPr>
        <w:t xml:space="preserve"> new stores and space growth:</w:t>
      </w:r>
    </w:p>
    <w:tbl>
      <w:tblPr>
        <w:tblW w:w="5000" w:type="pct"/>
        <w:tblInd w:w="2" w:type="dxa"/>
        <w:tblLayout w:type="fixed"/>
        <w:tblLook w:val="01E0" w:firstRow="1" w:lastRow="1" w:firstColumn="1" w:lastColumn="1" w:noHBand="0" w:noVBand="0"/>
      </w:tblPr>
      <w:tblGrid>
        <w:gridCol w:w="2405"/>
        <w:gridCol w:w="1527"/>
        <w:gridCol w:w="1275"/>
        <w:gridCol w:w="1600"/>
        <w:gridCol w:w="1417"/>
        <w:gridCol w:w="1417"/>
      </w:tblGrid>
      <w:tr w:rsidR="001178CC" w:rsidRPr="00A845B7" w14:paraId="70C384CC" w14:textId="77777777" w:rsidTr="00FD5A2D">
        <w:trPr>
          <w:trHeight w:val="739"/>
        </w:trPr>
        <w:tc>
          <w:tcPr>
            <w:tcW w:w="1247" w:type="pct"/>
          </w:tcPr>
          <w:p w14:paraId="509A7C21" w14:textId="77777777" w:rsidR="001178CC" w:rsidRPr="00A845B7" w:rsidRDefault="001178CC" w:rsidP="00FD5A2D">
            <w:pPr>
              <w:ind w:left="110" w:hanging="110"/>
              <w:jc w:val="left"/>
              <w:rPr>
                <w:rFonts w:ascii="Arial" w:hAnsi="Arial" w:cs="Arial"/>
              </w:rPr>
            </w:pPr>
          </w:p>
          <w:p w14:paraId="5198EE74" w14:textId="77777777" w:rsidR="001178CC" w:rsidRPr="00A845B7" w:rsidRDefault="001178CC" w:rsidP="00FD5A2D">
            <w:pPr>
              <w:jc w:val="left"/>
              <w:rPr>
                <w:rFonts w:ascii="Arial" w:hAnsi="Arial" w:cs="Arial"/>
                <w:b/>
                <w:bCs/>
              </w:rPr>
            </w:pPr>
          </w:p>
        </w:tc>
        <w:tc>
          <w:tcPr>
            <w:tcW w:w="792" w:type="pct"/>
          </w:tcPr>
          <w:p w14:paraId="7300CAA1" w14:textId="77777777" w:rsidR="0041662F" w:rsidRPr="00A845B7" w:rsidRDefault="0041662F" w:rsidP="00FD5A2D">
            <w:pPr>
              <w:ind w:left="110" w:hanging="110"/>
              <w:jc w:val="right"/>
              <w:rPr>
                <w:rFonts w:ascii="Arial" w:hAnsi="Arial" w:cs="Arial"/>
                <w:b/>
                <w:bCs/>
              </w:rPr>
            </w:pPr>
          </w:p>
          <w:p w14:paraId="006A7150" w14:textId="77777777" w:rsidR="001178CC" w:rsidRPr="00A845B7" w:rsidRDefault="001178CC" w:rsidP="00FD5A2D">
            <w:pPr>
              <w:ind w:left="110" w:hanging="110"/>
              <w:jc w:val="right"/>
              <w:rPr>
                <w:rFonts w:ascii="Arial" w:hAnsi="Arial" w:cs="Arial"/>
                <w:b/>
                <w:bCs/>
              </w:rPr>
            </w:pPr>
            <w:r w:rsidRPr="00A845B7">
              <w:rPr>
                <w:rFonts w:ascii="Arial" w:hAnsi="Arial" w:cs="Arial"/>
                <w:b/>
                <w:bCs/>
              </w:rPr>
              <w:t>Employees</w:t>
            </w:r>
          </w:p>
          <w:p w14:paraId="0E89B00E" w14:textId="77777777" w:rsidR="0041662F" w:rsidRPr="00A845B7" w:rsidRDefault="001178CC" w:rsidP="00FD5A2D">
            <w:pPr>
              <w:ind w:left="110" w:hanging="110"/>
              <w:jc w:val="right"/>
              <w:rPr>
                <w:rFonts w:ascii="Arial" w:hAnsi="Arial" w:cs="Arial"/>
                <w:b/>
                <w:bCs/>
              </w:rPr>
            </w:pPr>
            <w:r w:rsidRPr="00A845B7">
              <w:rPr>
                <w:rFonts w:ascii="Arial" w:hAnsi="Arial" w:cs="Arial"/>
                <w:b/>
                <w:bCs/>
              </w:rPr>
              <w:t>(FTE)</w:t>
            </w:r>
            <w:r w:rsidR="0041662F" w:rsidRPr="00A845B7">
              <w:rPr>
                <w:rFonts w:ascii="Arial" w:hAnsi="Arial" w:cs="Arial"/>
                <w:b/>
                <w:bCs/>
              </w:rPr>
              <w:t xml:space="preserve"> </w:t>
            </w:r>
          </w:p>
          <w:p w14:paraId="5333C015" w14:textId="33F1578E" w:rsidR="001178CC" w:rsidRPr="00A845B7" w:rsidRDefault="0041662F">
            <w:pPr>
              <w:ind w:left="110" w:hanging="110"/>
              <w:jc w:val="right"/>
              <w:rPr>
                <w:rFonts w:ascii="Arial" w:hAnsi="Arial" w:cs="Arial"/>
                <w:b/>
                <w:bCs/>
              </w:rPr>
            </w:pPr>
            <w:r w:rsidRPr="00A845B7">
              <w:rPr>
                <w:rFonts w:ascii="Arial" w:hAnsi="Arial" w:cs="Arial"/>
                <w:b/>
                <w:bCs/>
              </w:rPr>
              <w:t xml:space="preserve">at </w:t>
            </w:r>
            <w:r w:rsidR="00931630" w:rsidRPr="00A845B7">
              <w:rPr>
                <w:rFonts w:ascii="Arial" w:hAnsi="Arial" w:cs="Arial"/>
                <w:b/>
                <w:bCs/>
              </w:rPr>
              <w:t>31 J</w:t>
            </w:r>
            <w:r w:rsidR="00F764D3" w:rsidRPr="00A845B7">
              <w:rPr>
                <w:rFonts w:ascii="Arial" w:hAnsi="Arial" w:cs="Arial"/>
                <w:b/>
                <w:bCs/>
              </w:rPr>
              <w:t>an</w:t>
            </w:r>
            <w:r w:rsidR="00931630" w:rsidRPr="00A845B7">
              <w:rPr>
                <w:rFonts w:ascii="Arial" w:hAnsi="Arial" w:cs="Arial"/>
                <w:b/>
                <w:bCs/>
              </w:rPr>
              <w:t xml:space="preserve"> </w:t>
            </w:r>
            <w:r w:rsidRPr="00A845B7">
              <w:rPr>
                <w:rFonts w:ascii="Arial" w:hAnsi="Arial" w:cs="Arial"/>
                <w:b/>
                <w:bCs/>
              </w:rPr>
              <w:t>201</w:t>
            </w:r>
            <w:r w:rsidR="00D26880">
              <w:rPr>
                <w:rFonts w:ascii="Arial" w:hAnsi="Arial" w:cs="Arial"/>
                <w:b/>
                <w:bCs/>
              </w:rPr>
              <w:t>8</w:t>
            </w:r>
          </w:p>
        </w:tc>
        <w:tc>
          <w:tcPr>
            <w:tcW w:w="661" w:type="pct"/>
          </w:tcPr>
          <w:p w14:paraId="035CD769" w14:textId="77777777" w:rsidR="0041662F" w:rsidRPr="00A845B7" w:rsidRDefault="0041662F" w:rsidP="00FD5A2D">
            <w:pPr>
              <w:ind w:left="110" w:hanging="110"/>
              <w:jc w:val="right"/>
              <w:rPr>
                <w:rFonts w:ascii="Arial" w:hAnsi="Arial" w:cs="Arial"/>
                <w:b/>
                <w:bCs/>
              </w:rPr>
            </w:pPr>
          </w:p>
          <w:p w14:paraId="1BC096FC" w14:textId="77777777" w:rsidR="001178CC" w:rsidRPr="00A845B7" w:rsidRDefault="001178CC" w:rsidP="00FD5A2D">
            <w:pPr>
              <w:ind w:left="110" w:hanging="110"/>
              <w:jc w:val="right"/>
              <w:rPr>
                <w:rFonts w:ascii="Arial" w:hAnsi="Arial" w:cs="Arial"/>
                <w:b/>
                <w:bCs/>
              </w:rPr>
            </w:pPr>
            <w:r w:rsidRPr="00A845B7">
              <w:rPr>
                <w:rFonts w:ascii="Arial" w:hAnsi="Arial" w:cs="Arial"/>
                <w:b/>
                <w:bCs/>
              </w:rPr>
              <w:t xml:space="preserve">Store </w:t>
            </w:r>
          </w:p>
          <w:p w14:paraId="466D1218" w14:textId="4CB8BE99" w:rsidR="001178CC" w:rsidRPr="00A845B7" w:rsidRDefault="0041662F">
            <w:pPr>
              <w:ind w:left="110" w:hanging="110"/>
              <w:jc w:val="right"/>
              <w:rPr>
                <w:rFonts w:ascii="Arial" w:hAnsi="Arial" w:cs="Arial"/>
                <w:b/>
                <w:bCs/>
              </w:rPr>
            </w:pPr>
            <w:r w:rsidRPr="00A845B7">
              <w:rPr>
                <w:rFonts w:ascii="Arial" w:hAnsi="Arial" w:cs="Arial"/>
                <w:b/>
                <w:bCs/>
              </w:rPr>
              <w:t>N</w:t>
            </w:r>
            <w:r w:rsidR="001178CC" w:rsidRPr="00A845B7">
              <w:rPr>
                <w:rFonts w:ascii="Arial" w:hAnsi="Arial" w:cs="Arial"/>
                <w:b/>
                <w:bCs/>
              </w:rPr>
              <w:t>umbers</w:t>
            </w:r>
            <w:r w:rsidRPr="00A845B7">
              <w:rPr>
                <w:rFonts w:ascii="Arial" w:hAnsi="Arial" w:cs="Arial"/>
                <w:b/>
                <w:bCs/>
              </w:rPr>
              <w:t xml:space="preserve"> at 31 </w:t>
            </w:r>
            <w:r w:rsidR="00931630" w:rsidRPr="00A845B7">
              <w:rPr>
                <w:rFonts w:ascii="Arial" w:hAnsi="Arial" w:cs="Arial"/>
                <w:b/>
                <w:bCs/>
              </w:rPr>
              <w:t>J</w:t>
            </w:r>
            <w:r w:rsidR="00F764D3" w:rsidRPr="00A845B7">
              <w:rPr>
                <w:rFonts w:ascii="Arial" w:hAnsi="Arial" w:cs="Arial"/>
                <w:b/>
                <w:bCs/>
              </w:rPr>
              <w:t>an</w:t>
            </w:r>
            <w:r w:rsidR="00931630" w:rsidRPr="00A845B7">
              <w:rPr>
                <w:rFonts w:ascii="Arial" w:hAnsi="Arial" w:cs="Arial"/>
                <w:b/>
                <w:bCs/>
              </w:rPr>
              <w:t xml:space="preserve"> </w:t>
            </w:r>
            <w:r w:rsidR="00F764D3" w:rsidRPr="00A845B7">
              <w:rPr>
                <w:rFonts w:ascii="Arial" w:hAnsi="Arial" w:cs="Arial"/>
                <w:b/>
                <w:bCs/>
              </w:rPr>
              <w:t>201</w:t>
            </w:r>
            <w:r w:rsidR="00D26880">
              <w:rPr>
                <w:rFonts w:ascii="Arial" w:hAnsi="Arial" w:cs="Arial"/>
                <w:b/>
                <w:bCs/>
              </w:rPr>
              <w:t>8</w:t>
            </w:r>
          </w:p>
        </w:tc>
        <w:tc>
          <w:tcPr>
            <w:tcW w:w="830" w:type="pct"/>
          </w:tcPr>
          <w:p w14:paraId="615C06AC" w14:textId="77777777" w:rsidR="0041662F" w:rsidRPr="00A845B7" w:rsidRDefault="0041662F" w:rsidP="00FD5A2D">
            <w:pPr>
              <w:ind w:left="110" w:hanging="110"/>
              <w:jc w:val="right"/>
              <w:rPr>
                <w:rFonts w:ascii="Arial" w:hAnsi="Arial" w:cs="Arial"/>
                <w:b/>
                <w:bCs/>
              </w:rPr>
            </w:pPr>
          </w:p>
          <w:p w14:paraId="2278DA2A" w14:textId="77777777" w:rsidR="001178CC" w:rsidRPr="00A845B7" w:rsidRDefault="0041662F" w:rsidP="00FD5A2D">
            <w:pPr>
              <w:ind w:left="110" w:hanging="110"/>
              <w:jc w:val="right"/>
              <w:rPr>
                <w:rFonts w:ascii="Arial" w:hAnsi="Arial" w:cs="Arial"/>
                <w:b/>
                <w:bCs/>
              </w:rPr>
            </w:pPr>
            <w:r w:rsidRPr="00A845B7">
              <w:rPr>
                <w:rFonts w:ascii="Arial" w:hAnsi="Arial" w:cs="Arial"/>
                <w:b/>
                <w:bCs/>
              </w:rPr>
              <w:t xml:space="preserve">Sales area </w:t>
            </w:r>
            <w:r w:rsidRPr="00A845B7">
              <w:rPr>
                <w:rFonts w:ascii="Arial" w:hAnsi="Arial" w:cs="Arial"/>
                <w:b/>
                <w:bCs/>
                <w:vertAlign w:val="superscript"/>
              </w:rPr>
              <w:t>(1)</w:t>
            </w:r>
          </w:p>
          <w:p w14:paraId="11564365" w14:textId="77777777" w:rsidR="0041662F" w:rsidRPr="00A845B7" w:rsidRDefault="001178CC" w:rsidP="00FD5A2D">
            <w:pPr>
              <w:ind w:left="110" w:hanging="110"/>
              <w:jc w:val="right"/>
              <w:rPr>
                <w:rFonts w:ascii="Arial" w:hAnsi="Arial" w:cs="Arial"/>
                <w:b/>
                <w:bCs/>
              </w:rPr>
            </w:pPr>
            <w:r w:rsidRPr="00A845B7">
              <w:rPr>
                <w:rFonts w:ascii="Arial" w:hAnsi="Arial" w:cs="Arial"/>
                <w:b/>
                <w:bCs/>
              </w:rPr>
              <w:t>(000s m</w:t>
            </w:r>
            <w:r w:rsidRPr="00A845B7">
              <w:rPr>
                <w:rFonts w:ascii="Arial" w:hAnsi="Arial" w:cs="Arial"/>
                <w:b/>
                <w:bCs/>
                <w:vertAlign w:val="superscript"/>
              </w:rPr>
              <w:t>2</w:t>
            </w:r>
            <w:r w:rsidRPr="00A845B7">
              <w:rPr>
                <w:rFonts w:ascii="Arial" w:hAnsi="Arial" w:cs="Arial"/>
                <w:b/>
                <w:bCs/>
              </w:rPr>
              <w:t>)</w:t>
            </w:r>
            <w:r w:rsidR="0041662F" w:rsidRPr="00A845B7">
              <w:rPr>
                <w:rFonts w:ascii="Arial" w:hAnsi="Arial" w:cs="Arial"/>
                <w:b/>
                <w:bCs/>
              </w:rPr>
              <w:t xml:space="preserve"> </w:t>
            </w:r>
          </w:p>
          <w:p w14:paraId="35642DC4" w14:textId="6674CF84" w:rsidR="001178CC" w:rsidRPr="00A845B7" w:rsidRDefault="0041662F">
            <w:pPr>
              <w:ind w:left="110" w:hanging="110"/>
              <w:jc w:val="right"/>
              <w:rPr>
                <w:rFonts w:ascii="Arial" w:hAnsi="Arial" w:cs="Arial"/>
                <w:b/>
                <w:bCs/>
              </w:rPr>
            </w:pPr>
            <w:r w:rsidRPr="00A845B7">
              <w:rPr>
                <w:rFonts w:ascii="Arial" w:hAnsi="Arial" w:cs="Arial"/>
                <w:b/>
                <w:bCs/>
              </w:rPr>
              <w:t xml:space="preserve">at 31 </w:t>
            </w:r>
            <w:r w:rsidR="00F764D3" w:rsidRPr="00A845B7">
              <w:rPr>
                <w:rFonts w:ascii="Arial" w:hAnsi="Arial" w:cs="Arial"/>
                <w:b/>
                <w:bCs/>
              </w:rPr>
              <w:t xml:space="preserve">Jan </w:t>
            </w:r>
            <w:r w:rsidRPr="00A845B7">
              <w:rPr>
                <w:rFonts w:ascii="Arial" w:hAnsi="Arial" w:cs="Arial"/>
                <w:b/>
                <w:bCs/>
              </w:rPr>
              <w:t>201</w:t>
            </w:r>
            <w:r w:rsidR="00D26880">
              <w:rPr>
                <w:rFonts w:ascii="Arial" w:hAnsi="Arial" w:cs="Arial"/>
                <w:b/>
                <w:bCs/>
              </w:rPr>
              <w:t>8</w:t>
            </w:r>
          </w:p>
        </w:tc>
        <w:tc>
          <w:tcPr>
            <w:tcW w:w="735" w:type="pct"/>
          </w:tcPr>
          <w:p w14:paraId="5F3C9B42" w14:textId="77777777" w:rsidR="0041662F" w:rsidRPr="00A845B7" w:rsidRDefault="0041662F" w:rsidP="00FD5A2D">
            <w:pPr>
              <w:ind w:left="110" w:hanging="110"/>
              <w:jc w:val="right"/>
              <w:rPr>
                <w:rFonts w:ascii="Arial" w:hAnsi="Arial" w:cs="Arial"/>
                <w:b/>
                <w:bCs/>
              </w:rPr>
            </w:pPr>
          </w:p>
          <w:p w14:paraId="331D11C3" w14:textId="77777777" w:rsidR="00C449AA" w:rsidRPr="00A845B7" w:rsidRDefault="00C449AA" w:rsidP="00FD5A2D">
            <w:pPr>
              <w:ind w:left="110" w:hanging="110"/>
              <w:jc w:val="right"/>
              <w:rPr>
                <w:rFonts w:ascii="Arial" w:hAnsi="Arial" w:cs="Arial"/>
                <w:b/>
                <w:bCs/>
              </w:rPr>
            </w:pPr>
          </w:p>
          <w:p w14:paraId="7D3F370F" w14:textId="77777777" w:rsidR="001178CC" w:rsidRPr="00A845B7" w:rsidRDefault="001178CC" w:rsidP="00FD5A2D">
            <w:pPr>
              <w:ind w:left="110" w:hanging="110"/>
              <w:jc w:val="right"/>
              <w:rPr>
                <w:rFonts w:ascii="Arial" w:hAnsi="Arial" w:cs="Arial"/>
                <w:b/>
                <w:bCs/>
              </w:rPr>
            </w:pPr>
            <w:r w:rsidRPr="00A845B7">
              <w:rPr>
                <w:rFonts w:ascii="Arial" w:hAnsi="Arial" w:cs="Arial"/>
                <w:b/>
                <w:bCs/>
              </w:rPr>
              <w:t>Net new stores</w:t>
            </w:r>
          </w:p>
          <w:p w14:paraId="7D3036C0" w14:textId="0075BC45" w:rsidR="00C449AA" w:rsidRPr="00A845B7" w:rsidRDefault="00C449AA">
            <w:pPr>
              <w:ind w:left="110" w:hanging="110"/>
              <w:jc w:val="right"/>
              <w:rPr>
                <w:rFonts w:ascii="Arial" w:hAnsi="Arial" w:cs="Arial"/>
                <w:b/>
                <w:bCs/>
              </w:rPr>
            </w:pPr>
            <w:r w:rsidRPr="00A845B7">
              <w:rPr>
                <w:rFonts w:ascii="Arial" w:hAnsi="Arial" w:cs="Arial"/>
                <w:b/>
                <w:bCs/>
              </w:rPr>
              <w:t>FY 1</w:t>
            </w:r>
            <w:r w:rsidR="00D26880">
              <w:rPr>
                <w:rFonts w:ascii="Arial" w:hAnsi="Arial" w:cs="Arial"/>
                <w:b/>
                <w:bCs/>
              </w:rPr>
              <w:t>8</w:t>
            </w:r>
            <w:r w:rsidR="00F764D3" w:rsidRPr="00A845B7">
              <w:rPr>
                <w:rFonts w:ascii="Arial" w:hAnsi="Arial" w:cs="Arial"/>
                <w:b/>
                <w:bCs/>
              </w:rPr>
              <w:t>/1</w:t>
            </w:r>
            <w:r w:rsidR="00D26880">
              <w:rPr>
                <w:rFonts w:ascii="Arial" w:hAnsi="Arial" w:cs="Arial"/>
                <w:b/>
                <w:bCs/>
              </w:rPr>
              <w:t>9</w:t>
            </w:r>
          </w:p>
        </w:tc>
        <w:tc>
          <w:tcPr>
            <w:tcW w:w="735" w:type="pct"/>
          </w:tcPr>
          <w:p w14:paraId="3DB17124" w14:textId="77777777" w:rsidR="0041662F" w:rsidRPr="00A845B7" w:rsidRDefault="0041662F" w:rsidP="00FD5A2D">
            <w:pPr>
              <w:ind w:left="110" w:hanging="110"/>
              <w:jc w:val="center"/>
              <w:rPr>
                <w:rFonts w:ascii="Arial" w:hAnsi="Arial" w:cs="Arial"/>
                <w:b/>
                <w:bCs/>
              </w:rPr>
            </w:pPr>
          </w:p>
          <w:p w14:paraId="5B4E42A0" w14:textId="77777777" w:rsidR="00C449AA" w:rsidRPr="00A845B7" w:rsidRDefault="00C449AA" w:rsidP="00440B16">
            <w:pPr>
              <w:ind w:left="110" w:hanging="110"/>
              <w:jc w:val="right"/>
              <w:rPr>
                <w:rFonts w:ascii="Arial" w:hAnsi="Arial" w:cs="Arial"/>
                <w:b/>
                <w:bCs/>
              </w:rPr>
            </w:pPr>
          </w:p>
          <w:p w14:paraId="645ED814" w14:textId="77777777" w:rsidR="001178CC" w:rsidRPr="00A845B7" w:rsidRDefault="001178CC" w:rsidP="00440B16">
            <w:pPr>
              <w:ind w:left="110" w:hanging="110"/>
              <w:jc w:val="right"/>
              <w:rPr>
                <w:rFonts w:ascii="Arial" w:hAnsi="Arial" w:cs="Arial"/>
                <w:b/>
                <w:bCs/>
              </w:rPr>
            </w:pPr>
            <w:r w:rsidRPr="00A845B7">
              <w:rPr>
                <w:rFonts w:ascii="Arial" w:hAnsi="Arial" w:cs="Arial"/>
                <w:b/>
                <w:bCs/>
              </w:rPr>
              <w:t>Space</w:t>
            </w:r>
          </w:p>
          <w:p w14:paraId="25945CF2" w14:textId="77777777" w:rsidR="001178CC" w:rsidRPr="00A845B7" w:rsidRDefault="001178CC" w:rsidP="00440B16">
            <w:pPr>
              <w:ind w:left="110" w:hanging="110"/>
              <w:jc w:val="right"/>
              <w:rPr>
                <w:rFonts w:ascii="Arial" w:hAnsi="Arial" w:cs="Arial"/>
                <w:b/>
                <w:bCs/>
              </w:rPr>
            </w:pPr>
            <w:r w:rsidRPr="00A845B7">
              <w:rPr>
                <w:rFonts w:ascii="Arial" w:hAnsi="Arial" w:cs="Arial"/>
                <w:b/>
                <w:bCs/>
              </w:rPr>
              <w:t>% change</w:t>
            </w:r>
          </w:p>
          <w:p w14:paraId="47BE760C" w14:textId="3FC45079" w:rsidR="00C449AA" w:rsidRPr="00A845B7" w:rsidRDefault="00C449AA">
            <w:pPr>
              <w:ind w:left="110" w:hanging="110"/>
              <w:jc w:val="right"/>
              <w:rPr>
                <w:rFonts w:ascii="Arial" w:hAnsi="Arial" w:cs="Arial"/>
                <w:b/>
                <w:bCs/>
              </w:rPr>
            </w:pPr>
            <w:r w:rsidRPr="00A845B7">
              <w:rPr>
                <w:rFonts w:ascii="Arial" w:hAnsi="Arial" w:cs="Arial"/>
                <w:b/>
                <w:bCs/>
              </w:rPr>
              <w:t>FY 1</w:t>
            </w:r>
            <w:r w:rsidR="00D26880">
              <w:rPr>
                <w:rFonts w:ascii="Arial" w:hAnsi="Arial" w:cs="Arial"/>
                <w:b/>
                <w:bCs/>
              </w:rPr>
              <w:t>8</w:t>
            </w:r>
            <w:r w:rsidR="00F764D3" w:rsidRPr="00A845B7">
              <w:rPr>
                <w:rFonts w:ascii="Arial" w:hAnsi="Arial" w:cs="Arial"/>
                <w:b/>
                <w:bCs/>
              </w:rPr>
              <w:t>/1</w:t>
            </w:r>
            <w:r w:rsidR="00D26880">
              <w:rPr>
                <w:rFonts w:ascii="Arial" w:hAnsi="Arial" w:cs="Arial"/>
                <w:b/>
                <w:bCs/>
              </w:rPr>
              <w:t>9</w:t>
            </w:r>
          </w:p>
        </w:tc>
      </w:tr>
      <w:tr w:rsidR="00B87095" w:rsidRPr="00A845B7" w14:paraId="1D8FAFDD" w14:textId="77777777" w:rsidTr="00925EFB">
        <w:tc>
          <w:tcPr>
            <w:tcW w:w="1247" w:type="pct"/>
            <w:tcBorders>
              <w:top w:val="single" w:sz="4" w:space="0" w:color="auto"/>
            </w:tcBorders>
          </w:tcPr>
          <w:p w14:paraId="17CA692B" w14:textId="77777777" w:rsidR="00B87095" w:rsidRPr="00A845B7" w:rsidRDefault="00B87095" w:rsidP="00B87095">
            <w:pPr>
              <w:spacing w:before="60"/>
              <w:jc w:val="left"/>
              <w:rPr>
                <w:rFonts w:ascii="Arial" w:hAnsi="Arial" w:cs="Arial"/>
              </w:rPr>
            </w:pPr>
            <w:r w:rsidRPr="00A845B7">
              <w:rPr>
                <w:rFonts w:ascii="Arial" w:hAnsi="Arial" w:cs="Arial"/>
              </w:rPr>
              <w:t>B&amp;Q UK &amp; Ireland</w:t>
            </w:r>
          </w:p>
        </w:tc>
        <w:tc>
          <w:tcPr>
            <w:tcW w:w="792" w:type="pct"/>
            <w:tcBorders>
              <w:top w:val="single" w:sz="4" w:space="0" w:color="auto"/>
            </w:tcBorders>
          </w:tcPr>
          <w:p w14:paraId="4B314F31" w14:textId="4400E231" w:rsidR="00B87095" w:rsidRPr="00342365" w:rsidRDefault="00B87095" w:rsidP="00B87095">
            <w:pPr>
              <w:spacing w:before="60"/>
              <w:ind w:left="110" w:hanging="110"/>
              <w:jc w:val="right"/>
              <w:rPr>
                <w:rFonts w:ascii="Arial" w:hAnsi="Arial" w:cs="Arial"/>
              </w:rPr>
            </w:pPr>
            <w:r w:rsidRPr="00342365">
              <w:rPr>
                <w:rFonts w:ascii="Arial" w:hAnsi="Arial" w:cs="Arial"/>
              </w:rPr>
              <w:t>1</w:t>
            </w:r>
            <w:r w:rsidR="00E54CF3">
              <w:rPr>
                <w:rFonts w:ascii="Arial" w:hAnsi="Arial" w:cs="Arial"/>
              </w:rPr>
              <w:t>7,099</w:t>
            </w:r>
          </w:p>
        </w:tc>
        <w:tc>
          <w:tcPr>
            <w:tcW w:w="661" w:type="pct"/>
            <w:tcBorders>
              <w:top w:val="single" w:sz="4" w:space="0" w:color="auto"/>
            </w:tcBorders>
          </w:tcPr>
          <w:p w14:paraId="3DB7E9F6" w14:textId="70F25321" w:rsidR="00B87095" w:rsidRPr="00342365" w:rsidRDefault="00B87095" w:rsidP="00B87095">
            <w:pPr>
              <w:spacing w:before="60"/>
              <w:ind w:left="110" w:hanging="110"/>
              <w:jc w:val="right"/>
              <w:rPr>
                <w:rFonts w:ascii="Arial" w:hAnsi="Arial" w:cs="Arial"/>
              </w:rPr>
            </w:pPr>
            <w:r w:rsidRPr="00342365">
              <w:rPr>
                <w:rFonts w:ascii="Arial" w:hAnsi="Arial" w:cs="Arial"/>
              </w:rPr>
              <w:t>29</w:t>
            </w:r>
            <w:r w:rsidR="00E54CF3">
              <w:rPr>
                <w:rFonts w:ascii="Arial" w:hAnsi="Arial" w:cs="Arial"/>
              </w:rPr>
              <w:t>6</w:t>
            </w:r>
          </w:p>
        </w:tc>
        <w:tc>
          <w:tcPr>
            <w:tcW w:w="830" w:type="pct"/>
            <w:tcBorders>
              <w:top w:val="single" w:sz="4" w:space="0" w:color="auto"/>
            </w:tcBorders>
          </w:tcPr>
          <w:p w14:paraId="53975011" w14:textId="1B6C1752" w:rsidR="00B87095" w:rsidRPr="00342365" w:rsidRDefault="00B87095" w:rsidP="00B87095">
            <w:pPr>
              <w:spacing w:before="60"/>
              <w:ind w:left="110" w:hanging="110"/>
              <w:jc w:val="right"/>
              <w:rPr>
                <w:rFonts w:ascii="Arial" w:hAnsi="Arial" w:cs="Arial"/>
              </w:rPr>
            </w:pPr>
            <w:r w:rsidRPr="00342365">
              <w:rPr>
                <w:rFonts w:ascii="Arial" w:hAnsi="Arial" w:cs="Arial"/>
              </w:rPr>
              <w:t>2,2</w:t>
            </w:r>
            <w:r w:rsidR="00F21498">
              <w:rPr>
                <w:rFonts w:ascii="Arial" w:hAnsi="Arial" w:cs="Arial"/>
              </w:rPr>
              <w:t>1</w:t>
            </w:r>
            <w:r w:rsidR="00E54CF3">
              <w:rPr>
                <w:rFonts w:ascii="Arial" w:hAnsi="Arial" w:cs="Arial"/>
              </w:rPr>
              <w:t>0</w:t>
            </w:r>
          </w:p>
        </w:tc>
        <w:tc>
          <w:tcPr>
            <w:tcW w:w="735" w:type="pct"/>
            <w:tcBorders>
              <w:top w:val="single" w:sz="4" w:space="0" w:color="auto"/>
            </w:tcBorders>
          </w:tcPr>
          <w:p w14:paraId="6EE783E0" w14:textId="1CC761DC" w:rsidR="00B87095" w:rsidRPr="002146A2" w:rsidRDefault="00492A3F" w:rsidP="00B87095">
            <w:pPr>
              <w:spacing w:before="60"/>
              <w:ind w:left="110" w:hanging="110"/>
              <w:jc w:val="right"/>
              <w:rPr>
                <w:rFonts w:ascii="Arial" w:hAnsi="Arial" w:cs="Arial"/>
              </w:rPr>
            </w:pPr>
            <w:r w:rsidRPr="002146A2">
              <w:rPr>
                <w:rFonts w:ascii="Arial" w:hAnsi="Arial" w:cs="Arial"/>
              </w:rPr>
              <w:t>-</w:t>
            </w:r>
          </w:p>
        </w:tc>
        <w:tc>
          <w:tcPr>
            <w:tcW w:w="735" w:type="pct"/>
            <w:tcBorders>
              <w:top w:val="single" w:sz="4" w:space="0" w:color="auto"/>
            </w:tcBorders>
          </w:tcPr>
          <w:p w14:paraId="42BB1133" w14:textId="77777777" w:rsidR="00B87095" w:rsidRPr="002146A2" w:rsidRDefault="00B87095" w:rsidP="00B87095">
            <w:pPr>
              <w:spacing w:before="60"/>
              <w:ind w:left="110" w:hanging="110"/>
              <w:jc w:val="right"/>
              <w:rPr>
                <w:rFonts w:ascii="Arial" w:hAnsi="Arial" w:cs="Arial"/>
              </w:rPr>
            </w:pPr>
            <w:r w:rsidRPr="002146A2">
              <w:rPr>
                <w:rFonts w:ascii="Arial" w:hAnsi="Arial" w:cs="Arial"/>
              </w:rPr>
              <w:t>-</w:t>
            </w:r>
          </w:p>
        </w:tc>
      </w:tr>
      <w:tr w:rsidR="00B87095" w:rsidRPr="00A845B7" w14:paraId="7147C580" w14:textId="77777777" w:rsidTr="00FD5A2D">
        <w:tc>
          <w:tcPr>
            <w:tcW w:w="1247" w:type="pct"/>
            <w:tcBorders>
              <w:bottom w:val="single" w:sz="4" w:space="0" w:color="auto"/>
            </w:tcBorders>
          </w:tcPr>
          <w:p w14:paraId="2C5A7F10" w14:textId="77777777" w:rsidR="00B87095" w:rsidRPr="00A845B7" w:rsidRDefault="00B87095" w:rsidP="00B87095">
            <w:pPr>
              <w:ind w:left="110" w:hanging="110"/>
              <w:jc w:val="left"/>
              <w:rPr>
                <w:rFonts w:ascii="Arial" w:hAnsi="Arial" w:cs="Arial"/>
              </w:rPr>
            </w:pPr>
            <w:r w:rsidRPr="00A845B7">
              <w:rPr>
                <w:rFonts w:ascii="Arial" w:hAnsi="Arial" w:cs="Arial"/>
              </w:rPr>
              <w:t xml:space="preserve">Screwfix </w:t>
            </w:r>
          </w:p>
        </w:tc>
        <w:tc>
          <w:tcPr>
            <w:tcW w:w="792" w:type="pct"/>
            <w:tcBorders>
              <w:bottom w:val="single" w:sz="4" w:space="0" w:color="auto"/>
            </w:tcBorders>
          </w:tcPr>
          <w:p w14:paraId="26C9511F" w14:textId="2801E9D3" w:rsidR="00B87095" w:rsidRPr="00342365" w:rsidRDefault="00B87095" w:rsidP="00342365">
            <w:pPr>
              <w:spacing w:before="60"/>
              <w:ind w:left="110" w:hanging="110"/>
              <w:jc w:val="right"/>
              <w:rPr>
                <w:rFonts w:ascii="Arial" w:hAnsi="Arial" w:cs="Arial"/>
              </w:rPr>
            </w:pPr>
            <w:r w:rsidRPr="00342365">
              <w:rPr>
                <w:rFonts w:ascii="Arial" w:hAnsi="Arial" w:cs="Arial"/>
              </w:rPr>
              <w:t>7,</w:t>
            </w:r>
            <w:r w:rsidR="00E54CF3">
              <w:rPr>
                <w:rFonts w:ascii="Arial" w:hAnsi="Arial" w:cs="Arial"/>
              </w:rPr>
              <w:t>857</w:t>
            </w:r>
          </w:p>
        </w:tc>
        <w:tc>
          <w:tcPr>
            <w:tcW w:w="661" w:type="pct"/>
            <w:tcBorders>
              <w:bottom w:val="single" w:sz="4" w:space="0" w:color="auto"/>
            </w:tcBorders>
          </w:tcPr>
          <w:p w14:paraId="1439D09B" w14:textId="6C740044" w:rsidR="00B87095" w:rsidRPr="00342365" w:rsidRDefault="00B87095" w:rsidP="00342365">
            <w:pPr>
              <w:spacing w:before="60"/>
              <w:ind w:left="110" w:hanging="110"/>
              <w:jc w:val="right"/>
              <w:rPr>
                <w:rFonts w:ascii="Arial" w:hAnsi="Arial" w:cs="Arial"/>
              </w:rPr>
            </w:pPr>
            <w:r w:rsidRPr="00342365">
              <w:rPr>
                <w:rFonts w:ascii="Arial" w:hAnsi="Arial" w:cs="Arial"/>
              </w:rPr>
              <w:t>5</w:t>
            </w:r>
            <w:r w:rsidR="00E54CF3">
              <w:rPr>
                <w:rFonts w:ascii="Arial" w:hAnsi="Arial" w:cs="Arial"/>
              </w:rPr>
              <w:t>7</w:t>
            </w:r>
            <w:r w:rsidR="00F21498">
              <w:rPr>
                <w:rFonts w:ascii="Arial" w:hAnsi="Arial" w:cs="Arial"/>
              </w:rPr>
              <w:t>7</w:t>
            </w:r>
          </w:p>
        </w:tc>
        <w:tc>
          <w:tcPr>
            <w:tcW w:w="830" w:type="pct"/>
            <w:tcBorders>
              <w:bottom w:val="single" w:sz="4" w:space="0" w:color="auto"/>
            </w:tcBorders>
            <w:shd w:val="clear" w:color="auto" w:fill="auto"/>
          </w:tcPr>
          <w:p w14:paraId="09048295" w14:textId="393B2EE2" w:rsidR="00B87095" w:rsidRPr="00342365" w:rsidRDefault="00B87095" w:rsidP="00342365">
            <w:pPr>
              <w:spacing w:before="60"/>
              <w:ind w:left="110" w:hanging="110"/>
              <w:jc w:val="right"/>
              <w:rPr>
                <w:rFonts w:ascii="Arial" w:hAnsi="Arial" w:cs="Arial"/>
              </w:rPr>
            </w:pPr>
            <w:r w:rsidRPr="00342365">
              <w:rPr>
                <w:rFonts w:ascii="Arial" w:hAnsi="Arial" w:cs="Arial"/>
              </w:rPr>
              <w:t>3</w:t>
            </w:r>
            <w:r w:rsidR="00E54CF3">
              <w:rPr>
                <w:rFonts w:ascii="Arial" w:hAnsi="Arial" w:cs="Arial"/>
              </w:rPr>
              <w:t>7</w:t>
            </w:r>
          </w:p>
        </w:tc>
        <w:tc>
          <w:tcPr>
            <w:tcW w:w="735" w:type="pct"/>
            <w:tcBorders>
              <w:bottom w:val="single" w:sz="4" w:space="0" w:color="auto"/>
            </w:tcBorders>
          </w:tcPr>
          <w:p w14:paraId="0D12516B" w14:textId="77777777" w:rsidR="00B87095" w:rsidRPr="002146A2" w:rsidRDefault="00B87095" w:rsidP="002146A2">
            <w:pPr>
              <w:spacing w:before="60"/>
              <w:ind w:left="110" w:hanging="110"/>
              <w:jc w:val="right"/>
              <w:rPr>
                <w:rFonts w:ascii="Arial" w:hAnsi="Arial" w:cs="Arial"/>
              </w:rPr>
            </w:pPr>
            <w:r w:rsidRPr="002146A2">
              <w:rPr>
                <w:rFonts w:ascii="Arial" w:hAnsi="Arial" w:cs="Arial"/>
              </w:rPr>
              <w:t>50</w:t>
            </w:r>
          </w:p>
        </w:tc>
        <w:tc>
          <w:tcPr>
            <w:tcW w:w="735" w:type="pct"/>
            <w:tcBorders>
              <w:bottom w:val="single" w:sz="4" w:space="0" w:color="auto"/>
            </w:tcBorders>
          </w:tcPr>
          <w:p w14:paraId="12CA2DB2" w14:textId="529A2403" w:rsidR="00B87095" w:rsidRPr="002146A2" w:rsidRDefault="00B87095" w:rsidP="002146A2">
            <w:pPr>
              <w:spacing w:before="60"/>
              <w:ind w:left="110" w:hanging="110"/>
              <w:jc w:val="right"/>
              <w:rPr>
                <w:rFonts w:ascii="Arial" w:hAnsi="Arial" w:cs="Arial"/>
              </w:rPr>
            </w:pPr>
            <w:r w:rsidRPr="002146A2">
              <w:rPr>
                <w:rFonts w:ascii="Arial" w:hAnsi="Arial" w:cs="Arial"/>
              </w:rPr>
              <w:t>+</w:t>
            </w:r>
            <w:r w:rsidR="00A92EAB" w:rsidRPr="002146A2">
              <w:rPr>
                <w:rFonts w:ascii="Arial" w:hAnsi="Arial" w:cs="Arial"/>
              </w:rPr>
              <w:t>9</w:t>
            </w:r>
            <w:r w:rsidRPr="002146A2">
              <w:rPr>
                <w:rFonts w:ascii="Arial" w:hAnsi="Arial" w:cs="Arial"/>
              </w:rPr>
              <w:t>%</w:t>
            </w:r>
          </w:p>
        </w:tc>
      </w:tr>
      <w:tr w:rsidR="00B87095" w:rsidRPr="00A845B7" w14:paraId="34BB9A78" w14:textId="77777777" w:rsidTr="00FD5A2D">
        <w:tc>
          <w:tcPr>
            <w:tcW w:w="1247" w:type="pct"/>
            <w:tcBorders>
              <w:top w:val="single" w:sz="4" w:space="0" w:color="auto"/>
            </w:tcBorders>
          </w:tcPr>
          <w:p w14:paraId="6970B669" w14:textId="77777777" w:rsidR="00B87095" w:rsidRPr="00A845B7" w:rsidRDefault="00B87095" w:rsidP="00B87095">
            <w:pPr>
              <w:ind w:left="110" w:hanging="110"/>
              <w:jc w:val="left"/>
              <w:rPr>
                <w:rFonts w:ascii="Arial" w:hAnsi="Arial" w:cs="Arial"/>
                <w:b/>
                <w:bCs/>
              </w:rPr>
            </w:pPr>
            <w:r w:rsidRPr="00A845B7">
              <w:rPr>
                <w:rFonts w:ascii="Arial" w:hAnsi="Arial" w:cs="Arial"/>
                <w:b/>
                <w:bCs/>
              </w:rPr>
              <w:t>UK &amp; Ireland</w:t>
            </w:r>
          </w:p>
        </w:tc>
        <w:tc>
          <w:tcPr>
            <w:tcW w:w="792" w:type="pct"/>
            <w:tcBorders>
              <w:top w:val="single" w:sz="4" w:space="0" w:color="auto"/>
            </w:tcBorders>
          </w:tcPr>
          <w:p w14:paraId="2412BE2D" w14:textId="5C140FFB" w:rsidR="00B87095" w:rsidRPr="00342365" w:rsidRDefault="00B87095" w:rsidP="00B87095">
            <w:pPr>
              <w:ind w:left="110" w:hanging="110"/>
              <w:jc w:val="right"/>
              <w:rPr>
                <w:rFonts w:ascii="Arial" w:hAnsi="Arial" w:cs="Arial"/>
                <w:b/>
                <w:bCs/>
              </w:rPr>
            </w:pPr>
            <w:r w:rsidRPr="00342365">
              <w:rPr>
                <w:rFonts w:ascii="Arial" w:hAnsi="Arial" w:cs="Arial"/>
                <w:b/>
                <w:bCs/>
              </w:rPr>
              <w:t>2</w:t>
            </w:r>
            <w:r w:rsidR="00E54CF3">
              <w:rPr>
                <w:rFonts w:ascii="Arial" w:hAnsi="Arial" w:cs="Arial"/>
                <w:b/>
                <w:bCs/>
              </w:rPr>
              <w:t>4,956</w:t>
            </w:r>
          </w:p>
        </w:tc>
        <w:tc>
          <w:tcPr>
            <w:tcW w:w="661" w:type="pct"/>
            <w:tcBorders>
              <w:top w:val="single" w:sz="4" w:space="0" w:color="auto"/>
            </w:tcBorders>
          </w:tcPr>
          <w:p w14:paraId="7E168AA0" w14:textId="08B5FAA9" w:rsidR="00B87095" w:rsidRPr="00342365" w:rsidRDefault="00B87095" w:rsidP="00B87095">
            <w:pPr>
              <w:ind w:left="110" w:hanging="110"/>
              <w:jc w:val="right"/>
              <w:rPr>
                <w:rFonts w:ascii="Arial" w:hAnsi="Arial" w:cs="Arial"/>
                <w:b/>
                <w:bCs/>
              </w:rPr>
            </w:pPr>
            <w:r w:rsidRPr="00342365">
              <w:rPr>
                <w:rFonts w:ascii="Arial" w:hAnsi="Arial" w:cs="Arial"/>
                <w:b/>
                <w:bCs/>
              </w:rPr>
              <w:t>8</w:t>
            </w:r>
            <w:r w:rsidR="00E54CF3">
              <w:rPr>
                <w:rFonts w:ascii="Arial" w:hAnsi="Arial" w:cs="Arial"/>
                <w:b/>
                <w:bCs/>
              </w:rPr>
              <w:t>73</w:t>
            </w:r>
          </w:p>
        </w:tc>
        <w:tc>
          <w:tcPr>
            <w:tcW w:w="830" w:type="pct"/>
            <w:tcBorders>
              <w:top w:val="single" w:sz="4" w:space="0" w:color="auto"/>
            </w:tcBorders>
          </w:tcPr>
          <w:p w14:paraId="41D12ADD" w14:textId="53F98D50" w:rsidR="00B87095" w:rsidRPr="00342365" w:rsidRDefault="00B87095" w:rsidP="00B87095">
            <w:pPr>
              <w:ind w:left="110" w:hanging="110"/>
              <w:jc w:val="right"/>
              <w:rPr>
                <w:rFonts w:ascii="Arial" w:hAnsi="Arial" w:cs="Arial"/>
                <w:b/>
                <w:bCs/>
              </w:rPr>
            </w:pPr>
            <w:r w:rsidRPr="00342365">
              <w:rPr>
                <w:rFonts w:ascii="Arial" w:hAnsi="Arial" w:cs="Arial"/>
                <w:b/>
                <w:bCs/>
              </w:rPr>
              <w:t>2,2</w:t>
            </w:r>
            <w:r w:rsidR="00E54CF3">
              <w:rPr>
                <w:rFonts w:ascii="Arial" w:hAnsi="Arial" w:cs="Arial"/>
                <w:b/>
                <w:bCs/>
              </w:rPr>
              <w:t>47</w:t>
            </w:r>
          </w:p>
        </w:tc>
        <w:tc>
          <w:tcPr>
            <w:tcW w:w="735" w:type="pct"/>
            <w:tcBorders>
              <w:top w:val="single" w:sz="4" w:space="0" w:color="auto"/>
            </w:tcBorders>
          </w:tcPr>
          <w:p w14:paraId="10663B2D" w14:textId="27AF0ABC" w:rsidR="00B87095" w:rsidRPr="002146A2" w:rsidRDefault="008863CF" w:rsidP="002146A2">
            <w:pPr>
              <w:spacing w:before="60"/>
              <w:ind w:left="110" w:hanging="110"/>
              <w:jc w:val="right"/>
              <w:rPr>
                <w:rFonts w:ascii="Arial" w:hAnsi="Arial" w:cs="Arial"/>
                <w:b/>
              </w:rPr>
            </w:pPr>
            <w:r w:rsidRPr="002146A2">
              <w:rPr>
                <w:rFonts w:ascii="Arial" w:hAnsi="Arial" w:cs="Arial"/>
                <w:b/>
              </w:rPr>
              <w:t>5</w:t>
            </w:r>
            <w:r w:rsidR="00492A3F" w:rsidRPr="002146A2">
              <w:rPr>
                <w:rFonts w:ascii="Arial" w:hAnsi="Arial" w:cs="Arial"/>
                <w:b/>
              </w:rPr>
              <w:t>0</w:t>
            </w:r>
          </w:p>
        </w:tc>
        <w:tc>
          <w:tcPr>
            <w:tcW w:w="735" w:type="pct"/>
            <w:tcBorders>
              <w:top w:val="single" w:sz="4" w:space="0" w:color="auto"/>
            </w:tcBorders>
          </w:tcPr>
          <w:p w14:paraId="3CF8ED7D" w14:textId="77777777" w:rsidR="00B87095" w:rsidRPr="002146A2" w:rsidRDefault="00B87095" w:rsidP="002146A2">
            <w:pPr>
              <w:spacing w:before="60"/>
              <w:ind w:left="110" w:hanging="110"/>
              <w:jc w:val="right"/>
              <w:rPr>
                <w:rFonts w:ascii="Arial" w:hAnsi="Arial" w:cs="Arial"/>
                <w:b/>
              </w:rPr>
            </w:pPr>
            <w:r w:rsidRPr="002146A2">
              <w:rPr>
                <w:rFonts w:ascii="Arial" w:hAnsi="Arial" w:cs="Arial"/>
                <w:b/>
              </w:rPr>
              <w:t>-</w:t>
            </w:r>
          </w:p>
        </w:tc>
      </w:tr>
      <w:tr w:rsidR="00B87095" w:rsidRPr="00A845B7" w14:paraId="0FF0E4F6" w14:textId="77777777" w:rsidTr="00FF5257">
        <w:tc>
          <w:tcPr>
            <w:tcW w:w="1247" w:type="pct"/>
            <w:tcBorders>
              <w:top w:val="single" w:sz="4" w:space="0" w:color="auto"/>
            </w:tcBorders>
          </w:tcPr>
          <w:p w14:paraId="1C21C111" w14:textId="77777777" w:rsidR="00B87095" w:rsidRPr="00A845B7" w:rsidRDefault="00B87095" w:rsidP="00B87095">
            <w:pPr>
              <w:ind w:left="110" w:hanging="110"/>
              <w:jc w:val="left"/>
              <w:rPr>
                <w:rFonts w:ascii="Arial" w:hAnsi="Arial" w:cs="Arial"/>
              </w:rPr>
            </w:pPr>
            <w:r w:rsidRPr="00A845B7">
              <w:rPr>
                <w:rFonts w:ascii="Arial" w:hAnsi="Arial" w:cs="Arial"/>
              </w:rPr>
              <w:t>Castorama</w:t>
            </w:r>
            <w:r w:rsidRPr="00A845B7" w:rsidDel="00CC3AB5">
              <w:rPr>
                <w:rFonts w:ascii="Arial" w:hAnsi="Arial" w:cs="Arial"/>
              </w:rPr>
              <w:t xml:space="preserve"> </w:t>
            </w:r>
          </w:p>
        </w:tc>
        <w:tc>
          <w:tcPr>
            <w:tcW w:w="792" w:type="pct"/>
            <w:tcBorders>
              <w:top w:val="single" w:sz="4" w:space="0" w:color="auto"/>
            </w:tcBorders>
          </w:tcPr>
          <w:p w14:paraId="55F869FD" w14:textId="013B8B84" w:rsidR="00B87095" w:rsidRPr="00342365" w:rsidRDefault="00B87095" w:rsidP="00342365">
            <w:pPr>
              <w:spacing w:before="60"/>
              <w:ind w:left="110" w:hanging="110"/>
              <w:jc w:val="right"/>
              <w:rPr>
                <w:rFonts w:ascii="Arial" w:hAnsi="Arial" w:cs="Arial"/>
              </w:rPr>
            </w:pPr>
            <w:r w:rsidRPr="00342365">
              <w:rPr>
                <w:rFonts w:ascii="Arial" w:hAnsi="Arial" w:cs="Arial"/>
              </w:rPr>
              <w:t>1</w:t>
            </w:r>
            <w:r w:rsidR="00F21498">
              <w:rPr>
                <w:rFonts w:ascii="Arial" w:hAnsi="Arial" w:cs="Arial"/>
              </w:rPr>
              <w:t>1,</w:t>
            </w:r>
            <w:r w:rsidR="00E54CF3">
              <w:rPr>
                <w:rFonts w:ascii="Arial" w:hAnsi="Arial" w:cs="Arial"/>
              </w:rPr>
              <w:t>502</w:t>
            </w:r>
          </w:p>
        </w:tc>
        <w:tc>
          <w:tcPr>
            <w:tcW w:w="661" w:type="pct"/>
            <w:tcBorders>
              <w:top w:val="single" w:sz="4" w:space="0" w:color="auto"/>
            </w:tcBorders>
          </w:tcPr>
          <w:p w14:paraId="3606ED52" w14:textId="1A97945B" w:rsidR="00B87095" w:rsidRPr="00342365" w:rsidRDefault="00B87095" w:rsidP="00342365">
            <w:pPr>
              <w:spacing w:before="60"/>
              <w:ind w:left="110" w:hanging="110"/>
              <w:jc w:val="right"/>
              <w:rPr>
                <w:rFonts w:ascii="Arial" w:hAnsi="Arial" w:cs="Arial"/>
              </w:rPr>
            </w:pPr>
            <w:r w:rsidRPr="00342365">
              <w:rPr>
                <w:rFonts w:ascii="Arial" w:hAnsi="Arial" w:cs="Arial"/>
              </w:rPr>
              <w:t>102</w:t>
            </w:r>
          </w:p>
        </w:tc>
        <w:tc>
          <w:tcPr>
            <w:tcW w:w="830" w:type="pct"/>
            <w:tcBorders>
              <w:top w:val="single" w:sz="4" w:space="0" w:color="auto"/>
            </w:tcBorders>
          </w:tcPr>
          <w:p w14:paraId="42CB3788" w14:textId="646409CA" w:rsidR="00B87095" w:rsidRPr="00342365" w:rsidRDefault="00B87095" w:rsidP="00342365">
            <w:pPr>
              <w:spacing w:before="60"/>
              <w:ind w:left="110" w:hanging="110"/>
              <w:jc w:val="right"/>
              <w:rPr>
                <w:rFonts w:ascii="Arial" w:hAnsi="Arial" w:cs="Arial"/>
              </w:rPr>
            </w:pPr>
            <w:r w:rsidRPr="00342365">
              <w:rPr>
                <w:rFonts w:ascii="Arial" w:hAnsi="Arial" w:cs="Arial"/>
              </w:rPr>
              <w:t>1,2</w:t>
            </w:r>
            <w:r w:rsidR="00E54CF3">
              <w:rPr>
                <w:rFonts w:ascii="Arial" w:hAnsi="Arial" w:cs="Arial"/>
              </w:rPr>
              <w:t>59</w:t>
            </w:r>
          </w:p>
        </w:tc>
        <w:tc>
          <w:tcPr>
            <w:tcW w:w="735" w:type="pct"/>
            <w:tcBorders>
              <w:top w:val="single" w:sz="4" w:space="0" w:color="auto"/>
            </w:tcBorders>
          </w:tcPr>
          <w:p w14:paraId="091E46F5" w14:textId="6CD8651F" w:rsidR="00B87095" w:rsidRPr="002146A2" w:rsidRDefault="00492A3F" w:rsidP="002146A2">
            <w:pPr>
              <w:spacing w:before="60"/>
              <w:ind w:left="110" w:hanging="110"/>
              <w:jc w:val="right"/>
              <w:rPr>
                <w:rFonts w:ascii="Arial" w:hAnsi="Arial" w:cs="Arial"/>
              </w:rPr>
            </w:pPr>
            <w:r w:rsidRPr="002146A2">
              <w:rPr>
                <w:rFonts w:ascii="Arial" w:hAnsi="Arial" w:cs="Arial"/>
              </w:rPr>
              <w:t>(1)</w:t>
            </w:r>
          </w:p>
        </w:tc>
        <w:tc>
          <w:tcPr>
            <w:tcW w:w="735" w:type="pct"/>
            <w:tcBorders>
              <w:top w:val="single" w:sz="4" w:space="0" w:color="auto"/>
            </w:tcBorders>
          </w:tcPr>
          <w:p w14:paraId="6994E3B7" w14:textId="44AC3A4B" w:rsidR="00B87095" w:rsidRPr="002146A2" w:rsidRDefault="00492A3F" w:rsidP="002146A2">
            <w:pPr>
              <w:spacing w:before="60"/>
              <w:ind w:left="110" w:hanging="110"/>
              <w:jc w:val="right"/>
              <w:rPr>
                <w:rFonts w:ascii="Arial" w:hAnsi="Arial" w:cs="Arial"/>
              </w:rPr>
            </w:pPr>
            <w:r w:rsidRPr="002146A2">
              <w:rPr>
                <w:rFonts w:ascii="Arial" w:hAnsi="Arial" w:cs="Arial"/>
              </w:rPr>
              <w:t>(</w:t>
            </w:r>
            <w:proofErr w:type="gramStart"/>
            <w:r w:rsidR="00F21498" w:rsidRPr="002146A2">
              <w:rPr>
                <w:rFonts w:ascii="Arial" w:hAnsi="Arial" w:cs="Arial"/>
              </w:rPr>
              <w:t>1</w:t>
            </w:r>
            <w:r w:rsidRPr="002146A2">
              <w:rPr>
                <w:rFonts w:ascii="Arial" w:hAnsi="Arial" w:cs="Arial"/>
              </w:rPr>
              <w:t>)</w:t>
            </w:r>
            <w:r w:rsidR="00B87095" w:rsidRPr="002146A2">
              <w:rPr>
                <w:rFonts w:ascii="Arial" w:hAnsi="Arial" w:cs="Arial"/>
              </w:rPr>
              <w:t>%</w:t>
            </w:r>
            <w:proofErr w:type="gramEnd"/>
          </w:p>
        </w:tc>
      </w:tr>
      <w:tr w:rsidR="00B87095" w:rsidRPr="00A845B7" w14:paraId="59805774" w14:textId="77777777" w:rsidTr="00FF5257">
        <w:tc>
          <w:tcPr>
            <w:tcW w:w="1247" w:type="pct"/>
            <w:tcBorders>
              <w:bottom w:val="single" w:sz="4" w:space="0" w:color="auto"/>
            </w:tcBorders>
          </w:tcPr>
          <w:p w14:paraId="278C600D" w14:textId="77777777" w:rsidR="00B87095" w:rsidRPr="00A845B7" w:rsidRDefault="00B87095" w:rsidP="00B87095">
            <w:pPr>
              <w:ind w:left="110" w:hanging="110"/>
              <w:jc w:val="left"/>
              <w:rPr>
                <w:rFonts w:ascii="Arial" w:hAnsi="Arial" w:cs="Arial"/>
              </w:rPr>
            </w:pPr>
            <w:proofErr w:type="spellStart"/>
            <w:r w:rsidRPr="00A845B7">
              <w:rPr>
                <w:rFonts w:ascii="Arial" w:hAnsi="Arial" w:cs="Arial"/>
              </w:rPr>
              <w:t>Brico</w:t>
            </w:r>
            <w:proofErr w:type="spellEnd"/>
            <w:r w:rsidRPr="00A845B7">
              <w:rPr>
                <w:rFonts w:ascii="Arial" w:hAnsi="Arial" w:cs="Arial"/>
              </w:rPr>
              <w:t xml:space="preserve"> </w:t>
            </w:r>
            <w:proofErr w:type="spellStart"/>
            <w:r w:rsidRPr="00A845B7">
              <w:rPr>
                <w:rFonts w:ascii="Arial" w:hAnsi="Arial" w:cs="Arial"/>
              </w:rPr>
              <w:t>Dépôt</w:t>
            </w:r>
            <w:proofErr w:type="spellEnd"/>
          </w:p>
        </w:tc>
        <w:tc>
          <w:tcPr>
            <w:tcW w:w="792" w:type="pct"/>
            <w:tcBorders>
              <w:bottom w:val="single" w:sz="4" w:space="0" w:color="auto"/>
            </w:tcBorders>
          </w:tcPr>
          <w:p w14:paraId="4F4D8C6B" w14:textId="1E45159B" w:rsidR="00B87095" w:rsidRPr="00342365" w:rsidRDefault="00B87095" w:rsidP="00342365">
            <w:pPr>
              <w:spacing w:before="60"/>
              <w:ind w:left="110" w:hanging="110"/>
              <w:jc w:val="right"/>
              <w:rPr>
                <w:rFonts w:ascii="Arial" w:hAnsi="Arial" w:cs="Arial"/>
              </w:rPr>
            </w:pPr>
            <w:r w:rsidRPr="00342365">
              <w:rPr>
                <w:rFonts w:ascii="Arial" w:hAnsi="Arial" w:cs="Arial"/>
              </w:rPr>
              <w:t>7,</w:t>
            </w:r>
            <w:r w:rsidR="00E54CF3">
              <w:rPr>
                <w:rFonts w:ascii="Arial" w:hAnsi="Arial" w:cs="Arial"/>
              </w:rPr>
              <w:t>442</w:t>
            </w:r>
          </w:p>
        </w:tc>
        <w:tc>
          <w:tcPr>
            <w:tcW w:w="661" w:type="pct"/>
            <w:tcBorders>
              <w:bottom w:val="single" w:sz="4" w:space="0" w:color="auto"/>
            </w:tcBorders>
          </w:tcPr>
          <w:p w14:paraId="6D10B976" w14:textId="5B5AA44A" w:rsidR="00B87095" w:rsidRPr="00342365" w:rsidRDefault="00B87095" w:rsidP="00342365">
            <w:pPr>
              <w:spacing w:before="60"/>
              <w:ind w:left="110" w:hanging="110"/>
              <w:jc w:val="right"/>
              <w:rPr>
                <w:rFonts w:ascii="Arial" w:hAnsi="Arial" w:cs="Arial"/>
              </w:rPr>
            </w:pPr>
            <w:r w:rsidRPr="00342365">
              <w:rPr>
                <w:rFonts w:ascii="Arial" w:hAnsi="Arial" w:cs="Arial"/>
              </w:rPr>
              <w:t>1</w:t>
            </w:r>
            <w:r w:rsidR="00E54CF3">
              <w:rPr>
                <w:rFonts w:ascii="Arial" w:hAnsi="Arial" w:cs="Arial"/>
              </w:rPr>
              <w:t>21</w:t>
            </w:r>
          </w:p>
        </w:tc>
        <w:tc>
          <w:tcPr>
            <w:tcW w:w="830" w:type="pct"/>
            <w:tcBorders>
              <w:bottom w:val="single" w:sz="4" w:space="0" w:color="auto"/>
            </w:tcBorders>
          </w:tcPr>
          <w:p w14:paraId="35A7E6D8" w14:textId="3F5D8193" w:rsidR="00B87095" w:rsidRPr="00342365" w:rsidRDefault="00B87095" w:rsidP="00342365">
            <w:pPr>
              <w:spacing w:before="60"/>
              <w:ind w:left="110" w:hanging="110"/>
              <w:jc w:val="right"/>
              <w:rPr>
                <w:rFonts w:ascii="Arial" w:hAnsi="Arial" w:cs="Arial"/>
              </w:rPr>
            </w:pPr>
            <w:r w:rsidRPr="00342365">
              <w:rPr>
                <w:rFonts w:ascii="Arial" w:hAnsi="Arial" w:cs="Arial"/>
              </w:rPr>
              <w:t>83</w:t>
            </w:r>
            <w:r w:rsidR="00E54CF3">
              <w:rPr>
                <w:rFonts w:ascii="Arial" w:hAnsi="Arial" w:cs="Arial"/>
              </w:rPr>
              <w:t>8</w:t>
            </w:r>
          </w:p>
        </w:tc>
        <w:tc>
          <w:tcPr>
            <w:tcW w:w="735" w:type="pct"/>
            <w:tcBorders>
              <w:bottom w:val="single" w:sz="4" w:space="0" w:color="auto"/>
            </w:tcBorders>
          </w:tcPr>
          <w:p w14:paraId="054FB36E" w14:textId="6114AE80" w:rsidR="00B87095" w:rsidRPr="002146A2" w:rsidRDefault="00F21498" w:rsidP="002146A2">
            <w:pPr>
              <w:spacing w:before="60"/>
              <w:ind w:left="110" w:hanging="110"/>
              <w:jc w:val="right"/>
              <w:rPr>
                <w:rFonts w:ascii="Arial" w:hAnsi="Arial" w:cs="Arial"/>
              </w:rPr>
            </w:pPr>
            <w:r w:rsidRPr="002146A2">
              <w:rPr>
                <w:rFonts w:ascii="Arial" w:hAnsi="Arial" w:cs="Arial"/>
              </w:rPr>
              <w:t>2</w:t>
            </w:r>
          </w:p>
        </w:tc>
        <w:tc>
          <w:tcPr>
            <w:tcW w:w="735" w:type="pct"/>
            <w:tcBorders>
              <w:bottom w:val="single" w:sz="4" w:space="0" w:color="auto"/>
            </w:tcBorders>
          </w:tcPr>
          <w:p w14:paraId="5DA336F6" w14:textId="0140C451" w:rsidR="00B87095" w:rsidRPr="002146A2" w:rsidRDefault="00B87095" w:rsidP="002146A2">
            <w:pPr>
              <w:spacing w:before="60"/>
              <w:ind w:left="110" w:hanging="110"/>
              <w:jc w:val="right"/>
              <w:rPr>
                <w:rFonts w:ascii="Arial" w:hAnsi="Arial" w:cs="Arial"/>
              </w:rPr>
            </w:pPr>
            <w:r w:rsidRPr="002146A2">
              <w:rPr>
                <w:rFonts w:ascii="Arial" w:hAnsi="Arial" w:cs="Arial"/>
              </w:rPr>
              <w:t>+</w:t>
            </w:r>
            <w:r w:rsidR="00492A3F" w:rsidRPr="002146A2">
              <w:rPr>
                <w:rFonts w:ascii="Arial" w:hAnsi="Arial" w:cs="Arial"/>
              </w:rPr>
              <w:t>2</w:t>
            </w:r>
            <w:r w:rsidRPr="002146A2">
              <w:rPr>
                <w:rFonts w:ascii="Arial" w:hAnsi="Arial" w:cs="Arial"/>
              </w:rPr>
              <w:t>%</w:t>
            </w:r>
          </w:p>
        </w:tc>
      </w:tr>
      <w:tr w:rsidR="00B87095" w:rsidRPr="008863CF" w14:paraId="1D5F3357" w14:textId="77777777" w:rsidTr="00925EFB">
        <w:tc>
          <w:tcPr>
            <w:tcW w:w="1247" w:type="pct"/>
            <w:tcBorders>
              <w:top w:val="single" w:sz="4" w:space="0" w:color="auto"/>
              <w:bottom w:val="single" w:sz="4" w:space="0" w:color="auto"/>
            </w:tcBorders>
          </w:tcPr>
          <w:p w14:paraId="2BA7E00C" w14:textId="77777777" w:rsidR="00B87095" w:rsidRPr="008863CF" w:rsidRDefault="00B87095" w:rsidP="00B87095">
            <w:pPr>
              <w:ind w:left="110" w:hanging="110"/>
              <w:jc w:val="left"/>
              <w:rPr>
                <w:rFonts w:ascii="Arial" w:hAnsi="Arial" w:cs="Arial"/>
                <w:b/>
                <w:bCs/>
              </w:rPr>
            </w:pPr>
            <w:r w:rsidRPr="008863CF">
              <w:rPr>
                <w:rFonts w:ascii="Arial" w:hAnsi="Arial" w:cs="Arial"/>
                <w:b/>
                <w:bCs/>
              </w:rPr>
              <w:t>France</w:t>
            </w:r>
          </w:p>
        </w:tc>
        <w:tc>
          <w:tcPr>
            <w:tcW w:w="792" w:type="pct"/>
            <w:tcBorders>
              <w:top w:val="single" w:sz="4" w:space="0" w:color="auto"/>
              <w:bottom w:val="single" w:sz="4" w:space="0" w:color="auto"/>
            </w:tcBorders>
          </w:tcPr>
          <w:p w14:paraId="624AFD35" w14:textId="2CB7F7B9" w:rsidR="00B87095" w:rsidRPr="00342365" w:rsidRDefault="00F21498" w:rsidP="00342365">
            <w:pPr>
              <w:spacing w:before="60"/>
              <w:ind w:left="110" w:hanging="110"/>
              <w:jc w:val="right"/>
              <w:rPr>
                <w:rFonts w:ascii="Arial" w:hAnsi="Arial" w:cs="Arial"/>
                <w:b/>
              </w:rPr>
            </w:pPr>
            <w:r>
              <w:rPr>
                <w:rFonts w:ascii="Arial" w:hAnsi="Arial" w:cs="Arial"/>
                <w:b/>
              </w:rPr>
              <w:t>18,</w:t>
            </w:r>
            <w:r w:rsidR="00E54CF3">
              <w:rPr>
                <w:rFonts w:ascii="Arial" w:hAnsi="Arial" w:cs="Arial"/>
                <w:b/>
              </w:rPr>
              <w:t>944</w:t>
            </w:r>
          </w:p>
        </w:tc>
        <w:tc>
          <w:tcPr>
            <w:tcW w:w="661" w:type="pct"/>
            <w:tcBorders>
              <w:top w:val="single" w:sz="4" w:space="0" w:color="auto"/>
              <w:bottom w:val="single" w:sz="4" w:space="0" w:color="auto"/>
            </w:tcBorders>
          </w:tcPr>
          <w:p w14:paraId="71E0B3B7" w14:textId="28A732B3" w:rsidR="00B87095" w:rsidRPr="00342365" w:rsidRDefault="00B87095" w:rsidP="00342365">
            <w:pPr>
              <w:spacing w:before="60"/>
              <w:ind w:left="110" w:hanging="110"/>
              <w:jc w:val="right"/>
              <w:rPr>
                <w:rFonts w:ascii="Arial" w:hAnsi="Arial" w:cs="Arial"/>
                <w:b/>
              </w:rPr>
            </w:pPr>
            <w:r w:rsidRPr="00342365">
              <w:rPr>
                <w:rFonts w:ascii="Arial" w:hAnsi="Arial" w:cs="Arial"/>
                <w:b/>
              </w:rPr>
              <w:t>22</w:t>
            </w:r>
            <w:r w:rsidR="00E54CF3">
              <w:rPr>
                <w:rFonts w:ascii="Arial" w:hAnsi="Arial" w:cs="Arial"/>
                <w:b/>
              </w:rPr>
              <w:t>3</w:t>
            </w:r>
          </w:p>
        </w:tc>
        <w:tc>
          <w:tcPr>
            <w:tcW w:w="830" w:type="pct"/>
            <w:tcBorders>
              <w:top w:val="single" w:sz="4" w:space="0" w:color="auto"/>
              <w:bottom w:val="single" w:sz="4" w:space="0" w:color="auto"/>
            </w:tcBorders>
          </w:tcPr>
          <w:p w14:paraId="545B6F09" w14:textId="3150CEBD" w:rsidR="00B87095" w:rsidRPr="00342365" w:rsidRDefault="00B87095" w:rsidP="00342365">
            <w:pPr>
              <w:spacing w:before="60"/>
              <w:ind w:left="110" w:hanging="110"/>
              <w:jc w:val="right"/>
              <w:rPr>
                <w:rFonts w:ascii="Arial" w:hAnsi="Arial" w:cs="Arial"/>
                <w:b/>
              </w:rPr>
            </w:pPr>
            <w:r w:rsidRPr="00342365">
              <w:rPr>
                <w:rFonts w:ascii="Arial" w:hAnsi="Arial" w:cs="Arial"/>
                <w:b/>
              </w:rPr>
              <w:t>2,0</w:t>
            </w:r>
            <w:r w:rsidR="00E54CF3">
              <w:rPr>
                <w:rFonts w:ascii="Arial" w:hAnsi="Arial" w:cs="Arial"/>
                <w:b/>
              </w:rPr>
              <w:t>97</w:t>
            </w:r>
          </w:p>
        </w:tc>
        <w:tc>
          <w:tcPr>
            <w:tcW w:w="735" w:type="pct"/>
            <w:tcBorders>
              <w:top w:val="single" w:sz="4" w:space="0" w:color="auto"/>
              <w:bottom w:val="single" w:sz="4" w:space="0" w:color="auto"/>
            </w:tcBorders>
          </w:tcPr>
          <w:p w14:paraId="52BF9A57" w14:textId="0417F25B" w:rsidR="00B87095" w:rsidRPr="002146A2" w:rsidRDefault="00492A3F" w:rsidP="002146A2">
            <w:pPr>
              <w:spacing w:before="60"/>
              <w:ind w:left="110" w:hanging="110"/>
              <w:jc w:val="right"/>
              <w:rPr>
                <w:rFonts w:ascii="Arial" w:hAnsi="Arial" w:cs="Arial"/>
                <w:b/>
              </w:rPr>
            </w:pPr>
            <w:r w:rsidRPr="002146A2">
              <w:rPr>
                <w:rFonts w:ascii="Arial" w:hAnsi="Arial" w:cs="Arial"/>
                <w:b/>
              </w:rPr>
              <w:t>1</w:t>
            </w:r>
          </w:p>
        </w:tc>
        <w:tc>
          <w:tcPr>
            <w:tcW w:w="735" w:type="pct"/>
            <w:tcBorders>
              <w:top w:val="single" w:sz="4" w:space="0" w:color="auto"/>
              <w:bottom w:val="single" w:sz="4" w:space="0" w:color="auto"/>
            </w:tcBorders>
          </w:tcPr>
          <w:p w14:paraId="1B90CEEE" w14:textId="355BC468" w:rsidR="00B87095" w:rsidRPr="002146A2" w:rsidRDefault="00492A3F" w:rsidP="002146A2">
            <w:pPr>
              <w:spacing w:before="60"/>
              <w:ind w:left="110" w:hanging="110"/>
              <w:jc w:val="right"/>
              <w:rPr>
                <w:rFonts w:ascii="Arial" w:hAnsi="Arial" w:cs="Arial"/>
                <w:b/>
              </w:rPr>
            </w:pPr>
            <w:r w:rsidRPr="002146A2">
              <w:rPr>
                <w:rFonts w:ascii="Arial" w:hAnsi="Arial" w:cs="Arial"/>
                <w:b/>
              </w:rPr>
              <w:t>-</w:t>
            </w:r>
          </w:p>
        </w:tc>
      </w:tr>
      <w:tr w:rsidR="00B87095" w:rsidRPr="00A845B7" w14:paraId="334918C9" w14:textId="77777777" w:rsidTr="00925EFB">
        <w:tc>
          <w:tcPr>
            <w:tcW w:w="1247" w:type="pct"/>
            <w:tcBorders>
              <w:top w:val="single" w:sz="4" w:space="0" w:color="auto"/>
            </w:tcBorders>
          </w:tcPr>
          <w:p w14:paraId="684150E4" w14:textId="77777777" w:rsidR="00B87095" w:rsidRPr="00A845B7" w:rsidRDefault="00B87095" w:rsidP="00B87095">
            <w:pPr>
              <w:spacing w:before="60"/>
              <w:ind w:left="110" w:hanging="110"/>
              <w:jc w:val="left"/>
              <w:rPr>
                <w:rFonts w:ascii="Arial" w:hAnsi="Arial" w:cs="Arial"/>
              </w:rPr>
            </w:pPr>
            <w:r w:rsidRPr="00A845B7">
              <w:rPr>
                <w:rFonts w:ascii="Arial" w:hAnsi="Arial" w:cs="Arial"/>
              </w:rPr>
              <w:t>Poland</w:t>
            </w:r>
          </w:p>
        </w:tc>
        <w:tc>
          <w:tcPr>
            <w:tcW w:w="792" w:type="pct"/>
            <w:tcBorders>
              <w:top w:val="single" w:sz="4" w:space="0" w:color="auto"/>
            </w:tcBorders>
          </w:tcPr>
          <w:p w14:paraId="2CC93530" w14:textId="1C8A8D38" w:rsidR="00B87095" w:rsidRPr="00342365" w:rsidRDefault="00B87095" w:rsidP="00B87095">
            <w:pPr>
              <w:spacing w:before="60"/>
              <w:ind w:left="110" w:hanging="110"/>
              <w:jc w:val="right"/>
              <w:rPr>
                <w:rFonts w:ascii="Arial" w:hAnsi="Arial" w:cs="Arial"/>
              </w:rPr>
            </w:pPr>
            <w:r w:rsidRPr="00342365">
              <w:rPr>
                <w:rFonts w:ascii="Arial" w:hAnsi="Arial" w:cs="Arial"/>
              </w:rPr>
              <w:t>11,</w:t>
            </w:r>
            <w:r w:rsidR="00E54CF3">
              <w:rPr>
                <w:rFonts w:ascii="Arial" w:hAnsi="Arial" w:cs="Arial"/>
              </w:rPr>
              <w:t>145</w:t>
            </w:r>
          </w:p>
        </w:tc>
        <w:tc>
          <w:tcPr>
            <w:tcW w:w="661" w:type="pct"/>
            <w:tcBorders>
              <w:top w:val="single" w:sz="4" w:space="0" w:color="auto"/>
            </w:tcBorders>
          </w:tcPr>
          <w:p w14:paraId="3E0A3DAA" w14:textId="0A58631B" w:rsidR="00B87095" w:rsidRPr="00342365" w:rsidRDefault="00B87095" w:rsidP="00B87095">
            <w:pPr>
              <w:spacing w:before="60"/>
              <w:ind w:left="110" w:hanging="110"/>
              <w:jc w:val="right"/>
              <w:rPr>
                <w:rFonts w:ascii="Arial" w:hAnsi="Arial" w:cs="Arial"/>
              </w:rPr>
            </w:pPr>
            <w:r w:rsidRPr="00342365">
              <w:rPr>
                <w:rFonts w:ascii="Arial" w:hAnsi="Arial" w:cs="Arial"/>
              </w:rPr>
              <w:t>7</w:t>
            </w:r>
            <w:r w:rsidR="00E54CF3">
              <w:rPr>
                <w:rFonts w:ascii="Arial" w:hAnsi="Arial" w:cs="Arial"/>
              </w:rPr>
              <w:t>6</w:t>
            </w:r>
          </w:p>
        </w:tc>
        <w:tc>
          <w:tcPr>
            <w:tcW w:w="830" w:type="pct"/>
            <w:tcBorders>
              <w:top w:val="single" w:sz="4" w:space="0" w:color="auto"/>
            </w:tcBorders>
          </w:tcPr>
          <w:p w14:paraId="29EC8AAF" w14:textId="2AA1F915" w:rsidR="00B87095" w:rsidRPr="00342365" w:rsidRDefault="00B87095" w:rsidP="00B87095">
            <w:pPr>
              <w:spacing w:before="60"/>
              <w:ind w:left="110" w:hanging="110"/>
              <w:jc w:val="right"/>
              <w:rPr>
                <w:rFonts w:ascii="Arial" w:hAnsi="Arial" w:cs="Arial"/>
              </w:rPr>
            </w:pPr>
            <w:r w:rsidRPr="00342365">
              <w:rPr>
                <w:rFonts w:ascii="Arial" w:hAnsi="Arial" w:cs="Arial"/>
              </w:rPr>
              <w:t>6</w:t>
            </w:r>
            <w:r w:rsidR="00E54CF3">
              <w:rPr>
                <w:rFonts w:ascii="Arial" w:hAnsi="Arial" w:cs="Arial"/>
              </w:rPr>
              <w:t>50</w:t>
            </w:r>
          </w:p>
        </w:tc>
        <w:tc>
          <w:tcPr>
            <w:tcW w:w="735" w:type="pct"/>
            <w:tcBorders>
              <w:top w:val="single" w:sz="4" w:space="0" w:color="auto"/>
            </w:tcBorders>
          </w:tcPr>
          <w:p w14:paraId="729132F0" w14:textId="22DD5141" w:rsidR="00B87095" w:rsidRPr="002146A2" w:rsidRDefault="00492A3F" w:rsidP="00B87095">
            <w:pPr>
              <w:spacing w:before="60"/>
              <w:ind w:left="110" w:hanging="110"/>
              <w:jc w:val="right"/>
              <w:rPr>
                <w:rFonts w:ascii="Arial" w:hAnsi="Arial" w:cs="Arial"/>
              </w:rPr>
            </w:pPr>
            <w:r w:rsidRPr="002146A2">
              <w:rPr>
                <w:rFonts w:ascii="Arial" w:hAnsi="Arial" w:cs="Arial"/>
              </w:rPr>
              <w:t>4</w:t>
            </w:r>
          </w:p>
        </w:tc>
        <w:tc>
          <w:tcPr>
            <w:tcW w:w="735" w:type="pct"/>
            <w:tcBorders>
              <w:top w:val="single" w:sz="4" w:space="0" w:color="auto"/>
            </w:tcBorders>
          </w:tcPr>
          <w:p w14:paraId="475C1973" w14:textId="1F82EE0D" w:rsidR="00B87095" w:rsidRPr="002146A2" w:rsidRDefault="00B87095" w:rsidP="00B87095">
            <w:pPr>
              <w:spacing w:before="60"/>
              <w:ind w:left="110" w:hanging="110"/>
              <w:jc w:val="right"/>
              <w:rPr>
                <w:rFonts w:ascii="Arial" w:hAnsi="Arial" w:cs="Arial"/>
              </w:rPr>
            </w:pPr>
            <w:r w:rsidRPr="002146A2">
              <w:rPr>
                <w:rFonts w:ascii="Arial" w:hAnsi="Arial" w:cs="Arial"/>
              </w:rPr>
              <w:t>+</w:t>
            </w:r>
            <w:r w:rsidR="00492A3F" w:rsidRPr="002146A2">
              <w:rPr>
                <w:rFonts w:ascii="Arial" w:hAnsi="Arial" w:cs="Arial"/>
              </w:rPr>
              <w:t>5</w:t>
            </w:r>
            <w:r w:rsidRPr="002146A2">
              <w:rPr>
                <w:rFonts w:ascii="Arial" w:hAnsi="Arial" w:cs="Arial"/>
              </w:rPr>
              <w:t>%</w:t>
            </w:r>
          </w:p>
        </w:tc>
      </w:tr>
      <w:tr w:rsidR="00B87095" w:rsidRPr="00A845B7" w14:paraId="6C63B4F6" w14:textId="77777777" w:rsidTr="00FD5A2D">
        <w:tc>
          <w:tcPr>
            <w:tcW w:w="1247" w:type="pct"/>
          </w:tcPr>
          <w:p w14:paraId="16489FDA" w14:textId="77777777" w:rsidR="00B87095" w:rsidRPr="00A845B7" w:rsidRDefault="00B87095" w:rsidP="00B87095">
            <w:pPr>
              <w:ind w:left="110" w:hanging="110"/>
              <w:jc w:val="left"/>
              <w:rPr>
                <w:rFonts w:ascii="Arial" w:hAnsi="Arial" w:cs="Arial"/>
                <w:lang w:val="it-IT"/>
              </w:rPr>
            </w:pPr>
            <w:r w:rsidRPr="00A845B7">
              <w:rPr>
                <w:rFonts w:ascii="Arial" w:hAnsi="Arial" w:cs="Arial"/>
                <w:lang w:val="it-IT"/>
              </w:rPr>
              <w:t>Portugal</w:t>
            </w:r>
          </w:p>
        </w:tc>
        <w:tc>
          <w:tcPr>
            <w:tcW w:w="792" w:type="pct"/>
          </w:tcPr>
          <w:p w14:paraId="7B2936F3" w14:textId="7CF32E7A" w:rsidR="00B87095" w:rsidRPr="00342365" w:rsidRDefault="00B87095" w:rsidP="00342365">
            <w:pPr>
              <w:spacing w:before="60"/>
              <w:ind w:left="110" w:hanging="110"/>
              <w:jc w:val="right"/>
              <w:rPr>
                <w:rFonts w:ascii="Arial" w:hAnsi="Arial" w:cs="Arial"/>
              </w:rPr>
            </w:pPr>
            <w:r w:rsidRPr="00342365">
              <w:rPr>
                <w:rFonts w:ascii="Arial" w:hAnsi="Arial" w:cs="Arial"/>
              </w:rPr>
              <w:t>1</w:t>
            </w:r>
            <w:r w:rsidR="00E54CF3">
              <w:rPr>
                <w:rFonts w:ascii="Arial" w:hAnsi="Arial" w:cs="Arial"/>
              </w:rPr>
              <w:t>76</w:t>
            </w:r>
          </w:p>
        </w:tc>
        <w:tc>
          <w:tcPr>
            <w:tcW w:w="661" w:type="pct"/>
          </w:tcPr>
          <w:p w14:paraId="772DF06D" w14:textId="181465AD" w:rsidR="00B87095" w:rsidRPr="00342365" w:rsidRDefault="00B87095" w:rsidP="00342365">
            <w:pPr>
              <w:spacing w:before="60"/>
              <w:ind w:left="110" w:hanging="110"/>
              <w:jc w:val="right"/>
              <w:rPr>
                <w:rFonts w:ascii="Arial" w:hAnsi="Arial" w:cs="Arial"/>
              </w:rPr>
            </w:pPr>
            <w:r w:rsidRPr="00342365">
              <w:rPr>
                <w:rFonts w:ascii="Arial" w:hAnsi="Arial" w:cs="Arial"/>
              </w:rPr>
              <w:t>3</w:t>
            </w:r>
          </w:p>
        </w:tc>
        <w:tc>
          <w:tcPr>
            <w:tcW w:w="830" w:type="pct"/>
          </w:tcPr>
          <w:p w14:paraId="386D7205" w14:textId="618D6A1F" w:rsidR="00B87095" w:rsidRPr="00342365" w:rsidRDefault="00B87095" w:rsidP="00342365">
            <w:pPr>
              <w:spacing w:before="60"/>
              <w:ind w:left="110" w:hanging="110"/>
              <w:jc w:val="right"/>
              <w:rPr>
                <w:rFonts w:ascii="Arial" w:hAnsi="Arial" w:cs="Arial"/>
              </w:rPr>
            </w:pPr>
            <w:r w:rsidRPr="00342365">
              <w:rPr>
                <w:rFonts w:ascii="Arial" w:hAnsi="Arial" w:cs="Arial"/>
              </w:rPr>
              <w:t>20</w:t>
            </w:r>
          </w:p>
        </w:tc>
        <w:tc>
          <w:tcPr>
            <w:tcW w:w="735" w:type="pct"/>
          </w:tcPr>
          <w:p w14:paraId="59BBFD5C" w14:textId="77777777" w:rsidR="00B87095" w:rsidRPr="002146A2" w:rsidRDefault="00B87095" w:rsidP="002146A2">
            <w:pPr>
              <w:spacing w:before="60"/>
              <w:ind w:left="110" w:hanging="110"/>
              <w:jc w:val="right"/>
              <w:rPr>
                <w:rFonts w:ascii="Arial" w:hAnsi="Arial" w:cs="Arial"/>
              </w:rPr>
            </w:pPr>
            <w:r w:rsidRPr="002146A2">
              <w:rPr>
                <w:rFonts w:ascii="Arial" w:hAnsi="Arial" w:cs="Arial"/>
              </w:rPr>
              <w:t>-</w:t>
            </w:r>
          </w:p>
        </w:tc>
        <w:tc>
          <w:tcPr>
            <w:tcW w:w="735" w:type="pct"/>
          </w:tcPr>
          <w:p w14:paraId="1BF3A092" w14:textId="77777777" w:rsidR="00B87095" w:rsidRPr="002146A2" w:rsidRDefault="00B87095" w:rsidP="002146A2">
            <w:pPr>
              <w:spacing w:before="60"/>
              <w:ind w:left="110" w:hanging="110"/>
              <w:jc w:val="right"/>
              <w:rPr>
                <w:rFonts w:ascii="Arial" w:hAnsi="Arial" w:cs="Arial"/>
              </w:rPr>
            </w:pPr>
            <w:r w:rsidRPr="002146A2">
              <w:rPr>
                <w:rFonts w:ascii="Arial" w:hAnsi="Arial" w:cs="Arial"/>
              </w:rPr>
              <w:t>-</w:t>
            </w:r>
          </w:p>
        </w:tc>
      </w:tr>
      <w:tr w:rsidR="00B87095" w:rsidRPr="00A845B7" w14:paraId="2B30C5C6" w14:textId="77777777" w:rsidTr="00FD5A2D">
        <w:tc>
          <w:tcPr>
            <w:tcW w:w="1247" w:type="pct"/>
          </w:tcPr>
          <w:p w14:paraId="48223CD9" w14:textId="77777777" w:rsidR="00B87095" w:rsidRPr="00A845B7" w:rsidRDefault="00B87095" w:rsidP="00B87095">
            <w:pPr>
              <w:ind w:left="110" w:hanging="110"/>
              <w:jc w:val="left"/>
              <w:rPr>
                <w:rFonts w:ascii="Arial" w:hAnsi="Arial" w:cs="Arial"/>
                <w:lang w:val="it-IT"/>
              </w:rPr>
            </w:pPr>
            <w:r w:rsidRPr="00A845B7">
              <w:rPr>
                <w:rFonts w:ascii="Arial" w:hAnsi="Arial" w:cs="Arial"/>
                <w:lang w:val="it-IT"/>
              </w:rPr>
              <w:t>Romania</w:t>
            </w:r>
          </w:p>
        </w:tc>
        <w:tc>
          <w:tcPr>
            <w:tcW w:w="792" w:type="pct"/>
          </w:tcPr>
          <w:p w14:paraId="648537DB" w14:textId="184B02A5" w:rsidR="00B87095" w:rsidRPr="00342365" w:rsidRDefault="00E54CF3" w:rsidP="00342365">
            <w:pPr>
              <w:spacing w:before="60"/>
              <w:ind w:left="110" w:hanging="110"/>
              <w:jc w:val="right"/>
              <w:rPr>
                <w:rFonts w:ascii="Arial" w:hAnsi="Arial" w:cs="Arial"/>
              </w:rPr>
            </w:pPr>
            <w:r>
              <w:rPr>
                <w:rFonts w:ascii="Arial" w:hAnsi="Arial" w:cs="Arial"/>
              </w:rPr>
              <w:t>2,532</w:t>
            </w:r>
          </w:p>
        </w:tc>
        <w:tc>
          <w:tcPr>
            <w:tcW w:w="661" w:type="pct"/>
          </w:tcPr>
          <w:p w14:paraId="65BCC365" w14:textId="54A9A77B" w:rsidR="00B87095" w:rsidRPr="00FB2FE4" w:rsidRDefault="00FB2FE4" w:rsidP="00342365">
            <w:pPr>
              <w:spacing w:before="60"/>
              <w:ind w:left="110" w:hanging="110"/>
              <w:jc w:val="right"/>
              <w:rPr>
                <w:rFonts w:ascii="Arial" w:hAnsi="Arial" w:cs="Arial"/>
              </w:rPr>
            </w:pPr>
            <w:r w:rsidRPr="00E46E76">
              <w:rPr>
                <w:rFonts w:ascii="Arial" w:hAnsi="Arial" w:cs="Arial"/>
              </w:rPr>
              <w:t>38</w:t>
            </w:r>
            <w:r w:rsidR="003830FB" w:rsidRPr="00D86BB6">
              <w:rPr>
                <w:rFonts w:ascii="Arial" w:hAnsi="Arial" w:cs="Arial"/>
                <w:vertAlign w:val="superscript"/>
              </w:rPr>
              <w:t>(2)</w:t>
            </w:r>
          </w:p>
        </w:tc>
        <w:tc>
          <w:tcPr>
            <w:tcW w:w="830" w:type="pct"/>
          </w:tcPr>
          <w:p w14:paraId="15A0D6AE" w14:textId="6D7B94B3" w:rsidR="00B87095" w:rsidRPr="0091328D" w:rsidRDefault="00E54CF3" w:rsidP="00342365">
            <w:pPr>
              <w:spacing w:before="60"/>
              <w:ind w:left="110" w:hanging="110"/>
              <w:jc w:val="right"/>
              <w:rPr>
                <w:rFonts w:ascii="Arial" w:hAnsi="Arial" w:cs="Arial"/>
                <w:vertAlign w:val="superscript"/>
              </w:rPr>
            </w:pPr>
            <w:r w:rsidRPr="00FB2FE4">
              <w:rPr>
                <w:rFonts w:ascii="Arial" w:hAnsi="Arial" w:cs="Arial"/>
              </w:rPr>
              <w:t>2</w:t>
            </w:r>
            <w:r w:rsidR="00FB2FE4" w:rsidRPr="00FB2FE4">
              <w:rPr>
                <w:rFonts w:ascii="Arial" w:hAnsi="Arial" w:cs="Arial"/>
              </w:rPr>
              <w:t>73</w:t>
            </w:r>
            <w:r w:rsidR="00981076">
              <w:rPr>
                <w:rFonts w:ascii="Arial" w:hAnsi="Arial" w:cs="Arial"/>
                <w:vertAlign w:val="superscript"/>
              </w:rPr>
              <w:t>(2)</w:t>
            </w:r>
          </w:p>
        </w:tc>
        <w:tc>
          <w:tcPr>
            <w:tcW w:w="735" w:type="pct"/>
          </w:tcPr>
          <w:p w14:paraId="565894A5" w14:textId="0C265356" w:rsidR="00B87095" w:rsidRPr="00E46E76" w:rsidRDefault="00FB2FE4" w:rsidP="002146A2">
            <w:pPr>
              <w:spacing w:before="60"/>
              <w:ind w:left="110" w:hanging="110"/>
              <w:jc w:val="right"/>
              <w:rPr>
                <w:rFonts w:ascii="Arial" w:hAnsi="Arial" w:cs="Arial"/>
              </w:rPr>
            </w:pPr>
            <w:r w:rsidRPr="00E46E76">
              <w:rPr>
                <w:rFonts w:ascii="Arial" w:hAnsi="Arial" w:cs="Arial"/>
              </w:rPr>
              <w:t>-</w:t>
            </w:r>
          </w:p>
        </w:tc>
        <w:tc>
          <w:tcPr>
            <w:tcW w:w="735" w:type="pct"/>
          </w:tcPr>
          <w:p w14:paraId="1F4B6A11" w14:textId="3557C31D" w:rsidR="00B87095" w:rsidRPr="00E46E76" w:rsidRDefault="00FB2FE4" w:rsidP="002146A2">
            <w:pPr>
              <w:spacing w:before="60"/>
              <w:ind w:left="110" w:hanging="110"/>
              <w:jc w:val="right"/>
              <w:rPr>
                <w:rFonts w:ascii="Arial" w:hAnsi="Arial" w:cs="Arial"/>
              </w:rPr>
            </w:pPr>
            <w:r w:rsidRPr="00E46E76">
              <w:rPr>
                <w:rFonts w:ascii="Arial" w:hAnsi="Arial" w:cs="Arial"/>
              </w:rPr>
              <w:t>-</w:t>
            </w:r>
          </w:p>
        </w:tc>
      </w:tr>
      <w:tr w:rsidR="00B87095" w:rsidRPr="00A845B7" w14:paraId="001D93A9" w14:textId="77777777" w:rsidTr="00FD5A2D">
        <w:tc>
          <w:tcPr>
            <w:tcW w:w="1247" w:type="pct"/>
          </w:tcPr>
          <w:p w14:paraId="09200E3B" w14:textId="77777777" w:rsidR="00B87095" w:rsidRPr="00A845B7" w:rsidRDefault="00B87095" w:rsidP="00B87095">
            <w:pPr>
              <w:jc w:val="left"/>
              <w:rPr>
                <w:rFonts w:ascii="Arial" w:hAnsi="Arial" w:cs="Arial"/>
                <w:lang w:val="it-IT"/>
              </w:rPr>
            </w:pPr>
            <w:r w:rsidRPr="00A845B7">
              <w:rPr>
                <w:rFonts w:ascii="Arial" w:hAnsi="Arial" w:cs="Arial"/>
                <w:lang w:val="it-IT"/>
              </w:rPr>
              <w:t>Russia</w:t>
            </w:r>
          </w:p>
        </w:tc>
        <w:tc>
          <w:tcPr>
            <w:tcW w:w="792" w:type="pct"/>
          </w:tcPr>
          <w:p w14:paraId="2DCEA3FC" w14:textId="38DCE9DF" w:rsidR="00B87095" w:rsidRPr="00342365" w:rsidRDefault="008863CF" w:rsidP="00342365">
            <w:pPr>
              <w:spacing w:before="60"/>
              <w:ind w:left="110" w:hanging="110"/>
              <w:jc w:val="right"/>
              <w:rPr>
                <w:rFonts w:ascii="Arial" w:hAnsi="Arial" w:cs="Arial"/>
              </w:rPr>
            </w:pPr>
            <w:r w:rsidRPr="00342365">
              <w:rPr>
                <w:rFonts w:ascii="Arial" w:hAnsi="Arial" w:cs="Arial"/>
              </w:rPr>
              <w:t>3,</w:t>
            </w:r>
            <w:r w:rsidR="00E54CF3">
              <w:rPr>
                <w:rFonts w:ascii="Arial" w:hAnsi="Arial" w:cs="Arial"/>
              </w:rPr>
              <w:t>061</w:t>
            </w:r>
          </w:p>
        </w:tc>
        <w:tc>
          <w:tcPr>
            <w:tcW w:w="661" w:type="pct"/>
          </w:tcPr>
          <w:p w14:paraId="6B75B703" w14:textId="0E04ED87" w:rsidR="00B87095" w:rsidRPr="00342365" w:rsidRDefault="00B87095" w:rsidP="00342365">
            <w:pPr>
              <w:spacing w:before="60"/>
              <w:ind w:left="110" w:hanging="110"/>
              <w:jc w:val="right"/>
              <w:rPr>
                <w:rFonts w:ascii="Arial" w:hAnsi="Arial" w:cs="Arial"/>
              </w:rPr>
            </w:pPr>
            <w:r w:rsidRPr="00342365">
              <w:rPr>
                <w:rFonts w:ascii="Arial" w:hAnsi="Arial" w:cs="Arial"/>
              </w:rPr>
              <w:t>2</w:t>
            </w:r>
            <w:r w:rsidR="00E54CF3">
              <w:rPr>
                <w:rFonts w:ascii="Arial" w:hAnsi="Arial" w:cs="Arial"/>
              </w:rPr>
              <w:t>0</w:t>
            </w:r>
          </w:p>
        </w:tc>
        <w:tc>
          <w:tcPr>
            <w:tcW w:w="830" w:type="pct"/>
          </w:tcPr>
          <w:p w14:paraId="1DFADE56" w14:textId="6E18FB87" w:rsidR="00B87095" w:rsidRPr="00342365" w:rsidRDefault="00B87095" w:rsidP="00342365">
            <w:pPr>
              <w:spacing w:before="60"/>
              <w:ind w:left="110" w:hanging="110"/>
              <w:jc w:val="right"/>
              <w:rPr>
                <w:rFonts w:ascii="Arial" w:hAnsi="Arial" w:cs="Arial"/>
              </w:rPr>
            </w:pPr>
            <w:r w:rsidRPr="00342365">
              <w:rPr>
                <w:rFonts w:ascii="Arial" w:hAnsi="Arial" w:cs="Arial"/>
              </w:rPr>
              <w:t>2</w:t>
            </w:r>
            <w:r w:rsidR="00E54CF3">
              <w:rPr>
                <w:rFonts w:ascii="Arial" w:hAnsi="Arial" w:cs="Arial"/>
              </w:rPr>
              <w:t>01</w:t>
            </w:r>
          </w:p>
        </w:tc>
        <w:tc>
          <w:tcPr>
            <w:tcW w:w="735" w:type="pct"/>
          </w:tcPr>
          <w:p w14:paraId="3C30409D" w14:textId="4F765FAE" w:rsidR="00B87095" w:rsidRPr="002146A2" w:rsidRDefault="00492A3F" w:rsidP="002146A2">
            <w:pPr>
              <w:spacing w:before="60"/>
              <w:ind w:left="110" w:hanging="110"/>
              <w:jc w:val="right"/>
              <w:rPr>
                <w:rFonts w:ascii="Arial" w:hAnsi="Arial" w:cs="Arial"/>
              </w:rPr>
            </w:pPr>
            <w:r w:rsidRPr="002146A2">
              <w:rPr>
                <w:rFonts w:ascii="Arial" w:hAnsi="Arial" w:cs="Arial"/>
              </w:rPr>
              <w:t>2</w:t>
            </w:r>
          </w:p>
        </w:tc>
        <w:tc>
          <w:tcPr>
            <w:tcW w:w="735" w:type="pct"/>
          </w:tcPr>
          <w:p w14:paraId="222BA9CB" w14:textId="02E50435" w:rsidR="00B87095" w:rsidRPr="002146A2" w:rsidRDefault="00492A3F" w:rsidP="002146A2">
            <w:pPr>
              <w:spacing w:before="60"/>
              <w:ind w:left="110" w:hanging="110"/>
              <w:jc w:val="right"/>
              <w:rPr>
                <w:rFonts w:ascii="Arial" w:hAnsi="Arial" w:cs="Arial"/>
              </w:rPr>
            </w:pPr>
            <w:r w:rsidRPr="002146A2">
              <w:rPr>
                <w:rFonts w:ascii="Arial" w:hAnsi="Arial" w:cs="Arial"/>
              </w:rPr>
              <w:t>+1</w:t>
            </w:r>
            <w:r w:rsidR="00FB2FE4">
              <w:rPr>
                <w:rFonts w:ascii="Arial" w:hAnsi="Arial" w:cs="Arial"/>
              </w:rPr>
              <w:t>4</w:t>
            </w:r>
            <w:r w:rsidRPr="002146A2">
              <w:rPr>
                <w:rFonts w:ascii="Arial" w:hAnsi="Arial" w:cs="Arial"/>
              </w:rPr>
              <w:t>%</w:t>
            </w:r>
          </w:p>
        </w:tc>
      </w:tr>
      <w:tr w:rsidR="00B87095" w:rsidRPr="00A845B7" w14:paraId="42D79117" w14:textId="77777777" w:rsidTr="00FD5A2D">
        <w:tc>
          <w:tcPr>
            <w:tcW w:w="1247" w:type="pct"/>
          </w:tcPr>
          <w:p w14:paraId="09B675BE" w14:textId="77777777" w:rsidR="00B87095" w:rsidRPr="00A845B7" w:rsidRDefault="00B87095" w:rsidP="00B87095">
            <w:pPr>
              <w:jc w:val="left"/>
              <w:rPr>
                <w:rFonts w:ascii="Arial" w:hAnsi="Arial" w:cs="Arial"/>
                <w:lang w:val="it-IT"/>
              </w:rPr>
            </w:pPr>
            <w:r w:rsidRPr="00A845B7">
              <w:rPr>
                <w:rFonts w:ascii="Arial" w:hAnsi="Arial" w:cs="Arial"/>
                <w:lang w:val="it-IT"/>
              </w:rPr>
              <w:t>Spain</w:t>
            </w:r>
          </w:p>
        </w:tc>
        <w:tc>
          <w:tcPr>
            <w:tcW w:w="792" w:type="pct"/>
          </w:tcPr>
          <w:p w14:paraId="37CFA81B" w14:textId="697CE87F" w:rsidR="00B87095" w:rsidRPr="00342365" w:rsidRDefault="008863CF" w:rsidP="00342365">
            <w:pPr>
              <w:spacing w:before="60"/>
              <w:ind w:left="110" w:hanging="110"/>
              <w:jc w:val="right"/>
              <w:rPr>
                <w:rFonts w:ascii="Arial" w:hAnsi="Arial" w:cs="Arial"/>
              </w:rPr>
            </w:pPr>
            <w:r w:rsidRPr="00342365">
              <w:rPr>
                <w:rFonts w:ascii="Arial" w:hAnsi="Arial" w:cs="Arial"/>
              </w:rPr>
              <w:t>1,5</w:t>
            </w:r>
            <w:r w:rsidR="00E54CF3">
              <w:rPr>
                <w:rFonts w:ascii="Arial" w:hAnsi="Arial" w:cs="Arial"/>
              </w:rPr>
              <w:t>78</w:t>
            </w:r>
          </w:p>
        </w:tc>
        <w:tc>
          <w:tcPr>
            <w:tcW w:w="661" w:type="pct"/>
          </w:tcPr>
          <w:p w14:paraId="3470F0DC" w14:textId="578110B4" w:rsidR="00B87095" w:rsidRPr="00342365" w:rsidRDefault="00B87095" w:rsidP="00342365">
            <w:pPr>
              <w:spacing w:before="60"/>
              <w:ind w:left="110" w:hanging="110"/>
              <w:jc w:val="right"/>
              <w:rPr>
                <w:rFonts w:ascii="Arial" w:hAnsi="Arial" w:cs="Arial"/>
              </w:rPr>
            </w:pPr>
            <w:r w:rsidRPr="00342365">
              <w:rPr>
                <w:rFonts w:ascii="Arial" w:hAnsi="Arial" w:cs="Arial"/>
              </w:rPr>
              <w:t>28</w:t>
            </w:r>
          </w:p>
        </w:tc>
        <w:tc>
          <w:tcPr>
            <w:tcW w:w="830" w:type="pct"/>
          </w:tcPr>
          <w:p w14:paraId="6BD50967" w14:textId="0D6AB3B8" w:rsidR="00B87095" w:rsidRPr="00342365" w:rsidRDefault="00B87095" w:rsidP="00342365">
            <w:pPr>
              <w:spacing w:before="60"/>
              <w:ind w:left="110" w:hanging="110"/>
              <w:jc w:val="right"/>
              <w:rPr>
                <w:rFonts w:ascii="Arial" w:hAnsi="Arial" w:cs="Arial"/>
              </w:rPr>
            </w:pPr>
            <w:r w:rsidRPr="00342365">
              <w:rPr>
                <w:rFonts w:ascii="Arial" w:hAnsi="Arial" w:cs="Arial"/>
              </w:rPr>
              <w:t>175</w:t>
            </w:r>
          </w:p>
        </w:tc>
        <w:tc>
          <w:tcPr>
            <w:tcW w:w="735" w:type="pct"/>
          </w:tcPr>
          <w:p w14:paraId="66D69A52" w14:textId="77777777" w:rsidR="00B87095" w:rsidRPr="002146A2" w:rsidRDefault="00B87095" w:rsidP="002146A2">
            <w:pPr>
              <w:spacing w:before="60"/>
              <w:ind w:left="110" w:hanging="110"/>
              <w:jc w:val="right"/>
              <w:rPr>
                <w:rFonts w:ascii="Arial" w:hAnsi="Arial" w:cs="Arial"/>
              </w:rPr>
            </w:pPr>
            <w:r w:rsidRPr="002146A2">
              <w:rPr>
                <w:rFonts w:ascii="Arial" w:hAnsi="Arial" w:cs="Arial"/>
              </w:rPr>
              <w:t>-</w:t>
            </w:r>
          </w:p>
        </w:tc>
        <w:tc>
          <w:tcPr>
            <w:tcW w:w="735" w:type="pct"/>
          </w:tcPr>
          <w:p w14:paraId="51EB16D3" w14:textId="77777777" w:rsidR="00B87095" w:rsidRPr="002146A2" w:rsidRDefault="00B87095" w:rsidP="002146A2">
            <w:pPr>
              <w:spacing w:before="60"/>
              <w:ind w:left="110" w:hanging="110"/>
              <w:jc w:val="right"/>
              <w:rPr>
                <w:rFonts w:ascii="Arial" w:hAnsi="Arial" w:cs="Arial"/>
              </w:rPr>
            </w:pPr>
            <w:r w:rsidRPr="002146A2">
              <w:rPr>
                <w:rFonts w:ascii="Arial" w:hAnsi="Arial" w:cs="Arial"/>
              </w:rPr>
              <w:t>-</w:t>
            </w:r>
          </w:p>
        </w:tc>
      </w:tr>
      <w:tr w:rsidR="00B87095" w:rsidRPr="00A845B7" w14:paraId="56ED7350" w14:textId="77777777" w:rsidTr="00FD5A2D">
        <w:tc>
          <w:tcPr>
            <w:tcW w:w="1247" w:type="pct"/>
            <w:tcBorders>
              <w:bottom w:val="single" w:sz="4" w:space="0" w:color="auto"/>
            </w:tcBorders>
          </w:tcPr>
          <w:p w14:paraId="62E60388" w14:textId="77777777" w:rsidR="00B87095" w:rsidRPr="00A845B7" w:rsidRDefault="00B87095" w:rsidP="00B87095">
            <w:pPr>
              <w:jc w:val="left"/>
              <w:rPr>
                <w:rFonts w:ascii="Arial" w:hAnsi="Arial" w:cs="Arial"/>
                <w:lang w:val="it-IT"/>
              </w:rPr>
            </w:pPr>
            <w:r w:rsidRPr="00A845B7">
              <w:rPr>
                <w:rFonts w:ascii="Arial" w:hAnsi="Arial" w:cs="Arial"/>
                <w:lang w:val="it-IT"/>
              </w:rPr>
              <w:t>Screwfix Germany</w:t>
            </w:r>
          </w:p>
        </w:tc>
        <w:tc>
          <w:tcPr>
            <w:tcW w:w="792" w:type="pct"/>
            <w:tcBorders>
              <w:bottom w:val="single" w:sz="4" w:space="0" w:color="auto"/>
            </w:tcBorders>
          </w:tcPr>
          <w:p w14:paraId="2D2272FE" w14:textId="77F02E05" w:rsidR="00B87095" w:rsidRPr="00342365" w:rsidRDefault="008863CF" w:rsidP="00342365">
            <w:pPr>
              <w:spacing w:before="60"/>
              <w:ind w:left="110" w:hanging="110"/>
              <w:jc w:val="right"/>
              <w:rPr>
                <w:rFonts w:ascii="Arial" w:hAnsi="Arial" w:cs="Arial"/>
              </w:rPr>
            </w:pPr>
            <w:r w:rsidRPr="00342365">
              <w:rPr>
                <w:rFonts w:ascii="Arial" w:hAnsi="Arial" w:cs="Arial"/>
              </w:rPr>
              <w:t>1</w:t>
            </w:r>
            <w:r w:rsidR="00E54CF3">
              <w:rPr>
                <w:rFonts w:ascii="Arial" w:hAnsi="Arial" w:cs="Arial"/>
              </w:rPr>
              <w:t>84</w:t>
            </w:r>
          </w:p>
        </w:tc>
        <w:tc>
          <w:tcPr>
            <w:tcW w:w="661" w:type="pct"/>
            <w:tcBorders>
              <w:bottom w:val="single" w:sz="4" w:space="0" w:color="auto"/>
            </w:tcBorders>
          </w:tcPr>
          <w:p w14:paraId="1DA2340C" w14:textId="4D994525" w:rsidR="00B87095" w:rsidRPr="00342365" w:rsidRDefault="00B87095" w:rsidP="00342365">
            <w:pPr>
              <w:spacing w:before="60"/>
              <w:ind w:left="110" w:hanging="110"/>
              <w:jc w:val="right"/>
              <w:rPr>
                <w:rFonts w:ascii="Arial" w:hAnsi="Arial" w:cs="Arial"/>
              </w:rPr>
            </w:pPr>
            <w:r w:rsidRPr="00342365">
              <w:rPr>
                <w:rFonts w:ascii="Arial" w:hAnsi="Arial" w:cs="Arial"/>
              </w:rPr>
              <w:t>19</w:t>
            </w:r>
          </w:p>
        </w:tc>
        <w:tc>
          <w:tcPr>
            <w:tcW w:w="830" w:type="pct"/>
            <w:tcBorders>
              <w:bottom w:val="single" w:sz="4" w:space="0" w:color="auto"/>
            </w:tcBorders>
          </w:tcPr>
          <w:p w14:paraId="72B3658E" w14:textId="0BFE705D" w:rsidR="00B87095" w:rsidRPr="00342365" w:rsidRDefault="00B87095" w:rsidP="00342365">
            <w:pPr>
              <w:spacing w:before="60"/>
              <w:ind w:left="110" w:hanging="110"/>
              <w:jc w:val="right"/>
              <w:rPr>
                <w:rFonts w:ascii="Arial" w:hAnsi="Arial" w:cs="Arial"/>
              </w:rPr>
            </w:pPr>
            <w:r w:rsidRPr="00342365">
              <w:rPr>
                <w:rFonts w:ascii="Arial" w:hAnsi="Arial" w:cs="Arial"/>
              </w:rPr>
              <w:t>1</w:t>
            </w:r>
          </w:p>
        </w:tc>
        <w:tc>
          <w:tcPr>
            <w:tcW w:w="735" w:type="pct"/>
            <w:tcBorders>
              <w:bottom w:val="single" w:sz="4" w:space="0" w:color="auto"/>
            </w:tcBorders>
          </w:tcPr>
          <w:p w14:paraId="674BF770" w14:textId="77777777" w:rsidR="00B87095" w:rsidRPr="002146A2" w:rsidRDefault="00B87095" w:rsidP="002146A2">
            <w:pPr>
              <w:spacing w:before="60"/>
              <w:ind w:left="110" w:hanging="110"/>
              <w:jc w:val="right"/>
              <w:rPr>
                <w:rFonts w:ascii="Arial" w:hAnsi="Arial" w:cs="Arial"/>
              </w:rPr>
            </w:pPr>
            <w:r w:rsidRPr="002146A2">
              <w:rPr>
                <w:rFonts w:ascii="Arial" w:hAnsi="Arial" w:cs="Arial"/>
              </w:rPr>
              <w:t>-</w:t>
            </w:r>
          </w:p>
        </w:tc>
        <w:tc>
          <w:tcPr>
            <w:tcW w:w="735" w:type="pct"/>
            <w:tcBorders>
              <w:bottom w:val="single" w:sz="4" w:space="0" w:color="auto"/>
            </w:tcBorders>
          </w:tcPr>
          <w:p w14:paraId="68607175" w14:textId="77777777" w:rsidR="00B87095" w:rsidRPr="002146A2" w:rsidRDefault="00B87095" w:rsidP="002146A2">
            <w:pPr>
              <w:spacing w:before="60"/>
              <w:ind w:left="110" w:hanging="110"/>
              <w:jc w:val="right"/>
              <w:rPr>
                <w:rFonts w:ascii="Arial" w:hAnsi="Arial" w:cs="Arial"/>
              </w:rPr>
            </w:pPr>
            <w:r w:rsidRPr="002146A2">
              <w:rPr>
                <w:rFonts w:ascii="Arial" w:hAnsi="Arial" w:cs="Arial"/>
              </w:rPr>
              <w:t>-</w:t>
            </w:r>
          </w:p>
        </w:tc>
      </w:tr>
      <w:tr w:rsidR="00B87095" w:rsidRPr="008863CF" w14:paraId="3B80E171" w14:textId="77777777" w:rsidTr="00FD5A2D">
        <w:tc>
          <w:tcPr>
            <w:tcW w:w="1247" w:type="pct"/>
            <w:tcBorders>
              <w:top w:val="single" w:sz="4" w:space="0" w:color="auto"/>
              <w:bottom w:val="single" w:sz="4" w:space="0" w:color="auto"/>
            </w:tcBorders>
          </w:tcPr>
          <w:p w14:paraId="6E6DADC9" w14:textId="77777777" w:rsidR="00B87095" w:rsidRPr="008863CF" w:rsidRDefault="00B87095" w:rsidP="00B87095">
            <w:pPr>
              <w:jc w:val="left"/>
              <w:rPr>
                <w:rFonts w:ascii="Arial" w:hAnsi="Arial" w:cs="Arial"/>
                <w:b/>
                <w:bCs/>
              </w:rPr>
            </w:pPr>
            <w:r w:rsidRPr="008863CF">
              <w:rPr>
                <w:rFonts w:ascii="Arial" w:hAnsi="Arial" w:cs="Arial"/>
                <w:b/>
                <w:bCs/>
              </w:rPr>
              <w:t>Other International</w:t>
            </w:r>
          </w:p>
        </w:tc>
        <w:tc>
          <w:tcPr>
            <w:tcW w:w="792" w:type="pct"/>
            <w:tcBorders>
              <w:top w:val="single" w:sz="4" w:space="0" w:color="auto"/>
              <w:bottom w:val="single" w:sz="4" w:space="0" w:color="auto"/>
            </w:tcBorders>
          </w:tcPr>
          <w:p w14:paraId="00B0DD2D" w14:textId="46C36A42" w:rsidR="00B87095" w:rsidRPr="00342365" w:rsidRDefault="00B87095" w:rsidP="00342365">
            <w:pPr>
              <w:spacing w:before="60"/>
              <w:ind w:left="110" w:hanging="110"/>
              <w:jc w:val="right"/>
              <w:rPr>
                <w:rFonts w:ascii="Arial" w:hAnsi="Arial" w:cs="Arial"/>
                <w:b/>
              </w:rPr>
            </w:pPr>
            <w:r w:rsidRPr="00342365">
              <w:rPr>
                <w:rFonts w:ascii="Arial" w:hAnsi="Arial" w:cs="Arial"/>
                <w:b/>
              </w:rPr>
              <w:t>1</w:t>
            </w:r>
            <w:r w:rsidR="00E54CF3">
              <w:rPr>
                <w:rFonts w:ascii="Arial" w:hAnsi="Arial" w:cs="Arial"/>
                <w:b/>
              </w:rPr>
              <w:t>8,676</w:t>
            </w:r>
          </w:p>
        </w:tc>
        <w:tc>
          <w:tcPr>
            <w:tcW w:w="661" w:type="pct"/>
            <w:tcBorders>
              <w:top w:val="single" w:sz="4" w:space="0" w:color="auto"/>
              <w:bottom w:val="single" w:sz="4" w:space="0" w:color="auto"/>
            </w:tcBorders>
          </w:tcPr>
          <w:p w14:paraId="1C21C338" w14:textId="26DF2279" w:rsidR="00B87095" w:rsidRPr="00342365" w:rsidRDefault="00B87095" w:rsidP="00342365">
            <w:pPr>
              <w:spacing w:before="60"/>
              <w:ind w:left="110" w:hanging="110"/>
              <w:jc w:val="right"/>
              <w:rPr>
                <w:rFonts w:ascii="Arial" w:hAnsi="Arial" w:cs="Arial"/>
                <w:b/>
              </w:rPr>
            </w:pPr>
            <w:r w:rsidRPr="00342365">
              <w:rPr>
                <w:rFonts w:ascii="Arial" w:hAnsi="Arial" w:cs="Arial"/>
                <w:b/>
              </w:rPr>
              <w:t>1</w:t>
            </w:r>
            <w:r w:rsidR="00E54CF3">
              <w:rPr>
                <w:rFonts w:ascii="Arial" w:hAnsi="Arial" w:cs="Arial"/>
                <w:b/>
              </w:rPr>
              <w:t>8</w:t>
            </w:r>
            <w:r w:rsidR="00FB2FE4">
              <w:rPr>
                <w:rFonts w:ascii="Arial" w:hAnsi="Arial" w:cs="Arial"/>
                <w:b/>
              </w:rPr>
              <w:t>4</w:t>
            </w:r>
          </w:p>
        </w:tc>
        <w:tc>
          <w:tcPr>
            <w:tcW w:w="830" w:type="pct"/>
            <w:tcBorders>
              <w:top w:val="single" w:sz="4" w:space="0" w:color="auto"/>
              <w:bottom w:val="single" w:sz="4" w:space="0" w:color="auto"/>
            </w:tcBorders>
          </w:tcPr>
          <w:p w14:paraId="564AF3D7" w14:textId="593A3ECB" w:rsidR="00B87095" w:rsidRPr="00342365" w:rsidRDefault="00B87095" w:rsidP="00342365">
            <w:pPr>
              <w:spacing w:before="60"/>
              <w:ind w:left="110" w:hanging="110"/>
              <w:jc w:val="right"/>
              <w:rPr>
                <w:rFonts w:ascii="Arial" w:hAnsi="Arial" w:cs="Arial"/>
                <w:b/>
              </w:rPr>
            </w:pPr>
            <w:r w:rsidRPr="00342365">
              <w:rPr>
                <w:rFonts w:ascii="Arial" w:hAnsi="Arial" w:cs="Arial"/>
                <w:b/>
              </w:rPr>
              <w:t>1,</w:t>
            </w:r>
            <w:r w:rsidR="00E54CF3">
              <w:rPr>
                <w:rFonts w:ascii="Arial" w:hAnsi="Arial" w:cs="Arial"/>
                <w:b/>
              </w:rPr>
              <w:t>3</w:t>
            </w:r>
            <w:r w:rsidR="00FB2FE4">
              <w:rPr>
                <w:rFonts w:ascii="Arial" w:hAnsi="Arial" w:cs="Arial"/>
                <w:b/>
              </w:rPr>
              <w:t>20</w:t>
            </w:r>
          </w:p>
        </w:tc>
        <w:tc>
          <w:tcPr>
            <w:tcW w:w="735" w:type="pct"/>
            <w:tcBorders>
              <w:top w:val="single" w:sz="4" w:space="0" w:color="auto"/>
              <w:bottom w:val="single" w:sz="4" w:space="0" w:color="auto"/>
            </w:tcBorders>
          </w:tcPr>
          <w:p w14:paraId="147962CD" w14:textId="2A87E37D" w:rsidR="00B87095" w:rsidRPr="002146A2" w:rsidRDefault="00FB2FE4" w:rsidP="002146A2">
            <w:pPr>
              <w:spacing w:before="60"/>
              <w:ind w:left="110" w:hanging="110"/>
              <w:jc w:val="right"/>
              <w:rPr>
                <w:rFonts w:ascii="Arial" w:hAnsi="Arial" w:cs="Arial"/>
                <w:b/>
              </w:rPr>
            </w:pPr>
            <w:r>
              <w:rPr>
                <w:rFonts w:ascii="Arial" w:hAnsi="Arial" w:cs="Arial"/>
                <w:b/>
              </w:rPr>
              <w:t>6</w:t>
            </w:r>
          </w:p>
        </w:tc>
        <w:tc>
          <w:tcPr>
            <w:tcW w:w="735" w:type="pct"/>
            <w:tcBorders>
              <w:top w:val="single" w:sz="4" w:space="0" w:color="auto"/>
              <w:bottom w:val="single" w:sz="4" w:space="0" w:color="auto"/>
            </w:tcBorders>
          </w:tcPr>
          <w:p w14:paraId="0FD00C9F" w14:textId="7E646F89" w:rsidR="00B87095" w:rsidRPr="002146A2" w:rsidRDefault="00B87095" w:rsidP="002146A2">
            <w:pPr>
              <w:spacing w:before="60"/>
              <w:ind w:left="110" w:hanging="110"/>
              <w:jc w:val="right"/>
              <w:rPr>
                <w:rFonts w:ascii="Arial" w:hAnsi="Arial" w:cs="Arial"/>
                <w:b/>
              </w:rPr>
            </w:pPr>
            <w:r w:rsidRPr="002146A2">
              <w:rPr>
                <w:rFonts w:ascii="Arial" w:hAnsi="Arial" w:cs="Arial"/>
                <w:b/>
              </w:rPr>
              <w:t>+</w:t>
            </w:r>
            <w:r w:rsidR="00A92EAB">
              <w:rPr>
                <w:rFonts w:ascii="Arial" w:hAnsi="Arial" w:cs="Arial"/>
                <w:b/>
              </w:rPr>
              <w:t>5</w:t>
            </w:r>
            <w:r w:rsidRPr="002146A2">
              <w:rPr>
                <w:rFonts w:ascii="Arial" w:hAnsi="Arial" w:cs="Arial"/>
                <w:b/>
              </w:rPr>
              <w:t>%</w:t>
            </w:r>
          </w:p>
        </w:tc>
      </w:tr>
      <w:tr w:rsidR="00B87095" w:rsidRPr="008863CF" w14:paraId="5BAA6E41" w14:textId="77777777" w:rsidTr="00883882">
        <w:trPr>
          <w:trHeight w:val="185"/>
        </w:trPr>
        <w:tc>
          <w:tcPr>
            <w:tcW w:w="1247" w:type="pct"/>
            <w:tcBorders>
              <w:top w:val="single" w:sz="4" w:space="0" w:color="auto"/>
              <w:bottom w:val="single" w:sz="4" w:space="0" w:color="auto"/>
            </w:tcBorders>
          </w:tcPr>
          <w:p w14:paraId="5A556FEF" w14:textId="77777777" w:rsidR="00B87095" w:rsidRPr="008863CF" w:rsidRDefault="00B87095" w:rsidP="00B87095">
            <w:pPr>
              <w:spacing w:before="100"/>
              <w:ind w:left="108" w:hanging="108"/>
              <w:jc w:val="left"/>
              <w:rPr>
                <w:rFonts w:ascii="Arial" w:hAnsi="Arial" w:cs="Arial"/>
                <w:b/>
                <w:bCs/>
              </w:rPr>
            </w:pPr>
            <w:r w:rsidRPr="008863CF">
              <w:rPr>
                <w:rFonts w:ascii="Arial" w:hAnsi="Arial" w:cs="Arial"/>
                <w:b/>
                <w:bCs/>
              </w:rPr>
              <w:t xml:space="preserve">Total </w:t>
            </w:r>
          </w:p>
        </w:tc>
        <w:tc>
          <w:tcPr>
            <w:tcW w:w="792" w:type="pct"/>
            <w:tcBorders>
              <w:top w:val="single" w:sz="4" w:space="0" w:color="auto"/>
              <w:bottom w:val="single" w:sz="4" w:space="0" w:color="auto"/>
            </w:tcBorders>
          </w:tcPr>
          <w:p w14:paraId="1AB41365" w14:textId="5AEA70EB" w:rsidR="00B87095" w:rsidRPr="00342365" w:rsidRDefault="00B87095" w:rsidP="00342365">
            <w:pPr>
              <w:spacing w:before="60"/>
              <w:ind w:left="110" w:hanging="110"/>
              <w:jc w:val="right"/>
              <w:rPr>
                <w:rFonts w:ascii="Arial" w:hAnsi="Arial" w:cs="Arial"/>
                <w:b/>
              </w:rPr>
            </w:pPr>
            <w:r w:rsidRPr="00342365">
              <w:rPr>
                <w:rFonts w:ascii="Arial" w:hAnsi="Arial" w:cs="Arial"/>
                <w:b/>
              </w:rPr>
              <w:t>62,</w:t>
            </w:r>
            <w:r w:rsidR="00E54CF3">
              <w:rPr>
                <w:rFonts w:ascii="Arial" w:hAnsi="Arial" w:cs="Arial"/>
                <w:b/>
              </w:rPr>
              <w:t>576</w:t>
            </w:r>
          </w:p>
        </w:tc>
        <w:tc>
          <w:tcPr>
            <w:tcW w:w="661" w:type="pct"/>
            <w:tcBorders>
              <w:top w:val="single" w:sz="4" w:space="0" w:color="auto"/>
              <w:bottom w:val="single" w:sz="4" w:space="0" w:color="auto"/>
            </w:tcBorders>
          </w:tcPr>
          <w:p w14:paraId="0958CEEE" w14:textId="3A2F01E9" w:rsidR="00B87095" w:rsidRPr="00342365" w:rsidRDefault="00B87095" w:rsidP="00342365">
            <w:pPr>
              <w:spacing w:before="60"/>
              <w:ind w:left="110" w:hanging="110"/>
              <w:jc w:val="right"/>
              <w:rPr>
                <w:rFonts w:ascii="Arial" w:hAnsi="Arial" w:cs="Arial"/>
                <w:b/>
              </w:rPr>
            </w:pPr>
            <w:r w:rsidRPr="00342365">
              <w:rPr>
                <w:rFonts w:ascii="Arial" w:hAnsi="Arial" w:cs="Arial"/>
                <w:b/>
              </w:rPr>
              <w:t>1,</w:t>
            </w:r>
            <w:r w:rsidR="00E54CF3">
              <w:rPr>
                <w:rFonts w:ascii="Arial" w:hAnsi="Arial" w:cs="Arial"/>
                <w:b/>
              </w:rPr>
              <w:t>28</w:t>
            </w:r>
            <w:r w:rsidR="00FB2FE4">
              <w:rPr>
                <w:rFonts w:ascii="Arial" w:hAnsi="Arial" w:cs="Arial"/>
                <w:b/>
              </w:rPr>
              <w:t>0</w:t>
            </w:r>
          </w:p>
        </w:tc>
        <w:tc>
          <w:tcPr>
            <w:tcW w:w="830" w:type="pct"/>
            <w:tcBorders>
              <w:top w:val="single" w:sz="4" w:space="0" w:color="auto"/>
              <w:bottom w:val="single" w:sz="4" w:space="0" w:color="auto"/>
            </w:tcBorders>
          </w:tcPr>
          <w:p w14:paraId="2F072DA5" w14:textId="386916C5" w:rsidR="00B87095" w:rsidRPr="00342365" w:rsidRDefault="00B87095" w:rsidP="00342365">
            <w:pPr>
              <w:spacing w:before="60"/>
              <w:ind w:left="110" w:hanging="110"/>
              <w:jc w:val="right"/>
              <w:rPr>
                <w:rFonts w:ascii="Arial" w:hAnsi="Arial" w:cs="Arial"/>
                <w:b/>
              </w:rPr>
            </w:pPr>
            <w:r w:rsidRPr="00342365">
              <w:rPr>
                <w:rFonts w:ascii="Arial" w:hAnsi="Arial" w:cs="Arial"/>
                <w:b/>
              </w:rPr>
              <w:t>5,</w:t>
            </w:r>
            <w:r w:rsidR="00E54CF3">
              <w:rPr>
                <w:rFonts w:ascii="Arial" w:hAnsi="Arial" w:cs="Arial"/>
                <w:b/>
              </w:rPr>
              <w:t>6</w:t>
            </w:r>
            <w:r w:rsidR="00FB2FE4">
              <w:rPr>
                <w:rFonts w:ascii="Arial" w:hAnsi="Arial" w:cs="Arial"/>
                <w:b/>
              </w:rPr>
              <w:t>64</w:t>
            </w:r>
          </w:p>
        </w:tc>
        <w:tc>
          <w:tcPr>
            <w:tcW w:w="735" w:type="pct"/>
            <w:tcBorders>
              <w:top w:val="single" w:sz="4" w:space="0" w:color="auto"/>
              <w:bottom w:val="single" w:sz="4" w:space="0" w:color="auto"/>
            </w:tcBorders>
          </w:tcPr>
          <w:p w14:paraId="416EDAB9" w14:textId="329B5637" w:rsidR="00B87095" w:rsidRPr="002146A2" w:rsidRDefault="00F21498" w:rsidP="002146A2">
            <w:pPr>
              <w:spacing w:before="60"/>
              <w:ind w:left="110" w:hanging="110"/>
              <w:jc w:val="right"/>
              <w:rPr>
                <w:rFonts w:ascii="Arial" w:hAnsi="Arial" w:cs="Arial"/>
                <w:b/>
              </w:rPr>
            </w:pPr>
            <w:r w:rsidRPr="002146A2">
              <w:rPr>
                <w:rFonts w:ascii="Arial" w:hAnsi="Arial" w:cs="Arial"/>
                <w:b/>
              </w:rPr>
              <w:t>5</w:t>
            </w:r>
            <w:r w:rsidR="00FB2FE4">
              <w:rPr>
                <w:rFonts w:ascii="Arial" w:hAnsi="Arial" w:cs="Arial"/>
                <w:b/>
              </w:rPr>
              <w:t>7</w:t>
            </w:r>
          </w:p>
        </w:tc>
        <w:tc>
          <w:tcPr>
            <w:tcW w:w="735" w:type="pct"/>
            <w:tcBorders>
              <w:top w:val="single" w:sz="4" w:space="0" w:color="auto"/>
              <w:bottom w:val="single" w:sz="4" w:space="0" w:color="auto"/>
            </w:tcBorders>
          </w:tcPr>
          <w:p w14:paraId="54C9C57F" w14:textId="43F44FB9" w:rsidR="00B87095" w:rsidRPr="002146A2" w:rsidRDefault="00B87095" w:rsidP="002146A2">
            <w:pPr>
              <w:spacing w:before="60"/>
              <w:ind w:left="110" w:hanging="110"/>
              <w:jc w:val="right"/>
              <w:rPr>
                <w:rFonts w:ascii="Arial" w:hAnsi="Arial" w:cs="Arial"/>
                <w:b/>
              </w:rPr>
            </w:pPr>
            <w:r w:rsidRPr="002146A2">
              <w:rPr>
                <w:rFonts w:ascii="Arial" w:hAnsi="Arial" w:cs="Arial"/>
                <w:b/>
              </w:rPr>
              <w:t>+</w:t>
            </w:r>
            <w:r w:rsidR="00F21498" w:rsidRPr="002146A2">
              <w:rPr>
                <w:rFonts w:ascii="Arial" w:hAnsi="Arial" w:cs="Arial"/>
                <w:b/>
              </w:rPr>
              <w:t>1</w:t>
            </w:r>
            <w:r w:rsidRPr="002146A2">
              <w:rPr>
                <w:rFonts w:ascii="Arial" w:hAnsi="Arial" w:cs="Arial"/>
                <w:b/>
              </w:rPr>
              <w:t>%</w:t>
            </w:r>
          </w:p>
        </w:tc>
      </w:tr>
    </w:tbl>
    <w:p w14:paraId="3FF54375" w14:textId="77777777" w:rsidR="00832149" w:rsidRDefault="00832149" w:rsidP="007D43ED">
      <w:pPr>
        <w:jc w:val="left"/>
        <w:rPr>
          <w:rFonts w:ascii="Arial" w:hAnsi="Arial" w:cs="Arial"/>
          <w:bCs/>
          <w:sz w:val="18"/>
          <w:szCs w:val="18"/>
          <w:vertAlign w:val="superscript"/>
        </w:rPr>
      </w:pPr>
    </w:p>
    <w:p w14:paraId="34549AA4" w14:textId="0D8199C8" w:rsidR="00CF487E" w:rsidRDefault="007D43ED" w:rsidP="007D43ED">
      <w:pPr>
        <w:jc w:val="left"/>
        <w:rPr>
          <w:rFonts w:ascii="Arial" w:hAnsi="Arial" w:cs="Arial"/>
          <w:sz w:val="18"/>
          <w:szCs w:val="18"/>
        </w:rPr>
      </w:pPr>
      <w:r w:rsidRPr="00F74486">
        <w:rPr>
          <w:rFonts w:ascii="Arial" w:hAnsi="Arial" w:cs="Arial"/>
          <w:bCs/>
          <w:sz w:val="18"/>
          <w:szCs w:val="18"/>
          <w:vertAlign w:val="superscript"/>
        </w:rPr>
        <w:t>(</w:t>
      </w:r>
      <w:r w:rsidR="00931630" w:rsidRPr="00F74486">
        <w:rPr>
          <w:rFonts w:ascii="Arial" w:hAnsi="Arial" w:cs="Arial"/>
          <w:bCs/>
          <w:sz w:val="18"/>
          <w:szCs w:val="18"/>
          <w:vertAlign w:val="superscript"/>
        </w:rPr>
        <w:t>1</w:t>
      </w:r>
      <w:r w:rsidRPr="00F74486">
        <w:rPr>
          <w:rFonts w:ascii="Arial" w:hAnsi="Arial" w:cs="Arial"/>
          <w:bCs/>
          <w:sz w:val="18"/>
          <w:szCs w:val="18"/>
          <w:vertAlign w:val="superscript"/>
        </w:rPr>
        <w:t xml:space="preserve">) </w:t>
      </w:r>
      <w:r w:rsidRPr="00F74486">
        <w:rPr>
          <w:rFonts w:ascii="Arial" w:hAnsi="Arial" w:cs="Arial"/>
          <w:sz w:val="18"/>
          <w:szCs w:val="18"/>
        </w:rPr>
        <w:t>Screwfix sales area relates to the front of counter area of an outlet</w:t>
      </w:r>
    </w:p>
    <w:p w14:paraId="7775FC9F" w14:textId="7C1B16E9" w:rsidR="00F07AFB" w:rsidRPr="00F74486" w:rsidRDefault="00F07AFB" w:rsidP="007D43ED">
      <w:pPr>
        <w:jc w:val="left"/>
        <w:rPr>
          <w:rFonts w:ascii="Arial" w:hAnsi="Arial" w:cs="Arial"/>
          <w:sz w:val="18"/>
          <w:szCs w:val="18"/>
        </w:rPr>
      </w:pPr>
      <w:r w:rsidRPr="00F74486">
        <w:rPr>
          <w:rFonts w:ascii="Arial" w:hAnsi="Arial" w:cs="Arial"/>
          <w:bCs/>
          <w:sz w:val="18"/>
          <w:szCs w:val="18"/>
          <w:vertAlign w:val="superscript"/>
        </w:rPr>
        <w:t>(</w:t>
      </w:r>
      <w:r>
        <w:rPr>
          <w:rFonts w:ascii="Arial" w:hAnsi="Arial" w:cs="Arial"/>
          <w:bCs/>
          <w:sz w:val="18"/>
          <w:szCs w:val="18"/>
          <w:vertAlign w:val="superscript"/>
        </w:rPr>
        <w:t>2</w:t>
      </w:r>
      <w:r w:rsidRPr="00F74486">
        <w:rPr>
          <w:rFonts w:ascii="Arial" w:hAnsi="Arial" w:cs="Arial"/>
          <w:bCs/>
          <w:sz w:val="18"/>
          <w:szCs w:val="18"/>
          <w:vertAlign w:val="superscript"/>
        </w:rPr>
        <w:t>)</w:t>
      </w:r>
      <w:r>
        <w:rPr>
          <w:rFonts w:ascii="Arial" w:hAnsi="Arial" w:cs="Arial"/>
          <w:bCs/>
          <w:sz w:val="18"/>
          <w:szCs w:val="18"/>
          <w:vertAlign w:val="superscript"/>
        </w:rPr>
        <w:t xml:space="preserve"> </w:t>
      </w:r>
      <w:r w:rsidR="003830FB">
        <w:rPr>
          <w:rFonts w:ascii="Arial" w:hAnsi="Arial" w:cs="Arial"/>
          <w:sz w:val="18"/>
          <w:szCs w:val="18"/>
        </w:rPr>
        <w:t xml:space="preserve">Excludes 3 </w:t>
      </w:r>
      <w:proofErr w:type="spellStart"/>
      <w:r w:rsidR="003830FB">
        <w:rPr>
          <w:rFonts w:ascii="Arial" w:hAnsi="Arial" w:cs="Arial"/>
          <w:sz w:val="18"/>
          <w:szCs w:val="18"/>
        </w:rPr>
        <w:t>Praktiker</w:t>
      </w:r>
      <w:proofErr w:type="spellEnd"/>
      <w:r w:rsidR="003830FB">
        <w:rPr>
          <w:rFonts w:ascii="Arial" w:hAnsi="Arial" w:cs="Arial"/>
          <w:sz w:val="18"/>
          <w:szCs w:val="18"/>
        </w:rPr>
        <w:t xml:space="preserve"> Romania stores that will be closed </w:t>
      </w:r>
    </w:p>
    <w:p w14:paraId="2CBD560D" w14:textId="77777777" w:rsidR="007D43ED" w:rsidRPr="00A845B7" w:rsidRDefault="007D43ED" w:rsidP="007D43ED">
      <w:pPr>
        <w:pStyle w:val="ListParagraph"/>
        <w:jc w:val="left"/>
        <w:rPr>
          <w:rFonts w:ascii="Arial" w:hAnsi="Arial" w:cs="Arial"/>
          <w:bCs/>
          <w:highlight w:val="yellow"/>
        </w:rPr>
      </w:pPr>
    </w:p>
    <w:p w14:paraId="769B0DB5" w14:textId="77777777" w:rsidR="007D43ED" w:rsidRPr="00A845B7" w:rsidRDefault="007D43ED" w:rsidP="00925EFB">
      <w:pPr>
        <w:jc w:val="left"/>
        <w:rPr>
          <w:rFonts w:ascii="Arial" w:hAnsi="Arial" w:cs="Arial"/>
          <w:b/>
          <w:bCs/>
        </w:rPr>
      </w:pPr>
      <w:r w:rsidRPr="00A845B7">
        <w:rPr>
          <w:rFonts w:ascii="Arial" w:hAnsi="Arial" w:cs="Arial"/>
          <w:b/>
          <w:bCs/>
        </w:rPr>
        <w:t>Income statement:</w:t>
      </w:r>
    </w:p>
    <w:p w14:paraId="3569C28E" w14:textId="7207DA7C" w:rsidR="007A7843" w:rsidRPr="005B2D1B" w:rsidRDefault="005B2D1B" w:rsidP="006B39C7">
      <w:pPr>
        <w:pStyle w:val="ListParagraph"/>
        <w:numPr>
          <w:ilvl w:val="0"/>
          <w:numId w:val="4"/>
        </w:numPr>
        <w:jc w:val="left"/>
        <w:rPr>
          <w:rFonts w:ascii="Arial" w:hAnsi="Arial" w:cs="Arial"/>
          <w:bCs/>
        </w:rPr>
      </w:pPr>
      <w:r w:rsidRPr="0018703F">
        <w:rPr>
          <w:rFonts w:ascii="Arial" w:hAnsi="Arial" w:cs="Arial"/>
          <w:bCs/>
        </w:rPr>
        <w:t>G</w:t>
      </w:r>
      <w:r w:rsidR="00295B76">
        <w:rPr>
          <w:rFonts w:ascii="Arial" w:hAnsi="Arial" w:cs="Arial"/>
          <w:bCs/>
        </w:rPr>
        <w:t>roup g</w:t>
      </w:r>
      <w:r w:rsidR="00B019FB" w:rsidRPr="005B2D1B">
        <w:rPr>
          <w:rFonts w:ascii="Arial" w:hAnsi="Arial" w:cs="Arial"/>
          <w:bCs/>
        </w:rPr>
        <w:t>ross margin</w:t>
      </w:r>
      <w:r w:rsidR="00F8340C" w:rsidRPr="005B2D1B">
        <w:rPr>
          <w:rFonts w:ascii="Arial" w:hAnsi="Arial" w:cs="Arial"/>
          <w:bCs/>
        </w:rPr>
        <w:t xml:space="preserve"> </w:t>
      </w:r>
      <w:r w:rsidR="00266517">
        <w:rPr>
          <w:rFonts w:ascii="Arial" w:hAnsi="Arial" w:cs="Arial"/>
          <w:bCs/>
        </w:rPr>
        <w:t>to grow</w:t>
      </w:r>
      <w:r w:rsidR="003409A1">
        <w:rPr>
          <w:rFonts w:ascii="Arial" w:hAnsi="Arial" w:cs="Arial"/>
          <w:bCs/>
        </w:rPr>
        <w:t xml:space="preserve"> </w:t>
      </w:r>
      <w:r w:rsidRPr="0018703F">
        <w:rPr>
          <w:rFonts w:ascii="Arial" w:hAnsi="Arial" w:cs="Arial"/>
          <w:bCs/>
        </w:rPr>
        <w:t>driven by</w:t>
      </w:r>
      <w:r w:rsidRPr="005B2D1B">
        <w:rPr>
          <w:rFonts w:ascii="Arial" w:hAnsi="Arial" w:cs="Arial"/>
          <w:bCs/>
        </w:rPr>
        <w:t xml:space="preserve"> </w:t>
      </w:r>
      <w:r w:rsidR="007A5F86">
        <w:rPr>
          <w:rFonts w:ascii="Arial" w:hAnsi="Arial" w:cs="Arial"/>
          <w:bCs/>
        </w:rPr>
        <w:t>u</w:t>
      </w:r>
      <w:r w:rsidR="00F8340C" w:rsidRPr="005B2D1B">
        <w:rPr>
          <w:rFonts w:ascii="Arial" w:hAnsi="Arial" w:cs="Arial"/>
          <w:bCs/>
        </w:rPr>
        <w:t xml:space="preserve">nified &amp; </w:t>
      </w:r>
      <w:r w:rsidR="007A5F86">
        <w:rPr>
          <w:rFonts w:ascii="Arial" w:hAnsi="Arial" w:cs="Arial"/>
          <w:bCs/>
        </w:rPr>
        <w:t>u</w:t>
      </w:r>
      <w:r w:rsidR="00F8340C" w:rsidRPr="005B2D1B">
        <w:rPr>
          <w:rFonts w:ascii="Arial" w:hAnsi="Arial" w:cs="Arial"/>
          <w:bCs/>
        </w:rPr>
        <w:t xml:space="preserve">nique </w:t>
      </w:r>
      <w:r w:rsidR="001F5359" w:rsidRPr="005B2D1B">
        <w:rPr>
          <w:rFonts w:ascii="Arial" w:hAnsi="Arial" w:cs="Arial"/>
          <w:bCs/>
        </w:rPr>
        <w:t>O</w:t>
      </w:r>
      <w:r w:rsidR="00F8340C" w:rsidRPr="005B2D1B">
        <w:rPr>
          <w:rFonts w:ascii="Arial" w:hAnsi="Arial" w:cs="Arial"/>
          <w:bCs/>
        </w:rPr>
        <w:t xml:space="preserve">ffer </w:t>
      </w:r>
      <w:r w:rsidR="00B23552" w:rsidRPr="005B2D1B">
        <w:rPr>
          <w:rFonts w:ascii="Arial" w:hAnsi="Arial" w:cs="Arial"/>
          <w:bCs/>
        </w:rPr>
        <w:t>CPR</w:t>
      </w:r>
      <w:r w:rsidR="00F8340C" w:rsidRPr="005B2D1B">
        <w:rPr>
          <w:rFonts w:ascii="Arial" w:hAnsi="Arial" w:cs="Arial"/>
          <w:bCs/>
          <w:vertAlign w:val="superscript"/>
        </w:rPr>
        <w:t xml:space="preserve"> </w:t>
      </w:r>
      <w:r w:rsidR="00F8340C" w:rsidRPr="005B2D1B">
        <w:rPr>
          <w:rFonts w:ascii="Arial" w:hAnsi="Arial" w:cs="Arial"/>
          <w:bCs/>
        </w:rPr>
        <w:t xml:space="preserve">benefits </w:t>
      </w:r>
      <w:r w:rsidRPr="0018703F">
        <w:rPr>
          <w:rFonts w:ascii="Arial" w:hAnsi="Arial" w:cs="Arial"/>
          <w:bCs/>
        </w:rPr>
        <w:t>net of</w:t>
      </w:r>
      <w:r w:rsidR="00841F7E" w:rsidRPr="005B2D1B">
        <w:rPr>
          <w:rFonts w:ascii="Arial" w:hAnsi="Arial" w:cs="Arial"/>
          <w:bCs/>
        </w:rPr>
        <w:t xml:space="preserve"> </w:t>
      </w:r>
      <w:r w:rsidRPr="0018703F">
        <w:rPr>
          <w:rFonts w:ascii="Arial" w:hAnsi="Arial" w:cs="Arial"/>
          <w:bCs/>
        </w:rPr>
        <w:t xml:space="preserve">some </w:t>
      </w:r>
      <w:r w:rsidR="00E44B62" w:rsidRPr="005B2D1B">
        <w:rPr>
          <w:rFonts w:ascii="Arial" w:hAnsi="Arial" w:cs="Arial"/>
          <w:bCs/>
        </w:rPr>
        <w:t xml:space="preserve">price </w:t>
      </w:r>
      <w:r w:rsidR="00841F7E" w:rsidRPr="005B2D1B">
        <w:rPr>
          <w:rFonts w:ascii="Arial" w:hAnsi="Arial" w:cs="Arial"/>
          <w:bCs/>
        </w:rPr>
        <w:t>reinvestment</w:t>
      </w:r>
      <w:r w:rsidR="00FD4447" w:rsidRPr="005B2D1B">
        <w:rPr>
          <w:rFonts w:ascii="Arial" w:hAnsi="Arial" w:cs="Arial"/>
          <w:bCs/>
        </w:rPr>
        <w:t xml:space="preserve"> and </w:t>
      </w:r>
      <w:r w:rsidR="00F8340C" w:rsidRPr="005B2D1B">
        <w:rPr>
          <w:rFonts w:ascii="Arial" w:hAnsi="Arial" w:cs="Arial"/>
          <w:bCs/>
        </w:rPr>
        <w:t xml:space="preserve">clearance </w:t>
      </w:r>
    </w:p>
    <w:p w14:paraId="35598758" w14:textId="2F9E1B08" w:rsidR="007072BB" w:rsidRPr="005B2D1B" w:rsidRDefault="007072BB">
      <w:pPr>
        <w:pStyle w:val="ListParagraph"/>
        <w:numPr>
          <w:ilvl w:val="0"/>
          <w:numId w:val="4"/>
        </w:numPr>
        <w:jc w:val="left"/>
        <w:rPr>
          <w:rFonts w:ascii="Arial" w:hAnsi="Arial" w:cs="Arial"/>
          <w:bCs/>
        </w:rPr>
      </w:pPr>
      <w:r w:rsidRPr="005B2D1B">
        <w:rPr>
          <w:rFonts w:ascii="Arial" w:hAnsi="Arial" w:cs="Arial"/>
          <w:bCs/>
        </w:rPr>
        <w:t>Underlying profit expected to include up to</w:t>
      </w:r>
      <w:r w:rsidR="00B019FB" w:rsidRPr="005B2D1B">
        <w:rPr>
          <w:rFonts w:ascii="Arial" w:hAnsi="Arial" w:cs="Arial"/>
          <w:bCs/>
        </w:rPr>
        <w:t xml:space="preserve"> </w:t>
      </w:r>
      <w:r w:rsidR="002B01C2">
        <w:rPr>
          <w:rFonts w:ascii="Arial" w:hAnsi="Arial" w:cs="Arial"/>
          <w:bCs/>
        </w:rPr>
        <w:t xml:space="preserve">a further </w:t>
      </w:r>
      <w:r w:rsidR="00FF2996">
        <w:rPr>
          <w:rFonts w:ascii="Arial" w:hAnsi="Arial" w:cs="Arial"/>
          <w:bCs/>
        </w:rPr>
        <w:t>c.</w:t>
      </w:r>
      <w:r w:rsidRPr="005B2D1B">
        <w:rPr>
          <w:rFonts w:ascii="Arial" w:hAnsi="Arial" w:cs="Arial"/>
          <w:bCs/>
        </w:rPr>
        <w:t>£</w:t>
      </w:r>
      <w:r w:rsidR="00345B78">
        <w:rPr>
          <w:rFonts w:ascii="Arial" w:hAnsi="Arial" w:cs="Arial"/>
          <w:bCs/>
        </w:rPr>
        <w:t>3</w:t>
      </w:r>
      <w:r w:rsidR="00AA79E8" w:rsidRPr="005B2D1B">
        <w:rPr>
          <w:rFonts w:ascii="Arial" w:hAnsi="Arial" w:cs="Arial"/>
          <w:bCs/>
        </w:rPr>
        <w:t>0</w:t>
      </w:r>
      <w:r w:rsidRPr="005B2D1B">
        <w:rPr>
          <w:rFonts w:ascii="Arial" w:hAnsi="Arial" w:cs="Arial"/>
          <w:bCs/>
        </w:rPr>
        <w:t>m operational efficiency benefits</w:t>
      </w:r>
    </w:p>
    <w:p w14:paraId="46AA18EE" w14:textId="0EAF81D0" w:rsidR="00622B91" w:rsidRPr="00F74486" w:rsidRDefault="00622B91">
      <w:pPr>
        <w:pStyle w:val="ListParagraph"/>
        <w:numPr>
          <w:ilvl w:val="0"/>
          <w:numId w:val="4"/>
        </w:numPr>
        <w:jc w:val="left"/>
        <w:rPr>
          <w:rFonts w:ascii="Arial" w:hAnsi="Arial" w:cs="Arial"/>
          <w:bCs/>
        </w:rPr>
      </w:pPr>
      <w:r w:rsidRPr="00F74486">
        <w:rPr>
          <w:rFonts w:ascii="Arial" w:hAnsi="Arial" w:cs="Arial"/>
          <w:bCs/>
        </w:rPr>
        <w:t xml:space="preserve">Total </w:t>
      </w:r>
      <w:proofErr w:type="gramStart"/>
      <w:r w:rsidRPr="00F74486">
        <w:rPr>
          <w:rFonts w:ascii="Arial" w:hAnsi="Arial" w:cs="Arial"/>
          <w:bCs/>
        </w:rPr>
        <w:t>5 year</w:t>
      </w:r>
      <w:proofErr w:type="gramEnd"/>
      <w:r w:rsidRPr="00F74486">
        <w:rPr>
          <w:rFonts w:ascii="Arial" w:hAnsi="Arial" w:cs="Arial"/>
          <w:bCs/>
        </w:rPr>
        <w:t xml:space="preserve"> transformation costs £800m</w:t>
      </w:r>
      <w:r w:rsidR="00A90810">
        <w:rPr>
          <w:rFonts w:ascii="Arial" w:hAnsi="Arial" w:cs="Arial"/>
          <w:bCs/>
        </w:rPr>
        <w:t xml:space="preserve"> over 5 years to FY 20/21</w:t>
      </w:r>
    </w:p>
    <w:p w14:paraId="068B33C3" w14:textId="1F9AA5AE" w:rsidR="000E51EF" w:rsidRPr="00F74486" w:rsidRDefault="000E51EF" w:rsidP="00C36E6F">
      <w:pPr>
        <w:pStyle w:val="ListParagraph"/>
        <w:numPr>
          <w:ilvl w:val="1"/>
          <w:numId w:val="4"/>
        </w:numPr>
        <w:jc w:val="left"/>
        <w:rPr>
          <w:rFonts w:ascii="Arial" w:hAnsi="Arial" w:cs="Arial"/>
          <w:bCs/>
        </w:rPr>
      </w:pPr>
      <w:r w:rsidRPr="00F74486">
        <w:rPr>
          <w:rFonts w:ascii="Arial" w:hAnsi="Arial" w:cs="Arial"/>
          <w:bCs/>
        </w:rPr>
        <w:t xml:space="preserve">Transformation P&amp;L costs of </w:t>
      </w:r>
      <w:r w:rsidR="00B23552" w:rsidRPr="00F74486">
        <w:rPr>
          <w:rFonts w:ascii="Arial" w:hAnsi="Arial" w:cs="Arial"/>
          <w:bCs/>
        </w:rPr>
        <w:t>c</w:t>
      </w:r>
      <w:r w:rsidR="003F0FF4">
        <w:rPr>
          <w:rFonts w:ascii="Arial" w:hAnsi="Arial" w:cs="Arial"/>
          <w:bCs/>
        </w:rPr>
        <w:t xml:space="preserve"> </w:t>
      </w:r>
      <w:r w:rsidRPr="00F74486">
        <w:rPr>
          <w:rFonts w:ascii="Arial" w:hAnsi="Arial" w:cs="Arial"/>
          <w:bCs/>
        </w:rPr>
        <w:t>£</w:t>
      </w:r>
      <w:r w:rsidR="00F14169" w:rsidRPr="00F74486">
        <w:rPr>
          <w:rFonts w:ascii="Arial" w:hAnsi="Arial" w:cs="Arial"/>
          <w:bCs/>
        </w:rPr>
        <w:t>3</w:t>
      </w:r>
      <w:r w:rsidR="00B23552" w:rsidRPr="00F74486">
        <w:rPr>
          <w:rFonts w:ascii="Arial" w:hAnsi="Arial" w:cs="Arial"/>
          <w:bCs/>
        </w:rPr>
        <w:t>1</w:t>
      </w:r>
      <w:r w:rsidR="00F14169" w:rsidRPr="00F74486">
        <w:rPr>
          <w:rFonts w:ascii="Arial" w:hAnsi="Arial" w:cs="Arial"/>
          <w:bCs/>
        </w:rPr>
        <w:t>0</w:t>
      </w:r>
      <w:r w:rsidR="00E95DC2" w:rsidRPr="00F74486">
        <w:rPr>
          <w:rFonts w:ascii="Arial" w:hAnsi="Arial" w:cs="Arial"/>
          <w:bCs/>
        </w:rPr>
        <w:t>m</w:t>
      </w:r>
      <w:r w:rsidR="009E33DD">
        <w:rPr>
          <w:rFonts w:ascii="Arial" w:hAnsi="Arial" w:cs="Arial"/>
          <w:bCs/>
        </w:rPr>
        <w:t>.</w:t>
      </w:r>
      <w:r w:rsidR="003F0FF4">
        <w:rPr>
          <w:rFonts w:ascii="Arial" w:hAnsi="Arial" w:cs="Arial"/>
          <w:bCs/>
        </w:rPr>
        <w:t xml:space="preserve"> </w:t>
      </w:r>
      <w:r w:rsidRPr="00F74486">
        <w:rPr>
          <w:rFonts w:ascii="Arial" w:hAnsi="Arial" w:cs="Arial"/>
          <w:bCs/>
        </w:rPr>
        <w:t xml:space="preserve">FY </w:t>
      </w:r>
      <w:r w:rsidR="00E95DC2" w:rsidRPr="00F74486">
        <w:rPr>
          <w:rFonts w:ascii="Arial" w:hAnsi="Arial" w:cs="Arial"/>
          <w:bCs/>
        </w:rPr>
        <w:t>18</w:t>
      </w:r>
      <w:r w:rsidR="005B2D1B" w:rsidRPr="00F74486">
        <w:rPr>
          <w:rFonts w:ascii="Arial" w:hAnsi="Arial" w:cs="Arial"/>
          <w:bCs/>
        </w:rPr>
        <w:t>/19</w:t>
      </w:r>
      <w:r w:rsidRPr="00F74486">
        <w:rPr>
          <w:rFonts w:ascii="Arial" w:hAnsi="Arial" w:cs="Arial"/>
          <w:bCs/>
        </w:rPr>
        <w:t xml:space="preserve"> expected to be </w:t>
      </w:r>
      <w:r w:rsidR="007072BB" w:rsidRPr="00F74486">
        <w:rPr>
          <w:rFonts w:ascii="Arial" w:hAnsi="Arial" w:cs="Arial"/>
          <w:bCs/>
        </w:rPr>
        <w:t>c.</w:t>
      </w:r>
      <w:r w:rsidRPr="00F74486">
        <w:rPr>
          <w:rFonts w:ascii="Arial" w:hAnsi="Arial" w:cs="Arial"/>
          <w:bCs/>
        </w:rPr>
        <w:t>£</w:t>
      </w:r>
      <w:r w:rsidR="00170F16" w:rsidRPr="003F0FF4">
        <w:rPr>
          <w:rFonts w:ascii="Arial" w:hAnsi="Arial" w:cs="Arial"/>
          <w:bCs/>
        </w:rPr>
        <w:t>1</w:t>
      </w:r>
      <w:r w:rsidR="00A90810">
        <w:rPr>
          <w:rFonts w:ascii="Arial" w:hAnsi="Arial" w:cs="Arial"/>
          <w:bCs/>
        </w:rPr>
        <w:t>3</w:t>
      </w:r>
      <w:r w:rsidR="00170F16" w:rsidRPr="003F0FF4">
        <w:rPr>
          <w:rFonts w:ascii="Arial" w:hAnsi="Arial" w:cs="Arial"/>
          <w:bCs/>
        </w:rPr>
        <w:t>0</w:t>
      </w:r>
      <w:r w:rsidR="00170F16" w:rsidRPr="00F74486">
        <w:rPr>
          <w:rFonts w:ascii="Arial" w:hAnsi="Arial" w:cs="Arial"/>
          <w:bCs/>
        </w:rPr>
        <w:t xml:space="preserve">m </w:t>
      </w:r>
    </w:p>
    <w:p w14:paraId="254D7664" w14:textId="6AD4FE86" w:rsidR="000E51EF" w:rsidRPr="00F74486" w:rsidRDefault="000E51EF" w:rsidP="00C36E6F">
      <w:pPr>
        <w:pStyle w:val="ListParagraph"/>
        <w:numPr>
          <w:ilvl w:val="1"/>
          <w:numId w:val="4"/>
        </w:numPr>
        <w:jc w:val="left"/>
        <w:rPr>
          <w:rFonts w:ascii="Arial" w:hAnsi="Arial" w:cs="Arial"/>
          <w:bCs/>
        </w:rPr>
      </w:pPr>
      <w:r w:rsidRPr="00F74486">
        <w:rPr>
          <w:rFonts w:ascii="Arial" w:hAnsi="Arial" w:cs="Arial"/>
          <w:bCs/>
        </w:rPr>
        <w:t xml:space="preserve">Transformation exceptional costs of </w:t>
      </w:r>
      <w:r w:rsidR="00B23552" w:rsidRPr="00F74486">
        <w:rPr>
          <w:rFonts w:ascii="Arial" w:hAnsi="Arial" w:cs="Arial"/>
          <w:bCs/>
        </w:rPr>
        <w:t>c.</w:t>
      </w:r>
      <w:r w:rsidRPr="00F74486">
        <w:rPr>
          <w:rFonts w:ascii="Arial" w:hAnsi="Arial" w:cs="Arial"/>
          <w:bCs/>
        </w:rPr>
        <w:t>£</w:t>
      </w:r>
      <w:r w:rsidR="00B23552" w:rsidRPr="00F74486">
        <w:rPr>
          <w:rFonts w:ascii="Arial" w:hAnsi="Arial" w:cs="Arial"/>
          <w:bCs/>
        </w:rPr>
        <w:t>170</w:t>
      </w:r>
      <w:r w:rsidR="00E95DC2" w:rsidRPr="00F74486">
        <w:rPr>
          <w:rFonts w:ascii="Arial" w:hAnsi="Arial" w:cs="Arial"/>
          <w:bCs/>
        </w:rPr>
        <w:t>m</w:t>
      </w:r>
      <w:r w:rsidR="003F0FF4" w:rsidRPr="003F0FF4">
        <w:rPr>
          <w:rFonts w:ascii="Arial" w:hAnsi="Arial" w:cs="Arial"/>
          <w:bCs/>
        </w:rPr>
        <w:t xml:space="preserve">. </w:t>
      </w:r>
      <w:r w:rsidRPr="00F74486">
        <w:rPr>
          <w:rFonts w:ascii="Arial" w:hAnsi="Arial" w:cs="Arial"/>
          <w:bCs/>
        </w:rPr>
        <w:t>FY 1</w:t>
      </w:r>
      <w:r w:rsidR="007110C0" w:rsidRPr="00F74486">
        <w:rPr>
          <w:rFonts w:ascii="Arial" w:hAnsi="Arial" w:cs="Arial"/>
          <w:bCs/>
        </w:rPr>
        <w:t>8</w:t>
      </w:r>
      <w:r w:rsidR="003F0FF4" w:rsidRPr="003F0FF4">
        <w:rPr>
          <w:rFonts w:ascii="Arial" w:hAnsi="Arial" w:cs="Arial"/>
          <w:bCs/>
        </w:rPr>
        <w:t>/19</w:t>
      </w:r>
      <w:r w:rsidRPr="00F74486">
        <w:rPr>
          <w:rFonts w:ascii="Arial" w:hAnsi="Arial" w:cs="Arial"/>
          <w:bCs/>
        </w:rPr>
        <w:t xml:space="preserve"> expected to be</w:t>
      </w:r>
      <w:r w:rsidR="007110C0" w:rsidRPr="00F74486">
        <w:rPr>
          <w:rFonts w:ascii="Arial" w:hAnsi="Arial" w:cs="Arial"/>
          <w:bCs/>
        </w:rPr>
        <w:t xml:space="preserve"> </w:t>
      </w:r>
      <w:r w:rsidR="00B23552" w:rsidRPr="00F74486">
        <w:rPr>
          <w:rFonts w:ascii="Arial" w:hAnsi="Arial" w:cs="Arial"/>
          <w:bCs/>
        </w:rPr>
        <w:t>c.</w:t>
      </w:r>
      <w:r w:rsidR="007110C0" w:rsidRPr="00F74486">
        <w:rPr>
          <w:rFonts w:ascii="Arial" w:hAnsi="Arial" w:cs="Arial"/>
          <w:bCs/>
        </w:rPr>
        <w:t>£</w:t>
      </w:r>
      <w:r w:rsidR="006B55FF" w:rsidRPr="00F74486">
        <w:rPr>
          <w:rFonts w:ascii="Arial" w:hAnsi="Arial" w:cs="Arial"/>
          <w:bCs/>
        </w:rPr>
        <w:t>50m</w:t>
      </w:r>
    </w:p>
    <w:p w14:paraId="157CD9FE" w14:textId="7F0F3318" w:rsidR="007D43ED" w:rsidRPr="00F74486" w:rsidRDefault="00A90810">
      <w:pPr>
        <w:pStyle w:val="ListParagraph"/>
        <w:numPr>
          <w:ilvl w:val="0"/>
          <w:numId w:val="4"/>
        </w:numPr>
        <w:jc w:val="left"/>
        <w:rPr>
          <w:rFonts w:ascii="Arial" w:hAnsi="Arial" w:cs="Arial"/>
          <w:bCs/>
        </w:rPr>
      </w:pPr>
      <w:r>
        <w:rPr>
          <w:rFonts w:ascii="Arial" w:hAnsi="Arial" w:cs="Arial"/>
          <w:bCs/>
        </w:rPr>
        <w:t>Screwfix Germany r</w:t>
      </w:r>
      <w:r w:rsidR="007D43ED" w:rsidRPr="00F74486">
        <w:rPr>
          <w:rFonts w:ascii="Arial" w:hAnsi="Arial" w:cs="Arial"/>
          <w:bCs/>
        </w:rPr>
        <w:t xml:space="preserve">etail losses expected to be </w:t>
      </w:r>
      <w:r w:rsidR="007072BB" w:rsidRPr="00F74486">
        <w:rPr>
          <w:rFonts w:ascii="Arial" w:hAnsi="Arial" w:cs="Arial"/>
          <w:bCs/>
        </w:rPr>
        <w:t>c.</w:t>
      </w:r>
      <w:r w:rsidR="007D43ED" w:rsidRPr="00F74486">
        <w:rPr>
          <w:rFonts w:ascii="Arial" w:hAnsi="Arial" w:cs="Arial"/>
          <w:bCs/>
        </w:rPr>
        <w:t>£</w:t>
      </w:r>
      <w:r w:rsidR="006B55FF" w:rsidRPr="00F74486">
        <w:rPr>
          <w:rFonts w:ascii="Arial" w:hAnsi="Arial" w:cs="Arial"/>
          <w:bCs/>
        </w:rPr>
        <w:t>15m</w:t>
      </w:r>
      <w:r w:rsidR="00466E20" w:rsidRPr="00F74486">
        <w:rPr>
          <w:rFonts w:ascii="Arial" w:hAnsi="Arial" w:cs="Arial"/>
          <w:bCs/>
        </w:rPr>
        <w:t xml:space="preserve"> </w:t>
      </w:r>
    </w:p>
    <w:p w14:paraId="2818E63F" w14:textId="6DEAA33D" w:rsidR="00D5167F" w:rsidRPr="00F74486" w:rsidRDefault="00D5167F">
      <w:pPr>
        <w:pStyle w:val="ListParagraph"/>
        <w:numPr>
          <w:ilvl w:val="0"/>
          <w:numId w:val="4"/>
        </w:numPr>
        <w:jc w:val="left"/>
        <w:rPr>
          <w:rFonts w:ascii="Arial" w:hAnsi="Arial" w:cs="Arial"/>
          <w:bCs/>
        </w:rPr>
      </w:pPr>
      <w:r w:rsidRPr="00F74486">
        <w:rPr>
          <w:rFonts w:ascii="Arial" w:hAnsi="Arial" w:cs="Arial"/>
          <w:bCs/>
        </w:rPr>
        <w:t>Central costs expected to be c.£</w:t>
      </w:r>
      <w:r w:rsidR="006B55FF" w:rsidRPr="00F74486">
        <w:rPr>
          <w:rFonts w:ascii="Arial" w:hAnsi="Arial" w:cs="Arial"/>
          <w:bCs/>
        </w:rPr>
        <w:t>50m</w:t>
      </w:r>
    </w:p>
    <w:p w14:paraId="785788F4" w14:textId="48A7F813" w:rsidR="007D43ED" w:rsidRPr="00D978CF" w:rsidRDefault="00365B2C">
      <w:pPr>
        <w:pStyle w:val="ListParagraph"/>
        <w:numPr>
          <w:ilvl w:val="0"/>
          <w:numId w:val="4"/>
        </w:numPr>
        <w:jc w:val="left"/>
        <w:rPr>
          <w:rFonts w:ascii="Arial" w:hAnsi="Arial" w:cs="Arial"/>
          <w:bCs/>
        </w:rPr>
      </w:pPr>
      <w:r w:rsidRPr="00D978CF">
        <w:rPr>
          <w:rFonts w:ascii="Arial" w:hAnsi="Arial" w:cs="Arial"/>
          <w:bCs/>
        </w:rPr>
        <w:t xml:space="preserve">Effective </w:t>
      </w:r>
      <w:r w:rsidR="007D43ED" w:rsidRPr="00D978CF">
        <w:rPr>
          <w:rFonts w:ascii="Arial" w:hAnsi="Arial" w:cs="Arial"/>
          <w:bCs/>
        </w:rPr>
        <w:t xml:space="preserve">tax rate expected to be around </w:t>
      </w:r>
      <w:r w:rsidR="005B2D1B" w:rsidRPr="00D978CF">
        <w:rPr>
          <w:rFonts w:ascii="Arial" w:hAnsi="Arial" w:cs="Arial"/>
          <w:bCs/>
        </w:rPr>
        <w:t>27</w:t>
      </w:r>
      <w:r w:rsidR="007D43ED" w:rsidRPr="00D978CF">
        <w:rPr>
          <w:rFonts w:ascii="Arial" w:hAnsi="Arial" w:cs="Arial"/>
          <w:bCs/>
        </w:rPr>
        <w:t>%, subject to the blend of profit within the companies</w:t>
      </w:r>
      <w:r w:rsidR="00D23E41" w:rsidRPr="00D978CF">
        <w:rPr>
          <w:rFonts w:ascii="Arial" w:hAnsi="Arial" w:cs="Arial"/>
          <w:bCs/>
        </w:rPr>
        <w:t>’</w:t>
      </w:r>
      <w:r w:rsidR="007D43ED" w:rsidRPr="00D978CF">
        <w:rPr>
          <w:rFonts w:ascii="Arial" w:hAnsi="Arial" w:cs="Arial"/>
          <w:bCs/>
        </w:rPr>
        <w:t xml:space="preserve"> various jurisdictions </w:t>
      </w:r>
    </w:p>
    <w:p w14:paraId="512DEA28" w14:textId="77777777" w:rsidR="00320919" w:rsidRPr="00A845B7" w:rsidRDefault="00320919" w:rsidP="00925EFB">
      <w:pPr>
        <w:pStyle w:val="ListParagraph"/>
        <w:jc w:val="left"/>
        <w:rPr>
          <w:rFonts w:ascii="Arial" w:hAnsi="Arial" w:cs="Arial"/>
          <w:bCs/>
        </w:rPr>
      </w:pPr>
    </w:p>
    <w:p w14:paraId="697CE190" w14:textId="77777777" w:rsidR="007D43ED" w:rsidRPr="00A845B7" w:rsidRDefault="007D43ED" w:rsidP="00925EFB">
      <w:pPr>
        <w:jc w:val="left"/>
        <w:rPr>
          <w:rFonts w:ascii="Arial" w:hAnsi="Arial" w:cs="Arial"/>
          <w:b/>
          <w:bCs/>
        </w:rPr>
      </w:pPr>
      <w:r w:rsidRPr="00A845B7">
        <w:rPr>
          <w:rFonts w:ascii="Arial" w:hAnsi="Arial" w:cs="Arial"/>
          <w:b/>
          <w:bCs/>
        </w:rPr>
        <w:t>Cash flow:</w:t>
      </w:r>
    </w:p>
    <w:p w14:paraId="65C7E930" w14:textId="77777777" w:rsidR="00CD3D76" w:rsidRPr="005B2D1B" w:rsidRDefault="00CD3D76" w:rsidP="00CD3D76">
      <w:pPr>
        <w:pStyle w:val="ListParagraph"/>
        <w:numPr>
          <w:ilvl w:val="0"/>
          <w:numId w:val="4"/>
        </w:numPr>
        <w:jc w:val="left"/>
        <w:rPr>
          <w:rFonts w:ascii="Arial" w:hAnsi="Arial" w:cs="Arial"/>
          <w:bCs/>
        </w:rPr>
      </w:pPr>
      <w:r w:rsidRPr="005B2D1B">
        <w:rPr>
          <w:rFonts w:ascii="Arial" w:hAnsi="Arial" w:cs="Arial"/>
          <w:bCs/>
        </w:rPr>
        <w:t>Capital return of c.£600m by the end of FY 18/19 via share buyback (£</w:t>
      </w:r>
      <w:r w:rsidRPr="0018703F">
        <w:rPr>
          <w:rFonts w:ascii="Arial" w:hAnsi="Arial" w:cs="Arial"/>
          <w:bCs/>
        </w:rPr>
        <w:t>460</w:t>
      </w:r>
      <w:r w:rsidRPr="005B2D1B">
        <w:rPr>
          <w:rFonts w:ascii="Arial" w:hAnsi="Arial" w:cs="Arial"/>
          <w:bCs/>
        </w:rPr>
        <w:t xml:space="preserve">m completed </w:t>
      </w:r>
      <w:r w:rsidRPr="0018703F">
        <w:rPr>
          <w:rFonts w:ascii="Arial" w:hAnsi="Arial" w:cs="Arial"/>
          <w:bCs/>
        </w:rPr>
        <w:t>to date</w:t>
      </w:r>
      <w:r w:rsidRPr="005B2D1B">
        <w:rPr>
          <w:rFonts w:ascii="Arial" w:hAnsi="Arial" w:cs="Arial"/>
          <w:bCs/>
        </w:rPr>
        <w:t>)</w:t>
      </w:r>
    </w:p>
    <w:p w14:paraId="76E633C4" w14:textId="29CA9D7B" w:rsidR="00AD3484" w:rsidRDefault="007110C0" w:rsidP="00925EFB">
      <w:pPr>
        <w:pStyle w:val="ListParagraph"/>
        <w:numPr>
          <w:ilvl w:val="0"/>
          <w:numId w:val="4"/>
        </w:numPr>
        <w:jc w:val="left"/>
        <w:rPr>
          <w:rFonts w:ascii="Arial" w:hAnsi="Arial" w:cs="Arial"/>
          <w:bCs/>
        </w:rPr>
      </w:pPr>
      <w:r w:rsidRPr="005B2D1B">
        <w:rPr>
          <w:rFonts w:ascii="Arial" w:hAnsi="Arial" w:cs="Arial"/>
          <w:bCs/>
        </w:rPr>
        <w:t xml:space="preserve">Total capex including transformation of </w:t>
      </w:r>
      <w:r w:rsidR="00295B76">
        <w:rPr>
          <w:rFonts w:ascii="Arial" w:hAnsi="Arial" w:cs="Arial"/>
          <w:bCs/>
        </w:rPr>
        <w:t xml:space="preserve">up to </w:t>
      </w:r>
      <w:r w:rsidR="00AD3484" w:rsidRPr="0062003B">
        <w:rPr>
          <w:rFonts w:ascii="Arial" w:hAnsi="Arial" w:cs="Arial"/>
          <w:bCs/>
        </w:rPr>
        <w:t>£</w:t>
      </w:r>
      <w:r w:rsidR="00B23552" w:rsidRPr="0062003B">
        <w:rPr>
          <w:rFonts w:ascii="Arial" w:hAnsi="Arial" w:cs="Arial"/>
          <w:bCs/>
        </w:rPr>
        <w:t>4</w:t>
      </w:r>
      <w:r w:rsidR="005C57E4">
        <w:rPr>
          <w:rFonts w:ascii="Arial" w:hAnsi="Arial" w:cs="Arial"/>
          <w:bCs/>
        </w:rPr>
        <w:t>25</w:t>
      </w:r>
      <w:r w:rsidR="002B3E94" w:rsidRPr="0062003B">
        <w:rPr>
          <w:rFonts w:ascii="Arial" w:hAnsi="Arial" w:cs="Arial"/>
          <w:bCs/>
        </w:rPr>
        <w:t>m</w:t>
      </w:r>
    </w:p>
    <w:p w14:paraId="61A8B563" w14:textId="77777777" w:rsidR="002D2BAC" w:rsidRPr="00D978CF" w:rsidRDefault="002D2BAC" w:rsidP="00D978CF">
      <w:pPr>
        <w:ind w:left="360"/>
        <w:jc w:val="left"/>
        <w:rPr>
          <w:rFonts w:ascii="Arial" w:hAnsi="Arial" w:cs="Arial"/>
          <w:bCs/>
        </w:rPr>
      </w:pPr>
    </w:p>
    <w:p w14:paraId="1D22CB00" w14:textId="372B637C" w:rsidR="00773A54" w:rsidRPr="00A845B7" w:rsidRDefault="007D43ED" w:rsidP="00773A54">
      <w:pPr>
        <w:jc w:val="left"/>
        <w:rPr>
          <w:rFonts w:ascii="Arial" w:hAnsi="Arial" w:cs="Arial"/>
        </w:rPr>
      </w:pPr>
      <w:r w:rsidRPr="00376C53">
        <w:rPr>
          <w:rFonts w:ascii="Arial" w:hAnsi="Arial" w:cs="Arial"/>
          <w:b/>
          <w:bCs/>
          <w:color w:val="FF0000"/>
          <w:sz w:val="24"/>
          <w:szCs w:val="24"/>
        </w:rPr>
        <w:br w:type="page"/>
      </w:r>
      <w:r w:rsidR="00773A54" w:rsidRPr="00A845B7">
        <w:rPr>
          <w:rFonts w:ascii="Arial" w:hAnsi="Arial" w:cs="Arial"/>
          <w:b/>
          <w:bCs/>
        </w:rPr>
        <w:lastRenderedPageBreak/>
        <w:t xml:space="preserve">Section 4: </w:t>
      </w:r>
      <w:r w:rsidR="00930D09" w:rsidRPr="00A845B7">
        <w:rPr>
          <w:rFonts w:ascii="Arial" w:hAnsi="Arial" w:cs="Arial"/>
          <w:b/>
          <w:bCs/>
        </w:rPr>
        <w:t xml:space="preserve">FY </w:t>
      </w:r>
      <w:r w:rsidR="00773A54" w:rsidRPr="00A845B7">
        <w:rPr>
          <w:rFonts w:ascii="Arial" w:hAnsi="Arial" w:cs="Arial"/>
          <w:b/>
          <w:bCs/>
        </w:rPr>
        <w:t>1</w:t>
      </w:r>
      <w:r w:rsidR="00D26880">
        <w:rPr>
          <w:rFonts w:ascii="Arial" w:hAnsi="Arial" w:cs="Arial"/>
          <w:b/>
          <w:bCs/>
        </w:rPr>
        <w:t>7</w:t>
      </w:r>
      <w:r w:rsidR="00773A54" w:rsidRPr="00A845B7">
        <w:rPr>
          <w:rFonts w:ascii="Arial" w:hAnsi="Arial" w:cs="Arial"/>
          <w:b/>
          <w:bCs/>
        </w:rPr>
        <w:t>/1</w:t>
      </w:r>
      <w:r w:rsidR="00D26880">
        <w:rPr>
          <w:rFonts w:ascii="Arial" w:hAnsi="Arial" w:cs="Arial"/>
          <w:b/>
          <w:bCs/>
        </w:rPr>
        <w:t>8</w:t>
      </w:r>
      <w:r w:rsidR="00773A54" w:rsidRPr="00A845B7">
        <w:rPr>
          <w:rFonts w:ascii="Arial" w:hAnsi="Arial" w:cs="Arial"/>
          <w:b/>
          <w:bCs/>
        </w:rPr>
        <w:t xml:space="preserve"> Financial </w:t>
      </w:r>
      <w:r w:rsidR="007341CC" w:rsidRPr="00A845B7">
        <w:rPr>
          <w:rFonts w:ascii="Arial" w:hAnsi="Arial" w:cs="Arial"/>
          <w:b/>
          <w:bCs/>
        </w:rPr>
        <w:t>r</w:t>
      </w:r>
      <w:r w:rsidR="00773A54" w:rsidRPr="00A845B7">
        <w:rPr>
          <w:rFonts w:ascii="Arial" w:hAnsi="Arial" w:cs="Arial"/>
          <w:b/>
          <w:bCs/>
        </w:rPr>
        <w:t xml:space="preserve">eview </w:t>
      </w:r>
    </w:p>
    <w:p w14:paraId="5AD272A0" w14:textId="77777777" w:rsidR="00773A54" w:rsidRPr="00A845B7" w:rsidRDefault="00773A54" w:rsidP="00773A54">
      <w:pPr>
        <w:tabs>
          <w:tab w:val="right" w:pos="9356"/>
        </w:tabs>
        <w:rPr>
          <w:rFonts w:ascii="Arial" w:hAnsi="Arial" w:cs="Arial"/>
          <w:b/>
          <w:i/>
        </w:rPr>
      </w:pPr>
    </w:p>
    <w:p w14:paraId="568443BC" w14:textId="0145E31D" w:rsidR="00997637" w:rsidRPr="00A845B7" w:rsidRDefault="00997637" w:rsidP="00997637">
      <w:pPr>
        <w:jc w:val="left"/>
        <w:rPr>
          <w:rFonts w:ascii="Arial" w:hAnsi="Arial" w:cs="Arial"/>
        </w:rPr>
      </w:pPr>
      <w:r w:rsidRPr="00A845B7">
        <w:rPr>
          <w:rFonts w:ascii="Arial" w:hAnsi="Arial" w:cs="Arial"/>
        </w:rPr>
        <w:t>A summary of the reported financial results for the year ended 31 January 201</w:t>
      </w:r>
      <w:r w:rsidR="00D26880">
        <w:rPr>
          <w:rFonts w:ascii="Arial" w:hAnsi="Arial" w:cs="Arial"/>
        </w:rPr>
        <w:t>8</w:t>
      </w:r>
      <w:r w:rsidRPr="00A845B7">
        <w:rPr>
          <w:rFonts w:ascii="Arial" w:hAnsi="Arial" w:cs="Arial"/>
        </w:rPr>
        <w:t xml:space="preserve"> is set out below:</w:t>
      </w:r>
    </w:p>
    <w:p w14:paraId="2B275472" w14:textId="77777777" w:rsidR="00997637" w:rsidRPr="00A845B7" w:rsidRDefault="00997637" w:rsidP="00997637">
      <w:pPr>
        <w:jc w:val="left"/>
        <w:rPr>
          <w:rFonts w:ascii="Arial" w:hAnsi="Arial" w:cs="Arial"/>
        </w:rPr>
      </w:pPr>
    </w:p>
    <w:tbl>
      <w:tblPr>
        <w:tblW w:w="5000" w:type="pct"/>
        <w:tblLayout w:type="fixed"/>
        <w:tblLook w:val="01E0" w:firstRow="1" w:lastRow="1" w:firstColumn="1" w:lastColumn="1" w:noHBand="0" w:noVBand="0"/>
      </w:tblPr>
      <w:tblGrid>
        <w:gridCol w:w="3992"/>
        <w:gridCol w:w="1516"/>
        <w:gridCol w:w="1377"/>
        <w:gridCol w:w="1352"/>
        <w:gridCol w:w="1404"/>
      </w:tblGrid>
      <w:tr w:rsidR="00997637" w:rsidRPr="00A845B7" w14:paraId="5C74BEE3" w14:textId="77777777" w:rsidTr="00D26880">
        <w:tc>
          <w:tcPr>
            <w:tcW w:w="2070" w:type="pct"/>
            <w:tcBorders>
              <w:bottom w:val="single" w:sz="4" w:space="0" w:color="auto"/>
            </w:tcBorders>
            <w:shd w:val="clear" w:color="auto" w:fill="auto"/>
          </w:tcPr>
          <w:p w14:paraId="1EDF6864" w14:textId="77777777" w:rsidR="00997637" w:rsidRPr="00A845B7" w:rsidRDefault="00997637" w:rsidP="00F24C8A">
            <w:pPr>
              <w:rPr>
                <w:rFonts w:ascii="Arial" w:hAnsi="Arial" w:cs="Arial"/>
              </w:rPr>
            </w:pPr>
          </w:p>
        </w:tc>
        <w:tc>
          <w:tcPr>
            <w:tcW w:w="786" w:type="pct"/>
            <w:tcBorders>
              <w:bottom w:val="single" w:sz="4" w:space="0" w:color="auto"/>
            </w:tcBorders>
            <w:shd w:val="clear" w:color="auto" w:fill="auto"/>
          </w:tcPr>
          <w:p w14:paraId="7BB48909" w14:textId="6B9FB13B" w:rsidR="00997637" w:rsidRPr="00F50924" w:rsidRDefault="00997637" w:rsidP="00F24C8A">
            <w:pPr>
              <w:jc w:val="right"/>
              <w:rPr>
                <w:rFonts w:ascii="Arial" w:hAnsi="Arial" w:cs="Arial"/>
                <w:b/>
              </w:rPr>
            </w:pPr>
            <w:r w:rsidRPr="00F50924">
              <w:rPr>
                <w:rFonts w:ascii="Arial" w:hAnsi="Arial" w:cs="Arial"/>
                <w:b/>
              </w:rPr>
              <w:t>201</w:t>
            </w:r>
            <w:r w:rsidR="00D26880">
              <w:rPr>
                <w:rFonts w:ascii="Arial" w:hAnsi="Arial" w:cs="Arial"/>
                <w:b/>
              </w:rPr>
              <w:t>7</w:t>
            </w:r>
            <w:r w:rsidRPr="00F50924">
              <w:rPr>
                <w:rFonts w:ascii="Arial" w:hAnsi="Arial" w:cs="Arial"/>
                <w:b/>
              </w:rPr>
              <w:t>/1</w:t>
            </w:r>
            <w:r w:rsidR="00D26880">
              <w:rPr>
                <w:rFonts w:ascii="Arial" w:hAnsi="Arial" w:cs="Arial"/>
                <w:b/>
              </w:rPr>
              <w:t>8</w:t>
            </w:r>
          </w:p>
          <w:p w14:paraId="57FA0DC3" w14:textId="77777777" w:rsidR="00997637" w:rsidRPr="003C6F01" w:rsidRDefault="00997637" w:rsidP="00F24C8A">
            <w:pPr>
              <w:jc w:val="right"/>
              <w:rPr>
                <w:rFonts w:ascii="Arial" w:hAnsi="Arial" w:cs="Arial"/>
                <w:b/>
              </w:rPr>
            </w:pPr>
          </w:p>
        </w:tc>
        <w:tc>
          <w:tcPr>
            <w:tcW w:w="714" w:type="pct"/>
            <w:tcBorders>
              <w:bottom w:val="single" w:sz="4" w:space="0" w:color="auto"/>
            </w:tcBorders>
            <w:shd w:val="clear" w:color="auto" w:fill="auto"/>
          </w:tcPr>
          <w:p w14:paraId="2EEED678" w14:textId="1FFFCD29" w:rsidR="00997637" w:rsidRPr="001E7802" w:rsidRDefault="00997637" w:rsidP="00F24C8A">
            <w:pPr>
              <w:jc w:val="right"/>
              <w:rPr>
                <w:rFonts w:ascii="Arial" w:hAnsi="Arial" w:cs="Arial"/>
              </w:rPr>
            </w:pPr>
            <w:r w:rsidRPr="001E7802">
              <w:rPr>
                <w:rFonts w:ascii="Arial" w:hAnsi="Arial" w:cs="Arial"/>
              </w:rPr>
              <w:t>201</w:t>
            </w:r>
            <w:r w:rsidR="00D26880">
              <w:rPr>
                <w:rFonts w:ascii="Arial" w:hAnsi="Arial" w:cs="Arial"/>
              </w:rPr>
              <w:t>6</w:t>
            </w:r>
            <w:r w:rsidRPr="001E7802">
              <w:rPr>
                <w:rFonts w:ascii="Arial" w:hAnsi="Arial" w:cs="Arial"/>
              </w:rPr>
              <w:t>/1</w:t>
            </w:r>
            <w:r w:rsidR="00D26880">
              <w:rPr>
                <w:rFonts w:ascii="Arial" w:hAnsi="Arial" w:cs="Arial"/>
              </w:rPr>
              <w:t>7</w:t>
            </w:r>
          </w:p>
          <w:p w14:paraId="1BA69143" w14:textId="77777777" w:rsidR="00997637" w:rsidRPr="00F158F2" w:rsidRDefault="00997637" w:rsidP="00F24C8A">
            <w:pPr>
              <w:tabs>
                <w:tab w:val="center" w:pos="434"/>
                <w:tab w:val="right" w:pos="869"/>
              </w:tabs>
              <w:jc w:val="right"/>
              <w:rPr>
                <w:rFonts w:ascii="Arial" w:hAnsi="Arial" w:cs="Arial"/>
              </w:rPr>
            </w:pPr>
          </w:p>
        </w:tc>
        <w:tc>
          <w:tcPr>
            <w:tcW w:w="701" w:type="pct"/>
            <w:tcBorders>
              <w:bottom w:val="single" w:sz="4" w:space="0" w:color="auto"/>
            </w:tcBorders>
          </w:tcPr>
          <w:p w14:paraId="601F7EBF" w14:textId="77777777" w:rsidR="00997637" w:rsidRPr="00F158F2" w:rsidRDefault="00997637" w:rsidP="00F24C8A">
            <w:pPr>
              <w:jc w:val="right"/>
              <w:rPr>
                <w:rFonts w:ascii="Arial" w:hAnsi="Arial" w:cs="Arial"/>
              </w:rPr>
            </w:pPr>
            <w:r w:rsidRPr="00F158F2">
              <w:rPr>
                <w:rFonts w:ascii="Arial" w:hAnsi="Arial" w:cs="Arial"/>
              </w:rPr>
              <w:t>% Reported Change</w:t>
            </w:r>
          </w:p>
        </w:tc>
        <w:tc>
          <w:tcPr>
            <w:tcW w:w="728" w:type="pct"/>
            <w:tcBorders>
              <w:bottom w:val="single" w:sz="4" w:space="0" w:color="auto"/>
            </w:tcBorders>
            <w:shd w:val="clear" w:color="auto" w:fill="auto"/>
          </w:tcPr>
          <w:p w14:paraId="334E4333" w14:textId="77777777" w:rsidR="00997637" w:rsidRPr="00A845B7" w:rsidRDefault="00997637" w:rsidP="00F24C8A">
            <w:pPr>
              <w:jc w:val="right"/>
              <w:rPr>
                <w:rFonts w:ascii="Arial" w:hAnsi="Arial" w:cs="Arial"/>
              </w:rPr>
            </w:pPr>
            <w:r w:rsidRPr="00F158F2">
              <w:rPr>
                <w:rFonts w:ascii="Arial" w:hAnsi="Arial" w:cs="Arial"/>
              </w:rPr>
              <w:t>% Constant Currency Change</w:t>
            </w:r>
          </w:p>
        </w:tc>
      </w:tr>
      <w:tr w:rsidR="00D26880" w:rsidRPr="00A524EB" w14:paraId="528C7388" w14:textId="77777777" w:rsidTr="00D26880">
        <w:tc>
          <w:tcPr>
            <w:tcW w:w="2070" w:type="pct"/>
            <w:shd w:val="clear" w:color="auto" w:fill="auto"/>
          </w:tcPr>
          <w:p w14:paraId="43FF0B30" w14:textId="336E64ED" w:rsidR="00D26880" w:rsidRPr="00A845B7" w:rsidRDefault="00FF6D2F" w:rsidP="00D26880">
            <w:pPr>
              <w:jc w:val="left"/>
              <w:rPr>
                <w:rFonts w:ascii="Arial" w:hAnsi="Arial" w:cs="Arial"/>
              </w:rPr>
            </w:pPr>
            <w:r>
              <w:rPr>
                <w:rFonts w:ascii="Arial" w:hAnsi="Arial" w:cs="Arial"/>
              </w:rPr>
              <w:t>S</w:t>
            </w:r>
            <w:r w:rsidR="00D26880" w:rsidRPr="00A845B7">
              <w:rPr>
                <w:rFonts w:ascii="Arial" w:hAnsi="Arial" w:cs="Arial"/>
              </w:rPr>
              <w:t>ales</w:t>
            </w:r>
          </w:p>
        </w:tc>
        <w:tc>
          <w:tcPr>
            <w:tcW w:w="786" w:type="pct"/>
            <w:shd w:val="clear" w:color="auto" w:fill="auto"/>
          </w:tcPr>
          <w:p w14:paraId="2A5CF932" w14:textId="2D22B96E" w:rsidR="00D26880" w:rsidRPr="0018703F" w:rsidRDefault="00D26880" w:rsidP="00D26880">
            <w:pPr>
              <w:jc w:val="right"/>
              <w:rPr>
                <w:rFonts w:ascii="Arial" w:hAnsi="Arial" w:cs="Arial"/>
                <w:b/>
                <w:highlight w:val="yellow"/>
              </w:rPr>
            </w:pPr>
            <w:r w:rsidRPr="00E344C4">
              <w:rPr>
                <w:rFonts w:ascii="Arial" w:hAnsi="Arial" w:cs="Arial"/>
                <w:b/>
              </w:rPr>
              <w:t>£11,</w:t>
            </w:r>
            <w:r w:rsidR="00E344C4" w:rsidRPr="0018703F">
              <w:rPr>
                <w:rFonts w:ascii="Arial" w:hAnsi="Arial" w:cs="Arial"/>
                <w:b/>
              </w:rPr>
              <w:t>655</w:t>
            </w:r>
            <w:r w:rsidRPr="00E344C4">
              <w:rPr>
                <w:rFonts w:ascii="Arial" w:hAnsi="Arial" w:cs="Arial"/>
                <w:b/>
              </w:rPr>
              <w:t>m</w:t>
            </w:r>
            <w:r w:rsidRPr="0018703F" w:rsidDel="009E5D4B">
              <w:rPr>
                <w:rFonts w:ascii="Arial" w:hAnsi="Arial" w:cs="Arial"/>
                <w:b/>
                <w:highlight w:val="yellow"/>
              </w:rPr>
              <w:t xml:space="preserve"> </w:t>
            </w:r>
          </w:p>
        </w:tc>
        <w:tc>
          <w:tcPr>
            <w:tcW w:w="714" w:type="pct"/>
            <w:shd w:val="clear" w:color="auto" w:fill="auto"/>
          </w:tcPr>
          <w:p w14:paraId="4BD0B4F3" w14:textId="283088EE" w:rsidR="00D26880" w:rsidRPr="00355EF2" w:rsidRDefault="00D26880" w:rsidP="00D26880">
            <w:pPr>
              <w:jc w:val="right"/>
              <w:rPr>
                <w:rFonts w:ascii="Arial" w:hAnsi="Arial" w:cs="Arial"/>
              </w:rPr>
            </w:pPr>
            <w:r w:rsidRPr="0018703F">
              <w:rPr>
                <w:rFonts w:ascii="Arial" w:hAnsi="Arial" w:cs="Arial"/>
              </w:rPr>
              <w:t>£11,225m</w:t>
            </w:r>
            <w:r w:rsidRPr="0018703F" w:rsidDel="009E5D4B">
              <w:rPr>
                <w:rFonts w:ascii="Arial" w:hAnsi="Arial" w:cs="Arial"/>
              </w:rPr>
              <w:t xml:space="preserve"> </w:t>
            </w:r>
          </w:p>
        </w:tc>
        <w:tc>
          <w:tcPr>
            <w:tcW w:w="701" w:type="pct"/>
          </w:tcPr>
          <w:p w14:paraId="20BABA8D" w14:textId="057D8991" w:rsidR="00D26880" w:rsidRPr="0018703F" w:rsidRDefault="00D26880" w:rsidP="00D26880">
            <w:pPr>
              <w:jc w:val="right"/>
              <w:rPr>
                <w:rFonts w:ascii="Arial" w:hAnsi="Arial" w:cs="Arial"/>
                <w:highlight w:val="yellow"/>
              </w:rPr>
            </w:pPr>
            <w:r w:rsidRPr="00FC41B5">
              <w:rPr>
                <w:rFonts w:ascii="Arial" w:hAnsi="Arial" w:cs="Arial"/>
              </w:rPr>
              <w:t>+</w:t>
            </w:r>
            <w:r w:rsidR="00E344C4" w:rsidRPr="00FC41B5">
              <w:rPr>
                <w:rFonts w:ascii="Arial" w:hAnsi="Arial" w:cs="Arial"/>
              </w:rPr>
              <w:t>3</w:t>
            </w:r>
            <w:r w:rsidRPr="00FC41B5">
              <w:rPr>
                <w:rFonts w:ascii="Arial" w:hAnsi="Arial" w:cs="Arial"/>
              </w:rPr>
              <w:t>.</w:t>
            </w:r>
            <w:r w:rsidR="00E344C4" w:rsidRPr="00FC41B5">
              <w:rPr>
                <w:rFonts w:ascii="Arial" w:hAnsi="Arial" w:cs="Arial"/>
              </w:rPr>
              <w:t>8</w:t>
            </w:r>
            <w:r w:rsidRPr="00FC41B5">
              <w:rPr>
                <w:rFonts w:ascii="Arial" w:hAnsi="Arial" w:cs="Arial"/>
              </w:rPr>
              <w:t>%</w:t>
            </w:r>
            <w:r w:rsidRPr="00FC41B5" w:rsidDel="00265815">
              <w:rPr>
                <w:rFonts w:ascii="Arial" w:hAnsi="Arial" w:cs="Arial"/>
              </w:rPr>
              <w:t xml:space="preserve"> </w:t>
            </w:r>
          </w:p>
        </w:tc>
        <w:tc>
          <w:tcPr>
            <w:tcW w:w="728" w:type="pct"/>
            <w:shd w:val="clear" w:color="auto" w:fill="auto"/>
          </w:tcPr>
          <w:p w14:paraId="369378C2" w14:textId="0A947822" w:rsidR="00D26880" w:rsidRPr="00FC41B5" w:rsidRDefault="00E344C4" w:rsidP="00D26880">
            <w:pPr>
              <w:jc w:val="right"/>
              <w:rPr>
                <w:rFonts w:ascii="Arial" w:hAnsi="Arial" w:cs="Arial"/>
              </w:rPr>
            </w:pPr>
            <w:r w:rsidRPr="00FC41B5">
              <w:rPr>
                <w:rFonts w:ascii="Arial" w:hAnsi="Arial" w:cs="Arial"/>
              </w:rPr>
              <w:t>(</w:t>
            </w:r>
            <w:proofErr w:type="gramStart"/>
            <w:r w:rsidRPr="00FC41B5">
              <w:rPr>
                <w:rFonts w:ascii="Arial" w:hAnsi="Arial" w:cs="Arial"/>
              </w:rPr>
              <w:t>0</w:t>
            </w:r>
            <w:r w:rsidR="00D26880" w:rsidRPr="00FC41B5">
              <w:rPr>
                <w:rFonts w:ascii="Arial" w:hAnsi="Arial" w:cs="Arial"/>
              </w:rPr>
              <w:t>.</w:t>
            </w:r>
            <w:r w:rsidRPr="00FC41B5">
              <w:rPr>
                <w:rFonts w:ascii="Arial" w:hAnsi="Arial" w:cs="Arial"/>
              </w:rPr>
              <w:t>3)</w:t>
            </w:r>
            <w:r w:rsidR="00D26880" w:rsidRPr="00FC41B5">
              <w:rPr>
                <w:rFonts w:ascii="Arial" w:hAnsi="Arial" w:cs="Arial"/>
              </w:rPr>
              <w:t>%</w:t>
            </w:r>
            <w:proofErr w:type="gramEnd"/>
          </w:p>
        </w:tc>
      </w:tr>
      <w:tr w:rsidR="002E0500" w:rsidRPr="00A845B7" w14:paraId="66C4302C" w14:textId="77777777" w:rsidTr="00D26880">
        <w:tc>
          <w:tcPr>
            <w:tcW w:w="2070" w:type="pct"/>
            <w:shd w:val="clear" w:color="auto" w:fill="auto"/>
          </w:tcPr>
          <w:p w14:paraId="4FBE7696" w14:textId="50B93158" w:rsidR="002E0500" w:rsidRPr="00FE265B" w:rsidRDefault="002E0500" w:rsidP="00D26880">
            <w:pPr>
              <w:jc w:val="left"/>
              <w:rPr>
                <w:rFonts w:ascii="Arial" w:hAnsi="Arial" w:cs="Arial"/>
              </w:rPr>
            </w:pPr>
            <w:r>
              <w:rPr>
                <w:rFonts w:ascii="Arial" w:hAnsi="Arial" w:cs="Arial"/>
              </w:rPr>
              <w:t>Gross margin</w:t>
            </w:r>
          </w:p>
        </w:tc>
        <w:tc>
          <w:tcPr>
            <w:tcW w:w="786" w:type="pct"/>
            <w:shd w:val="clear" w:color="auto" w:fill="auto"/>
          </w:tcPr>
          <w:p w14:paraId="58D83913" w14:textId="1044E3AD" w:rsidR="002E0500" w:rsidRPr="00342365" w:rsidRDefault="002E0500" w:rsidP="00D26880">
            <w:pPr>
              <w:jc w:val="right"/>
              <w:rPr>
                <w:rFonts w:ascii="Arial" w:hAnsi="Arial" w:cs="Arial"/>
                <w:b/>
              </w:rPr>
            </w:pPr>
            <w:r>
              <w:rPr>
                <w:rFonts w:ascii="Arial" w:hAnsi="Arial" w:cs="Arial"/>
                <w:b/>
              </w:rPr>
              <w:t>36.9%</w:t>
            </w:r>
          </w:p>
        </w:tc>
        <w:tc>
          <w:tcPr>
            <w:tcW w:w="714" w:type="pct"/>
            <w:shd w:val="clear" w:color="auto" w:fill="auto"/>
          </w:tcPr>
          <w:p w14:paraId="7A126CE8" w14:textId="09E45DBD" w:rsidR="002E0500" w:rsidRPr="00FE265B" w:rsidRDefault="002E0500" w:rsidP="00D26880">
            <w:pPr>
              <w:jc w:val="right"/>
              <w:rPr>
                <w:rFonts w:ascii="Arial" w:hAnsi="Arial" w:cs="Arial"/>
              </w:rPr>
            </w:pPr>
            <w:r>
              <w:rPr>
                <w:rFonts w:ascii="Arial" w:hAnsi="Arial" w:cs="Arial"/>
              </w:rPr>
              <w:t>37.2%</w:t>
            </w:r>
          </w:p>
        </w:tc>
        <w:tc>
          <w:tcPr>
            <w:tcW w:w="701" w:type="pct"/>
          </w:tcPr>
          <w:p w14:paraId="2FE90CC6" w14:textId="5844F812" w:rsidR="002E0500" w:rsidRPr="00342365" w:rsidRDefault="002E0500" w:rsidP="00D26880">
            <w:pPr>
              <w:jc w:val="right"/>
              <w:rPr>
                <w:rFonts w:ascii="Arial" w:hAnsi="Arial" w:cs="Arial"/>
              </w:rPr>
            </w:pPr>
            <w:r>
              <w:rPr>
                <w:rFonts w:ascii="Arial" w:hAnsi="Arial" w:cs="Arial"/>
              </w:rPr>
              <w:t>(</w:t>
            </w:r>
            <w:proofErr w:type="gramStart"/>
            <w:r>
              <w:rPr>
                <w:rFonts w:ascii="Arial" w:hAnsi="Arial" w:cs="Arial"/>
              </w:rPr>
              <w:t>30)bps</w:t>
            </w:r>
            <w:proofErr w:type="gramEnd"/>
          </w:p>
        </w:tc>
        <w:tc>
          <w:tcPr>
            <w:tcW w:w="728" w:type="pct"/>
            <w:shd w:val="clear" w:color="auto" w:fill="auto"/>
          </w:tcPr>
          <w:p w14:paraId="1A9BD196" w14:textId="5F75DEC0" w:rsidR="002E0500" w:rsidRDefault="002E0500" w:rsidP="00D26880">
            <w:pPr>
              <w:jc w:val="right"/>
              <w:rPr>
                <w:rFonts w:ascii="Arial" w:hAnsi="Arial" w:cs="Arial"/>
              </w:rPr>
            </w:pPr>
            <w:r>
              <w:rPr>
                <w:rFonts w:ascii="Arial" w:hAnsi="Arial" w:cs="Arial"/>
              </w:rPr>
              <w:t>(</w:t>
            </w:r>
            <w:proofErr w:type="gramStart"/>
            <w:r>
              <w:rPr>
                <w:rFonts w:ascii="Arial" w:hAnsi="Arial" w:cs="Arial"/>
              </w:rPr>
              <w:t>20)bps</w:t>
            </w:r>
            <w:proofErr w:type="gramEnd"/>
          </w:p>
        </w:tc>
      </w:tr>
      <w:tr w:rsidR="00D26880" w:rsidRPr="00A845B7" w14:paraId="0246F1C4" w14:textId="77777777" w:rsidTr="00D26880">
        <w:tc>
          <w:tcPr>
            <w:tcW w:w="2070" w:type="pct"/>
            <w:shd w:val="clear" w:color="auto" w:fill="auto"/>
          </w:tcPr>
          <w:p w14:paraId="71390610" w14:textId="77777777" w:rsidR="00D26880" w:rsidRPr="00FE265B" w:rsidRDefault="00D26880" w:rsidP="00D26880">
            <w:pPr>
              <w:jc w:val="left"/>
              <w:rPr>
                <w:rFonts w:ascii="Arial" w:hAnsi="Arial" w:cs="Arial"/>
              </w:rPr>
            </w:pPr>
            <w:r w:rsidRPr="00FE265B">
              <w:rPr>
                <w:rFonts w:ascii="Arial" w:hAnsi="Arial" w:cs="Arial"/>
              </w:rPr>
              <w:t xml:space="preserve">Retail profit </w:t>
            </w:r>
          </w:p>
        </w:tc>
        <w:tc>
          <w:tcPr>
            <w:tcW w:w="786" w:type="pct"/>
            <w:shd w:val="clear" w:color="auto" w:fill="auto"/>
          </w:tcPr>
          <w:p w14:paraId="33AA95F7" w14:textId="45C60EC7" w:rsidR="00D26880" w:rsidRPr="00342365" w:rsidRDefault="00D26880" w:rsidP="00D26880">
            <w:pPr>
              <w:jc w:val="right"/>
              <w:rPr>
                <w:rFonts w:ascii="Arial" w:hAnsi="Arial" w:cs="Arial"/>
                <w:b/>
              </w:rPr>
            </w:pPr>
            <w:r w:rsidRPr="00342365">
              <w:rPr>
                <w:rFonts w:ascii="Arial" w:hAnsi="Arial" w:cs="Arial"/>
                <w:b/>
              </w:rPr>
              <w:t>£84</w:t>
            </w:r>
            <w:r w:rsidR="00FE265B" w:rsidRPr="00342365">
              <w:rPr>
                <w:rFonts w:ascii="Arial" w:hAnsi="Arial" w:cs="Arial"/>
                <w:b/>
              </w:rPr>
              <w:t>9</w:t>
            </w:r>
            <w:r w:rsidRPr="00342365">
              <w:rPr>
                <w:rFonts w:ascii="Arial" w:hAnsi="Arial" w:cs="Arial"/>
                <w:b/>
              </w:rPr>
              <w:t>m</w:t>
            </w:r>
            <w:r w:rsidRPr="00342365" w:rsidDel="00265815">
              <w:rPr>
                <w:rFonts w:ascii="Arial" w:hAnsi="Arial" w:cs="Arial"/>
                <w:b/>
              </w:rPr>
              <w:t xml:space="preserve"> </w:t>
            </w:r>
          </w:p>
        </w:tc>
        <w:tc>
          <w:tcPr>
            <w:tcW w:w="714" w:type="pct"/>
            <w:shd w:val="clear" w:color="auto" w:fill="auto"/>
          </w:tcPr>
          <w:p w14:paraId="3247EBD7" w14:textId="7CD16266" w:rsidR="00D26880" w:rsidRPr="00FE265B" w:rsidRDefault="00D26880" w:rsidP="00D26880">
            <w:pPr>
              <w:jc w:val="right"/>
              <w:rPr>
                <w:rFonts w:ascii="Arial" w:hAnsi="Arial" w:cs="Arial"/>
              </w:rPr>
            </w:pPr>
            <w:r w:rsidRPr="00FE265B">
              <w:rPr>
                <w:rFonts w:ascii="Arial" w:hAnsi="Arial" w:cs="Arial"/>
              </w:rPr>
              <w:t>£847m</w:t>
            </w:r>
            <w:r w:rsidRPr="00FE265B" w:rsidDel="00265815">
              <w:rPr>
                <w:rFonts w:ascii="Arial" w:hAnsi="Arial" w:cs="Arial"/>
              </w:rPr>
              <w:t xml:space="preserve"> </w:t>
            </w:r>
          </w:p>
        </w:tc>
        <w:tc>
          <w:tcPr>
            <w:tcW w:w="701" w:type="pct"/>
          </w:tcPr>
          <w:p w14:paraId="0C2F590C" w14:textId="563412EE" w:rsidR="00D26880" w:rsidRPr="00342365" w:rsidRDefault="00D26880" w:rsidP="00D26880">
            <w:pPr>
              <w:jc w:val="right"/>
              <w:rPr>
                <w:rFonts w:ascii="Arial" w:hAnsi="Arial" w:cs="Arial"/>
              </w:rPr>
            </w:pPr>
            <w:r w:rsidRPr="00342365">
              <w:rPr>
                <w:rFonts w:ascii="Arial" w:hAnsi="Arial" w:cs="Arial"/>
              </w:rPr>
              <w:t>+</w:t>
            </w:r>
            <w:r w:rsidR="00932B99">
              <w:rPr>
                <w:rFonts w:ascii="Arial" w:hAnsi="Arial" w:cs="Arial"/>
              </w:rPr>
              <w:t>0</w:t>
            </w:r>
            <w:r w:rsidRPr="00342365">
              <w:rPr>
                <w:rFonts w:ascii="Arial" w:hAnsi="Arial" w:cs="Arial"/>
              </w:rPr>
              <w:t>.</w:t>
            </w:r>
            <w:r w:rsidR="007B566F">
              <w:rPr>
                <w:rFonts w:ascii="Arial" w:hAnsi="Arial" w:cs="Arial"/>
              </w:rPr>
              <w:t>3</w:t>
            </w:r>
            <w:r w:rsidRPr="00342365">
              <w:rPr>
                <w:rFonts w:ascii="Arial" w:hAnsi="Arial" w:cs="Arial"/>
              </w:rPr>
              <w:t>%</w:t>
            </w:r>
            <w:r w:rsidRPr="00342365" w:rsidDel="00265815">
              <w:rPr>
                <w:rFonts w:ascii="Arial" w:hAnsi="Arial" w:cs="Arial"/>
              </w:rPr>
              <w:t xml:space="preserve"> </w:t>
            </w:r>
          </w:p>
        </w:tc>
        <w:tc>
          <w:tcPr>
            <w:tcW w:w="728" w:type="pct"/>
            <w:shd w:val="clear" w:color="auto" w:fill="auto"/>
          </w:tcPr>
          <w:p w14:paraId="0F77CED8" w14:textId="6B594B03" w:rsidR="00D26880" w:rsidRPr="00342365" w:rsidRDefault="00932B99" w:rsidP="00D26880">
            <w:pPr>
              <w:jc w:val="right"/>
              <w:rPr>
                <w:rFonts w:ascii="Arial" w:hAnsi="Arial" w:cs="Arial"/>
              </w:rPr>
            </w:pPr>
            <w:r>
              <w:rPr>
                <w:rFonts w:ascii="Arial" w:hAnsi="Arial" w:cs="Arial"/>
              </w:rPr>
              <w:t>(</w:t>
            </w:r>
            <w:proofErr w:type="gramStart"/>
            <w:r>
              <w:rPr>
                <w:rFonts w:ascii="Arial" w:hAnsi="Arial" w:cs="Arial"/>
              </w:rPr>
              <w:t>3</w:t>
            </w:r>
            <w:r w:rsidR="00FE265B" w:rsidRPr="00342365">
              <w:rPr>
                <w:rFonts w:ascii="Arial" w:hAnsi="Arial" w:cs="Arial"/>
              </w:rPr>
              <w:t>.</w:t>
            </w:r>
            <w:r>
              <w:rPr>
                <w:rFonts w:ascii="Arial" w:hAnsi="Arial" w:cs="Arial"/>
              </w:rPr>
              <w:t>6)</w:t>
            </w:r>
            <w:r w:rsidR="00D26880" w:rsidRPr="00342365">
              <w:rPr>
                <w:rFonts w:ascii="Arial" w:hAnsi="Arial" w:cs="Arial"/>
              </w:rPr>
              <w:t>%</w:t>
            </w:r>
            <w:proofErr w:type="gramEnd"/>
          </w:p>
        </w:tc>
      </w:tr>
      <w:tr w:rsidR="00D26880" w:rsidRPr="00A845B7" w14:paraId="4D62E14E" w14:textId="77777777" w:rsidTr="00D26880">
        <w:tc>
          <w:tcPr>
            <w:tcW w:w="2070" w:type="pct"/>
            <w:shd w:val="clear" w:color="auto" w:fill="auto"/>
          </w:tcPr>
          <w:p w14:paraId="76B58FA4" w14:textId="77777777" w:rsidR="00D26880" w:rsidRPr="00A845B7" w:rsidRDefault="00D26880" w:rsidP="00D26880">
            <w:pPr>
              <w:jc w:val="left"/>
              <w:rPr>
                <w:rFonts w:ascii="Arial" w:hAnsi="Arial" w:cs="Arial"/>
              </w:rPr>
            </w:pPr>
            <w:r w:rsidRPr="00A845B7">
              <w:rPr>
                <w:rFonts w:ascii="Arial" w:hAnsi="Arial" w:cs="Arial"/>
              </w:rPr>
              <w:t>Underlying pre-tax profit</w:t>
            </w:r>
          </w:p>
        </w:tc>
        <w:tc>
          <w:tcPr>
            <w:tcW w:w="786" w:type="pct"/>
            <w:shd w:val="clear" w:color="auto" w:fill="auto"/>
          </w:tcPr>
          <w:p w14:paraId="2E548390" w14:textId="0D4FD9E9" w:rsidR="00D26880" w:rsidRPr="00FC41B5" w:rsidDel="00265815" w:rsidRDefault="00D26880" w:rsidP="00D26880">
            <w:pPr>
              <w:jc w:val="right"/>
              <w:rPr>
                <w:rFonts w:ascii="Arial" w:hAnsi="Arial" w:cs="Arial"/>
                <w:b/>
              </w:rPr>
            </w:pPr>
            <w:r w:rsidRPr="00FC41B5">
              <w:rPr>
                <w:rFonts w:ascii="Arial" w:hAnsi="Arial" w:cs="Arial"/>
                <w:b/>
              </w:rPr>
              <w:t>£</w:t>
            </w:r>
            <w:r w:rsidR="004F03F0" w:rsidRPr="00FC41B5">
              <w:rPr>
                <w:rFonts w:ascii="Arial" w:hAnsi="Arial" w:cs="Arial"/>
                <w:b/>
              </w:rPr>
              <w:t>79</w:t>
            </w:r>
            <w:r w:rsidR="00653BF6">
              <w:rPr>
                <w:rFonts w:ascii="Arial" w:hAnsi="Arial" w:cs="Arial"/>
                <w:b/>
              </w:rPr>
              <w:t>7</w:t>
            </w:r>
            <w:r w:rsidR="004F03F0" w:rsidRPr="00FC41B5">
              <w:rPr>
                <w:rFonts w:ascii="Arial" w:hAnsi="Arial" w:cs="Arial"/>
                <w:b/>
              </w:rPr>
              <w:t>m</w:t>
            </w:r>
          </w:p>
        </w:tc>
        <w:tc>
          <w:tcPr>
            <w:tcW w:w="714" w:type="pct"/>
            <w:shd w:val="clear" w:color="auto" w:fill="auto"/>
          </w:tcPr>
          <w:p w14:paraId="7B47F4F7" w14:textId="07B8F026" w:rsidR="00D26880" w:rsidRPr="00932B99" w:rsidRDefault="00D26880" w:rsidP="00D26880">
            <w:pPr>
              <w:jc w:val="right"/>
              <w:rPr>
                <w:rFonts w:ascii="Arial" w:hAnsi="Arial" w:cs="Arial"/>
              </w:rPr>
            </w:pPr>
            <w:r w:rsidRPr="00932B99">
              <w:rPr>
                <w:rFonts w:ascii="Arial" w:hAnsi="Arial" w:cs="Arial"/>
              </w:rPr>
              <w:t>£787m</w:t>
            </w:r>
          </w:p>
        </w:tc>
        <w:tc>
          <w:tcPr>
            <w:tcW w:w="701" w:type="pct"/>
          </w:tcPr>
          <w:p w14:paraId="128D96C7" w14:textId="4B678A46" w:rsidR="00D26880" w:rsidRPr="00FC41B5" w:rsidDel="00265815" w:rsidRDefault="00D26880" w:rsidP="00D26880">
            <w:pPr>
              <w:jc w:val="right"/>
              <w:rPr>
                <w:rFonts w:ascii="Arial" w:hAnsi="Arial" w:cs="Arial"/>
              </w:rPr>
            </w:pPr>
            <w:r w:rsidRPr="00FC41B5">
              <w:rPr>
                <w:rFonts w:ascii="Arial" w:hAnsi="Arial" w:cs="Arial"/>
              </w:rPr>
              <w:t>+</w:t>
            </w:r>
            <w:r w:rsidR="00932B99" w:rsidRPr="00FC41B5">
              <w:rPr>
                <w:rFonts w:ascii="Arial" w:hAnsi="Arial" w:cs="Arial"/>
              </w:rPr>
              <w:t>1</w:t>
            </w:r>
            <w:r w:rsidRPr="00FC41B5">
              <w:rPr>
                <w:rFonts w:ascii="Arial" w:hAnsi="Arial" w:cs="Arial"/>
              </w:rPr>
              <w:t>.</w:t>
            </w:r>
            <w:r w:rsidR="00653BF6">
              <w:rPr>
                <w:rFonts w:ascii="Arial" w:hAnsi="Arial" w:cs="Arial"/>
              </w:rPr>
              <w:t>3</w:t>
            </w:r>
            <w:r w:rsidRPr="00FC41B5">
              <w:rPr>
                <w:rFonts w:ascii="Arial" w:hAnsi="Arial" w:cs="Arial"/>
              </w:rPr>
              <w:t>%</w:t>
            </w:r>
          </w:p>
        </w:tc>
        <w:tc>
          <w:tcPr>
            <w:tcW w:w="728" w:type="pct"/>
            <w:shd w:val="clear" w:color="auto" w:fill="auto"/>
          </w:tcPr>
          <w:p w14:paraId="5CDE0B43" w14:textId="77777777" w:rsidR="00D26880" w:rsidRPr="0018703F" w:rsidRDefault="00D26880" w:rsidP="00D26880">
            <w:pPr>
              <w:jc w:val="right"/>
              <w:rPr>
                <w:rFonts w:ascii="Arial" w:hAnsi="Arial" w:cs="Arial"/>
                <w:highlight w:val="yellow"/>
              </w:rPr>
            </w:pPr>
          </w:p>
        </w:tc>
      </w:tr>
      <w:tr w:rsidR="00D26880" w:rsidRPr="00A845B7" w14:paraId="3CEFD3E0" w14:textId="77777777" w:rsidTr="00D26880">
        <w:tc>
          <w:tcPr>
            <w:tcW w:w="2070" w:type="pct"/>
            <w:shd w:val="clear" w:color="auto" w:fill="auto"/>
          </w:tcPr>
          <w:p w14:paraId="656A509D" w14:textId="5CE1967A" w:rsidR="00D26880" w:rsidRPr="00A845B7" w:rsidRDefault="00D26880" w:rsidP="00D26880">
            <w:pPr>
              <w:jc w:val="left"/>
              <w:rPr>
                <w:rFonts w:ascii="Arial" w:hAnsi="Arial" w:cs="Arial"/>
              </w:rPr>
            </w:pPr>
            <w:r w:rsidRPr="00A845B7">
              <w:rPr>
                <w:rFonts w:ascii="Arial" w:hAnsi="Arial" w:cs="Arial"/>
              </w:rPr>
              <w:t>Transformation P&amp;L costs</w:t>
            </w:r>
            <w:r>
              <w:rPr>
                <w:rFonts w:ascii="Arial" w:hAnsi="Arial" w:cs="Arial"/>
              </w:rPr>
              <w:t xml:space="preserve"> </w:t>
            </w:r>
            <w:r w:rsidRPr="006F78D1">
              <w:rPr>
                <w:rFonts w:ascii="Arial" w:hAnsi="Arial" w:cs="Arial"/>
                <w:vertAlign w:val="superscript"/>
              </w:rPr>
              <w:t>(</w:t>
            </w:r>
            <w:r>
              <w:rPr>
                <w:rFonts w:ascii="Arial" w:hAnsi="Arial" w:cs="Arial"/>
                <w:vertAlign w:val="superscript"/>
              </w:rPr>
              <w:t>1</w:t>
            </w:r>
            <w:r w:rsidRPr="006F78D1">
              <w:rPr>
                <w:rFonts w:ascii="Arial" w:hAnsi="Arial" w:cs="Arial"/>
                <w:vertAlign w:val="superscript"/>
              </w:rPr>
              <w:t>)</w:t>
            </w:r>
          </w:p>
        </w:tc>
        <w:tc>
          <w:tcPr>
            <w:tcW w:w="786" w:type="pct"/>
            <w:shd w:val="clear" w:color="auto" w:fill="auto"/>
          </w:tcPr>
          <w:p w14:paraId="3AA38ABA" w14:textId="13A206D7" w:rsidR="00D26880" w:rsidRPr="00FC41B5" w:rsidDel="00265815" w:rsidRDefault="00D26880" w:rsidP="00D26880">
            <w:pPr>
              <w:jc w:val="right"/>
              <w:rPr>
                <w:rFonts w:ascii="Arial" w:hAnsi="Arial" w:cs="Arial"/>
                <w:b/>
              </w:rPr>
            </w:pPr>
            <w:proofErr w:type="gramStart"/>
            <w:r w:rsidRPr="00FC41B5">
              <w:rPr>
                <w:rFonts w:ascii="Arial" w:hAnsi="Arial" w:cs="Arial"/>
                <w:b/>
              </w:rPr>
              <w:t>£(</w:t>
            </w:r>
            <w:proofErr w:type="gramEnd"/>
            <w:r w:rsidR="00FE265B" w:rsidRPr="00FC41B5">
              <w:rPr>
                <w:rFonts w:ascii="Arial" w:hAnsi="Arial" w:cs="Arial"/>
                <w:b/>
              </w:rPr>
              <w:t>114</w:t>
            </w:r>
            <w:r w:rsidRPr="00FC41B5">
              <w:rPr>
                <w:rFonts w:ascii="Arial" w:hAnsi="Arial" w:cs="Arial"/>
                <w:b/>
              </w:rPr>
              <w:t>)m</w:t>
            </w:r>
          </w:p>
        </w:tc>
        <w:tc>
          <w:tcPr>
            <w:tcW w:w="714" w:type="pct"/>
            <w:shd w:val="clear" w:color="auto" w:fill="auto"/>
          </w:tcPr>
          <w:p w14:paraId="2F0DC66E" w14:textId="5556BAC2" w:rsidR="00D26880" w:rsidRPr="00932B99" w:rsidRDefault="00D26880" w:rsidP="00D26880">
            <w:pPr>
              <w:jc w:val="right"/>
              <w:rPr>
                <w:rFonts w:ascii="Arial" w:hAnsi="Arial" w:cs="Arial"/>
              </w:rPr>
            </w:pPr>
            <w:proofErr w:type="gramStart"/>
            <w:r w:rsidRPr="00932B99">
              <w:rPr>
                <w:rFonts w:ascii="Arial" w:hAnsi="Arial" w:cs="Arial"/>
              </w:rPr>
              <w:t>£(</w:t>
            </w:r>
            <w:proofErr w:type="gramEnd"/>
            <w:r w:rsidRPr="00932B99">
              <w:rPr>
                <w:rFonts w:ascii="Arial" w:hAnsi="Arial" w:cs="Arial"/>
              </w:rPr>
              <w:t>44)m</w:t>
            </w:r>
          </w:p>
        </w:tc>
        <w:tc>
          <w:tcPr>
            <w:tcW w:w="701" w:type="pct"/>
          </w:tcPr>
          <w:p w14:paraId="3E824107" w14:textId="77777777" w:rsidR="00D26880" w:rsidRPr="00FC41B5" w:rsidDel="00265815" w:rsidRDefault="00D26880" w:rsidP="00D26880">
            <w:pPr>
              <w:jc w:val="right"/>
              <w:rPr>
                <w:rFonts w:ascii="Arial" w:hAnsi="Arial" w:cs="Arial"/>
              </w:rPr>
            </w:pPr>
            <w:r w:rsidRPr="00FC41B5">
              <w:rPr>
                <w:rFonts w:ascii="Arial" w:hAnsi="Arial" w:cs="Arial"/>
              </w:rPr>
              <w:t>n/a</w:t>
            </w:r>
          </w:p>
        </w:tc>
        <w:tc>
          <w:tcPr>
            <w:tcW w:w="728" w:type="pct"/>
            <w:shd w:val="clear" w:color="auto" w:fill="auto"/>
          </w:tcPr>
          <w:p w14:paraId="260585EE" w14:textId="77777777" w:rsidR="00D26880" w:rsidRPr="005B2D1B" w:rsidRDefault="00D26880" w:rsidP="00D26880">
            <w:pPr>
              <w:jc w:val="right"/>
              <w:rPr>
                <w:rFonts w:ascii="Arial" w:hAnsi="Arial" w:cs="Arial"/>
                <w:highlight w:val="yellow"/>
              </w:rPr>
            </w:pPr>
          </w:p>
        </w:tc>
      </w:tr>
      <w:tr w:rsidR="00D26880" w:rsidRPr="00A845B7" w14:paraId="070429D6" w14:textId="77777777" w:rsidTr="00D26880">
        <w:tc>
          <w:tcPr>
            <w:tcW w:w="2070" w:type="pct"/>
            <w:shd w:val="clear" w:color="auto" w:fill="auto"/>
          </w:tcPr>
          <w:p w14:paraId="57A01F1A" w14:textId="77777777" w:rsidR="00D26880" w:rsidRPr="00A845B7" w:rsidRDefault="00D26880" w:rsidP="00D26880">
            <w:pPr>
              <w:jc w:val="left"/>
              <w:rPr>
                <w:rFonts w:ascii="Arial" w:hAnsi="Arial" w:cs="Arial"/>
              </w:rPr>
            </w:pPr>
            <w:r w:rsidRPr="00A845B7">
              <w:rPr>
                <w:rFonts w:ascii="Arial" w:hAnsi="Arial" w:cs="Arial"/>
              </w:rPr>
              <w:t xml:space="preserve">Adjusted pre-tax profit </w:t>
            </w:r>
          </w:p>
        </w:tc>
        <w:tc>
          <w:tcPr>
            <w:tcW w:w="786" w:type="pct"/>
            <w:shd w:val="clear" w:color="auto" w:fill="auto"/>
          </w:tcPr>
          <w:p w14:paraId="34D60369" w14:textId="5E3075F8" w:rsidR="00D26880" w:rsidRPr="00FC41B5" w:rsidRDefault="00D26880" w:rsidP="00D26880">
            <w:pPr>
              <w:jc w:val="right"/>
              <w:rPr>
                <w:rFonts w:ascii="Arial" w:hAnsi="Arial" w:cs="Arial"/>
                <w:b/>
              </w:rPr>
            </w:pPr>
            <w:r w:rsidRPr="00FC41B5">
              <w:rPr>
                <w:rFonts w:ascii="Arial" w:hAnsi="Arial" w:cs="Arial"/>
                <w:b/>
              </w:rPr>
              <w:t>£</w:t>
            </w:r>
            <w:r w:rsidR="004F03F0" w:rsidRPr="00FC41B5">
              <w:rPr>
                <w:rFonts w:ascii="Arial" w:hAnsi="Arial" w:cs="Arial"/>
                <w:b/>
              </w:rPr>
              <w:t>68</w:t>
            </w:r>
            <w:r w:rsidR="00653BF6">
              <w:rPr>
                <w:rFonts w:ascii="Arial" w:hAnsi="Arial" w:cs="Arial"/>
                <w:b/>
              </w:rPr>
              <w:t>3</w:t>
            </w:r>
            <w:r w:rsidR="004F03F0" w:rsidRPr="00FC41B5">
              <w:rPr>
                <w:rFonts w:ascii="Arial" w:hAnsi="Arial" w:cs="Arial"/>
                <w:b/>
              </w:rPr>
              <w:t>m</w:t>
            </w:r>
            <w:r w:rsidR="004F03F0" w:rsidRPr="00FC41B5" w:rsidDel="00265815">
              <w:rPr>
                <w:rFonts w:ascii="Arial" w:hAnsi="Arial" w:cs="Arial"/>
                <w:b/>
              </w:rPr>
              <w:t xml:space="preserve"> </w:t>
            </w:r>
          </w:p>
        </w:tc>
        <w:tc>
          <w:tcPr>
            <w:tcW w:w="714" w:type="pct"/>
            <w:shd w:val="clear" w:color="auto" w:fill="auto"/>
          </w:tcPr>
          <w:p w14:paraId="114D9A41" w14:textId="7B4788A7" w:rsidR="00D26880" w:rsidRPr="00932B99" w:rsidRDefault="00D26880" w:rsidP="00D26880">
            <w:pPr>
              <w:jc w:val="right"/>
              <w:rPr>
                <w:rFonts w:ascii="Arial" w:hAnsi="Arial" w:cs="Arial"/>
              </w:rPr>
            </w:pPr>
            <w:r w:rsidRPr="00932B99">
              <w:rPr>
                <w:rFonts w:ascii="Arial" w:hAnsi="Arial" w:cs="Arial"/>
              </w:rPr>
              <w:t>£743m</w:t>
            </w:r>
            <w:r w:rsidRPr="00932B99" w:rsidDel="00265815">
              <w:rPr>
                <w:rFonts w:ascii="Arial" w:hAnsi="Arial" w:cs="Arial"/>
              </w:rPr>
              <w:t xml:space="preserve"> </w:t>
            </w:r>
          </w:p>
        </w:tc>
        <w:tc>
          <w:tcPr>
            <w:tcW w:w="701" w:type="pct"/>
          </w:tcPr>
          <w:p w14:paraId="6923718C" w14:textId="72CC81DC" w:rsidR="00D26880" w:rsidRPr="00FC41B5" w:rsidRDefault="004F03F0" w:rsidP="00D26880">
            <w:pPr>
              <w:jc w:val="right"/>
              <w:rPr>
                <w:rFonts w:ascii="Arial" w:hAnsi="Arial" w:cs="Arial"/>
              </w:rPr>
            </w:pPr>
            <w:r w:rsidRPr="00FC41B5">
              <w:rPr>
                <w:rFonts w:ascii="Arial" w:hAnsi="Arial" w:cs="Arial"/>
              </w:rPr>
              <w:t>(</w:t>
            </w:r>
            <w:proofErr w:type="gramStart"/>
            <w:r w:rsidR="00653BF6">
              <w:rPr>
                <w:rFonts w:ascii="Arial" w:hAnsi="Arial" w:cs="Arial"/>
              </w:rPr>
              <w:t>8</w:t>
            </w:r>
            <w:r w:rsidR="00D26880" w:rsidRPr="00FC41B5">
              <w:rPr>
                <w:rFonts w:ascii="Arial" w:hAnsi="Arial" w:cs="Arial"/>
              </w:rPr>
              <w:t>.</w:t>
            </w:r>
            <w:r w:rsidR="00653BF6">
              <w:rPr>
                <w:rFonts w:ascii="Arial" w:hAnsi="Arial" w:cs="Arial"/>
              </w:rPr>
              <w:t>1</w:t>
            </w:r>
            <w:r w:rsidRPr="00FC41B5">
              <w:rPr>
                <w:rFonts w:ascii="Arial" w:hAnsi="Arial" w:cs="Arial"/>
              </w:rPr>
              <w:t>)</w:t>
            </w:r>
            <w:r w:rsidR="00D26880" w:rsidRPr="00FC41B5">
              <w:rPr>
                <w:rFonts w:ascii="Arial" w:hAnsi="Arial" w:cs="Arial"/>
              </w:rPr>
              <w:t>%</w:t>
            </w:r>
            <w:proofErr w:type="gramEnd"/>
          </w:p>
        </w:tc>
        <w:tc>
          <w:tcPr>
            <w:tcW w:w="728" w:type="pct"/>
            <w:shd w:val="clear" w:color="auto" w:fill="auto"/>
          </w:tcPr>
          <w:p w14:paraId="0FC80212" w14:textId="77777777" w:rsidR="00D26880" w:rsidRPr="005B2D1B" w:rsidRDefault="00D26880" w:rsidP="00D26880">
            <w:pPr>
              <w:jc w:val="right"/>
              <w:rPr>
                <w:rFonts w:ascii="Arial" w:hAnsi="Arial" w:cs="Arial"/>
                <w:highlight w:val="yellow"/>
              </w:rPr>
            </w:pPr>
          </w:p>
        </w:tc>
      </w:tr>
      <w:tr w:rsidR="00D26880" w:rsidRPr="00A845B7" w14:paraId="02F57C9E" w14:textId="77777777" w:rsidTr="00D26880">
        <w:tc>
          <w:tcPr>
            <w:tcW w:w="2070" w:type="pct"/>
            <w:shd w:val="clear" w:color="auto" w:fill="auto"/>
          </w:tcPr>
          <w:p w14:paraId="45C59A2F" w14:textId="2E9C9C62" w:rsidR="00D26880" w:rsidRPr="00A845B7" w:rsidRDefault="00D26880" w:rsidP="00D26880">
            <w:pPr>
              <w:jc w:val="left"/>
              <w:rPr>
                <w:rFonts w:ascii="Arial" w:hAnsi="Arial" w:cs="Arial"/>
              </w:rPr>
            </w:pPr>
            <w:r w:rsidRPr="00A845B7">
              <w:rPr>
                <w:rFonts w:ascii="Arial" w:hAnsi="Arial" w:cs="Arial"/>
              </w:rPr>
              <w:t>Statutory pre-tax profit</w:t>
            </w:r>
          </w:p>
        </w:tc>
        <w:tc>
          <w:tcPr>
            <w:tcW w:w="786" w:type="pct"/>
            <w:shd w:val="clear" w:color="auto" w:fill="auto"/>
          </w:tcPr>
          <w:p w14:paraId="48B8D3B1" w14:textId="2A9EB907" w:rsidR="00D26880" w:rsidRPr="00FC41B5" w:rsidRDefault="00D26880" w:rsidP="00D26880">
            <w:pPr>
              <w:jc w:val="right"/>
              <w:rPr>
                <w:rFonts w:ascii="Arial" w:hAnsi="Arial" w:cs="Arial"/>
                <w:b/>
              </w:rPr>
            </w:pPr>
            <w:r w:rsidRPr="00FC41B5">
              <w:rPr>
                <w:rFonts w:ascii="Arial" w:hAnsi="Arial" w:cs="Arial"/>
                <w:b/>
              </w:rPr>
              <w:t>£</w:t>
            </w:r>
            <w:r w:rsidR="00E54CF3">
              <w:rPr>
                <w:rFonts w:ascii="Arial" w:hAnsi="Arial" w:cs="Arial"/>
                <w:b/>
              </w:rPr>
              <w:t>68</w:t>
            </w:r>
            <w:r w:rsidR="00653BF6">
              <w:rPr>
                <w:rFonts w:ascii="Arial" w:hAnsi="Arial" w:cs="Arial"/>
                <w:b/>
              </w:rPr>
              <w:t>2</w:t>
            </w:r>
            <w:r w:rsidR="004F03F0" w:rsidRPr="00FC41B5">
              <w:rPr>
                <w:rFonts w:ascii="Arial" w:hAnsi="Arial" w:cs="Arial"/>
                <w:b/>
              </w:rPr>
              <w:t>m</w:t>
            </w:r>
            <w:r w:rsidR="004F03F0" w:rsidRPr="00FC41B5" w:rsidDel="00265815">
              <w:rPr>
                <w:rFonts w:ascii="Arial" w:hAnsi="Arial" w:cs="Arial"/>
                <w:b/>
              </w:rPr>
              <w:t xml:space="preserve"> </w:t>
            </w:r>
          </w:p>
        </w:tc>
        <w:tc>
          <w:tcPr>
            <w:tcW w:w="714" w:type="pct"/>
            <w:shd w:val="clear" w:color="auto" w:fill="auto"/>
          </w:tcPr>
          <w:p w14:paraId="759E063D" w14:textId="4928372B" w:rsidR="00D26880" w:rsidRPr="00932B99" w:rsidRDefault="00D26880" w:rsidP="00D26880">
            <w:pPr>
              <w:jc w:val="right"/>
              <w:rPr>
                <w:rFonts w:ascii="Arial" w:hAnsi="Arial" w:cs="Arial"/>
              </w:rPr>
            </w:pPr>
            <w:r w:rsidRPr="00932B99">
              <w:rPr>
                <w:rFonts w:ascii="Arial" w:hAnsi="Arial" w:cs="Arial"/>
              </w:rPr>
              <w:t>£759m</w:t>
            </w:r>
            <w:r w:rsidRPr="00FC41B5" w:rsidDel="00265815">
              <w:rPr>
                <w:rFonts w:ascii="Arial" w:hAnsi="Arial" w:cs="Arial"/>
              </w:rPr>
              <w:t xml:space="preserve"> </w:t>
            </w:r>
          </w:p>
        </w:tc>
        <w:tc>
          <w:tcPr>
            <w:tcW w:w="701" w:type="pct"/>
          </w:tcPr>
          <w:p w14:paraId="4A62434D" w14:textId="262D0ECC" w:rsidR="00D26880" w:rsidRPr="00FC41B5" w:rsidRDefault="00E54CF3" w:rsidP="00D26880">
            <w:pPr>
              <w:jc w:val="right"/>
              <w:rPr>
                <w:rFonts w:ascii="Arial" w:hAnsi="Arial" w:cs="Arial"/>
              </w:rPr>
            </w:pPr>
            <w:r>
              <w:rPr>
                <w:rFonts w:ascii="Arial" w:hAnsi="Arial" w:cs="Arial"/>
              </w:rPr>
              <w:t>(</w:t>
            </w:r>
            <w:proofErr w:type="gramStart"/>
            <w:r>
              <w:rPr>
                <w:rFonts w:ascii="Arial" w:hAnsi="Arial" w:cs="Arial"/>
              </w:rPr>
              <w:t>10.</w:t>
            </w:r>
            <w:r w:rsidR="00653BF6">
              <w:rPr>
                <w:rFonts w:ascii="Arial" w:hAnsi="Arial" w:cs="Arial"/>
              </w:rPr>
              <w:t>1</w:t>
            </w:r>
            <w:r>
              <w:rPr>
                <w:rFonts w:ascii="Arial" w:hAnsi="Arial" w:cs="Arial"/>
              </w:rPr>
              <w:t>)%</w:t>
            </w:r>
            <w:proofErr w:type="gramEnd"/>
            <w:r w:rsidR="00D26880" w:rsidRPr="00FC41B5" w:rsidDel="00265815">
              <w:rPr>
                <w:rFonts w:ascii="Arial" w:hAnsi="Arial" w:cs="Arial"/>
              </w:rPr>
              <w:t xml:space="preserve"> </w:t>
            </w:r>
          </w:p>
        </w:tc>
        <w:tc>
          <w:tcPr>
            <w:tcW w:w="728" w:type="pct"/>
            <w:shd w:val="clear" w:color="auto" w:fill="auto"/>
          </w:tcPr>
          <w:p w14:paraId="36BCC59A" w14:textId="77777777" w:rsidR="00D26880" w:rsidRPr="005B2D1B" w:rsidRDefault="00D26880" w:rsidP="00D26880">
            <w:pPr>
              <w:jc w:val="right"/>
              <w:rPr>
                <w:rFonts w:ascii="Arial" w:hAnsi="Arial" w:cs="Arial"/>
                <w:highlight w:val="yellow"/>
              </w:rPr>
            </w:pPr>
          </w:p>
        </w:tc>
      </w:tr>
      <w:tr w:rsidR="00D26880" w:rsidRPr="00A845B7" w14:paraId="64666101" w14:textId="77777777" w:rsidTr="00D26880">
        <w:tc>
          <w:tcPr>
            <w:tcW w:w="2070" w:type="pct"/>
            <w:shd w:val="clear" w:color="auto" w:fill="auto"/>
          </w:tcPr>
          <w:p w14:paraId="6867EACF" w14:textId="26D935C1" w:rsidR="00D26880" w:rsidRPr="00A845B7" w:rsidRDefault="00D26880" w:rsidP="00D26880">
            <w:pPr>
              <w:jc w:val="left"/>
              <w:rPr>
                <w:rFonts w:ascii="Arial" w:hAnsi="Arial" w:cs="Arial"/>
              </w:rPr>
            </w:pPr>
            <w:r w:rsidRPr="00A845B7">
              <w:rPr>
                <w:rFonts w:ascii="Arial" w:hAnsi="Arial" w:cs="Arial"/>
              </w:rPr>
              <w:t>Exceptional items (post-tax)</w:t>
            </w:r>
            <w:r w:rsidRPr="00FE4205">
              <w:rPr>
                <w:rFonts w:ascii="Arial" w:hAnsi="Arial" w:cs="Arial"/>
                <w:vertAlign w:val="superscript"/>
              </w:rPr>
              <w:t xml:space="preserve"> (</w:t>
            </w:r>
            <w:r>
              <w:rPr>
                <w:rFonts w:ascii="Arial" w:hAnsi="Arial" w:cs="Arial"/>
                <w:vertAlign w:val="superscript"/>
              </w:rPr>
              <w:t>1</w:t>
            </w:r>
            <w:r w:rsidRPr="00FE4205">
              <w:rPr>
                <w:rFonts w:ascii="Arial" w:hAnsi="Arial" w:cs="Arial"/>
                <w:vertAlign w:val="superscript"/>
              </w:rPr>
              <w:t>)</w:t>
            </w:r>
          </w:p>
        </w:tc>
        <w:tc>
          <w:tcPr>
            <w:tcW w:w="786" w:type="pct"/>
            <w:shd w:val="clear" w:color="auto" w:fill="auto"/>
          </w:tcPr>
          <w:p w14:paraId="75A7FBB6" w14:textId="299D6600" w:rsidR="00D26880" w:rsidRPr="00FC41B5" w:rsidRDefault="003559CA" w:rsidP="00D26880">
            <w:pPr>
              <w:jc w:val="right"/>
              <w:rPr>
                <w:rFonts w:ascii="Arial" w:hAnsi="Arial" w:cs="Arial"/>
                <w:b/>
              </w:rPr>
            </w:pPr>
            <w:r>
              <w:rPr>
                <w:rFonts w:ascii="Arial" w:hAnsi="Arial" w:cs="Arial"/>
                <w:b/>
              </w:rPr>
              <w:t>-</w:t>
            </w:r>
          </w:p>
        </w:tc>
        <w:tc>
          <w:tcPr>
            <w:tcW w:w="714" w:type="pct"/>
            <w:shd w:val="clear" w:color="auto" w:fill="auto"/>
          </w:tcPr>
          <w:p w14:paraId="48706044" w14:textId="75EFEB60" w:rsidR="00D26880" w:rsidRPr="00932B99" w:rsidRDefault="00D26880" w:rsidP="00D26880">
            <w:pPr>
              <w:jc w:val="right"/>
              <w:rPr>
                <w:rFonts w:ascii="Arial" w:hAnsi="Arial" w:cs="Arial"/>
              </w:rPr>
            </w:pPr>
            <w:r w:rsidRPr="00932B99">
              <w:rPr>
                <w:rFonts w:ascii="Arial" w:hAnsi="Arial" w:cs="Arial"/>
              </w:rPr>
              <w:t>£11m</w:t>
            </w:r>
          </w:p>
        </w:tc>
        <w:tc>
          <w:tcPr>
            <w:tcW w:w="701" w:type="pct"/>
            <w:shd w:val="clear" w:color="auto" w:fill="auto"/>
          </w:tcPr>
          <w:p w14:paraId="1A29E0F4" w14:textId="77777777" w:rsidR="00D26880" w:rsidRPr="00FC41B5" w:rsidRDefault="00D26880" w:rsidP="00D26880">
            <w:pPr>
              <w:jc w:val="right"/>
              <w:rPr>
                <w:rFonts w:ascii="Arial" w:hAnsi="Arial" w:cs="Arial"/>
              </w:rPr>
            </w:pPr>
            <w:r w:rsidRPr="00FC41B5">
              <w:rPr>
                <w:rFonts w:ascii="Arial" w:hAnsi="Arial" w:cs="Arial"/>
              </w:rPr>
              <w:t>n/a</w:t>
            </w:r>
          </w:p>
        </w:tc>
        <w:tc>
          <w:tcPr>
            <w:tcW w:w="728" w:type="pct"/>
            <w:shd w:val="clear" w:color="auto" w:fill="auto"/>
          </w:tcPr>
          <w:p w14:paraId="53A7B8B9" w14:textId="77777777" w:rsidR="00D26880" w:rsidRPr="005B2D1B" w:rsidRDefault="00D26880" w:rsidP="00D26880">
            <w:pPr>
              <w:jc w:val="right"/>
              <w:rPr>
                <w:rFonts w:ascii="Arial" w:hAnsi="Arial" w:cs="Arial"/>
                <w:highlight w:val="yellow"/>
              </w:rPr>
            </w:pPr>
          </w:p>
        </w:tc>
      </w:tr>
      <w:tr w:rsidR="00AA7892" w:rsidRPr="00A845B7" w14:paraId="7C9474F7" w14:textId="77777777" w:rsidTr="00D26880">
        <w:tc>
          <w:tcPr>
            <w:tcW w:w="2070" w:type="pct"/>
            <w:shd w:val="clear" w:color="auto" w:fill="auto"/>
          </w:tcPr>
          <w:p w14:paraId="27D9B839" w14:textId="5E96726E" w:rsidR="00AA7892" w:rsidRPr="00A845B7" w:rsidRDefault="00AA7892" w:rsidP="00D26880">
            <w:pPr>
              <w:jc w:val="left"/>
              <w:rPr>
                <w:rFonts w:ascii="Arial" w:hAnsi="Arial" w:cs="Arial"/>
              </w:rPr>
            </w:pPr>
            <w:r w:rsidRPr="00165A9B">
              <w:rPr>
                <w:rFonts w:ascii="Arial" w:hAnsi="Arial" w:cs="Arial"/>
              </w:rPr>
              <w:t>Effective tax rate</w:t>
            </w:r>
          </w:p>
        </w:tc>
        <w:tc>
          <w:tcPr>
            <w:tcW w:w="786" w:type="pct"/>
            <w:shd w:val="clear" w:color="auto" w:fill="auto"/>
          </w:tcPr>
          <w:p w14:paraId="667D1DAC" w14:textId="15179193" w:rsidR="00AA7892" w:rsidRPr="00FC41B5" w:rsidRDefault="00AA7892" w:rsidP="00D26880">
            <w:pPr>
              <w:jc w:val="right"/>
              <w:rPr>
                <w:rFonts w:ascii="Arial" w:hAnsi="Arial" w:cs="Arial"/>
                <w:b/>
              </w:rPr>
            </w:pPr>
            <w:r>
              <w:rPr>
                <w:rFonts w:ascii="Arial" w:hAnsi="Arial" w:cs="Arial"/>
                <w:b/>
              </w:rPr>
              <w:t>30%</w:t>
            </w:r>
          </w:p>
        </w:tc>
        <w:tc>
          <w:tcPr>
            <w:tcW w:w="714" w:type="pct"/>
            <w:shd w:val="clear" w:color="auto" w:fill="auto"/>
          </w:tcPr>
          <w:p w14:paraId="68E84DD0" w14:textId="4EE3B72A" w:rsidR="00AA7892" w:rsidRPr="00932B99" w:rsidRDefault="00AA7892" w:rsidP="00D26880">
            <w:pPr>
              <w:jc w:val="right"/>
              <w:rPr>
                <w:rFonts w:ascii="Arial" w:hAnsi="Arial" w:cs="Arial"/>
              </w:rPr>
            </w:pPr>
            <w:r>
              <w:rPr>
                <w:rFonts w:ascii="Arial" w:hAnsi="Arial" w:cs="Arial"/>
              </w:rPr>
              <w:t>26%</w:t>
            </w:r>
          </w:p>
        </w:tc>
        <w:tc>
          <w:tcPr>
            <w:tcW w:w="701" w:type="pct"/>
            <w:shd w:val="clear" w:color="auto" w:fill="auto"/>
          </w:tcPr>
          <w:p w14:paraId="32FE07D8" w14:textId="30E74497" w:rsidR="00AA7892" w:rsidRPr="00FC41B5" w:rsidRDefault="00AA7892" w:rsidP="00D26880">
            <w:pPr>
              <w:jc w:val="right"/>
              <w:rPr>
                <w:rFonts w:ascii="Arial" w:hAnsi="Arial" w:cs="Arial"/>
              </w:rPr>
            </w:pPr>
            <w:r>
              <w:rPr>
                <w:rFonts w:ascii="Arial" w:hAnsi="Arial" w:cs="Arial"/>
              </w:rPr>
              <w:t>n/a</w:t>
            </w:r>
          </w:p>
        </w:tc>
        <w:tc>
          <w:tcPr>
            <w:tcW w:w="728" w:type="pct"/>
            <w:shd w:val="clear" w:color="auto" w:fill="auto"/>
          </w:tcPr>
          <w:p w14:paraId="567FB6CB" w14:textId="77777777" w:rsidR="00AA7892" w:rsidRPr="005B2D1B" w:rsidRDefault="00AA7892" w:rsidP="00D26880">
            <w:pPr>
              <w:jc w:val="right"/>
              <w:rPr>
                <w:rFonts w:ascii="Arial" w:hAnsi="Arial" w:cs="Arial"/>
                <w:highlight w:val="yellow"/>
              </w:rPr>
            </w:pPr>
          </w:p>
        </w:tc>
      </w:tr>
      <w:tr w:rsidR="00D26880" w:rsidRPr="00A845B7" w14:paraId="712CA7B8" w14:textId="77777777" w:rsidTr="00D26880">
        <w:tc>
          <w:tcPr>
            <w:tcW w:w="2070" w:type="pct"/>
            <w:shd w:val="clear" w:color="auto" w:fill="auto"/>
          </w:tcPr>
          <w:p w14:paraId="46A44E5C" w14:textId="77777777" w:rsidR="00D26880" w:rsidRPr="00A845B7" w:rsidRDefault="00D26880" w:rsidP="00D26880">
            <w:pPr>
              <w:jc w:val="left"/>
              <w:rPr>
                <w:rFonts w:ascii="Arial" w:hAnsi="Arial" w:cs="Arial"/>
              </w:rPr>
            </w:pPr>
            <w:r w:rsidRPr="00A845B7">
              <w:rPr>
                <w:rFonts w:ascii="Arial" w:hAnsi="Arial" w:cs="Arial"/>
              </w:rPr>
              <w:t xml:space="preserve">Underlying basic earnings per share </w:t>
            </w:r>
          </w:p>
        </w:tc>
        <w:tc>
          <w:tcPr>
            <w:tcW w:w="786" w:type="pct"/>
            <w:shd w:val="clear" w:color="auto" w:fill="auto"/>
          </w:tcPr>
          <w:p w14:paraId="285F07F3" w14:textId="7BDC9BE8" w:rsidR="00D26880" w:rsidRPr="00FC41B5" w:rsidRDefault="00932B99" w:rsidP="00D26880">
            <w:pPr>
              <w:jc w:val="right"/>
              <w:rPr>
                <w:rFonts w:ascii="Arial" w:hAnsi="Arial" w:cs="Arial"/>
                <w:b/>
              </w:rPr>
            </w:pPr>
            <w:r w:rsidRPr="00FC41B5">
              <w:rPr>
                <w:rFonts w:ascii="Arial" w:hAnsi="Arial" w:cs="Arial"/>
                <w:b/>
              </w:rPr>
              <w:t>25</w:t>
            </w:r>
            <w:r w:rsidR="00D26880" w:rsidRPr="00FC41B5">
              <w:rPr>
                <w:rFonts w:ascii="Arial" w:hAnsi="Arial" w:cs="Arial"/>
                <w:b/>
              </w:rPr>
              <w:t>.</w:t>
            </w:r>
            <w:r w:rsidRPr="00FC41B5">
              <w:rPr>
                <w:rFonts w:ascii="Arial" w:hAnsi="Arial" w:cs="Arial"/>
                <w:b/>
              </w:rPr>
              <w:t>5</w:t>
            </w:r>
            <w:r w:rsidR="004F03F0" w:rsidRPr="00FC41B5">
              <w:rPr>
                <w:rFonts w:ascii="Arial" w:hAnsi="Arial" w:cs="Arial"/>
                <w:b/>
              </w:rPr>
              <w:t>p</w:t>
            </w:r>
          </w:p>
        </w:tc>
        <w:tc>
          <w:tcPr>
            <w:tcW w:w="714" w:type="pct"/>
            <w:shd w:val="clear" w:color="auto" w:fill="auto"/>
          </w:tcPr>
          <w:p w14:paraId="60C0B7AA" w14:textId="1025BFE8" w:rsidR="00D26880" w:rsidRPr="00932B99" w:rsidRDefault="00D26880" w:rsidP="00D26880">
            <w:pPr>
              <w:jc w:val="right"/>
              <w:rPr>
                <w:rFonts w:ascii="Arial" w:hAnsi="Arial" w:cs="Arial"/>
              </w:rPr>
            </w:pPr>
            <w:r w:rsidRPr="00932B99">
              <w:rPr>
                <w:rFonts w:ascii="Arial" w:hAnsi="Arial" w:cs="Arial"/>
              </w:rPr>
              <w:t>25.9p</w:t>
            </w:r>
          </w:p>
        </w:tc>
        <w:tc>
          <w:tcPr>
            <w:tcW w:w="701" w:type="pct"/>
            <w:shd w:val="clear" w:color="auto" w:fill="auto"/>
          </w:tcPr>
          <w:p w14:paraId="5C52CC0C" w14:textId="0565C652" w:rsidR="00D26880" w:rsidRPr="00FC41B5" w:rsidRDefault="004F03F0" w:rsidP="00D26880">
            <w:pPr>
              <w:jc w:val="right"/>
              <w:rPr>
                <w:rFonts w:ascii="Arial" w:hAnsi="Arial" w:cs="Arial"/>
              </w:rPr>
            </w:pPr>
            <w:r w:rsidRPr="00FC41B5">
              <w:rPr>
                <w:rFonts w:ascii="Arial" w:hAnsi="Arial" w:cs="Arial"/>
              </w:rPr>
              <w:t>(</w:t>
            </w:r>
            <w:proofErr w:type="gramStart"/>
            <w:r w:rsidR="00932B99" w:rsidRPr="00FC41B5">
              <w:rPr>
                <w:rFonts w:ascii="Arial" w:hAnsi="Arial" w:cs="Arial"/>
              </w:rPr>
              <w:t>1</w:t>
            </w:r>
            <w:r w:rsidR="00D26880" w:rsidRPr="00FC41B5">
              <w:rPr>
                <w:rFonts w:ascii="Arial" w:hAnsi="Arial" w:cs="Arial"/>
              </w:rPr>
              <w:t>.</w:t>
            </w:r>
            <w:r w:rsidR="00932B99" w:rsidRPr="00FC41B5">
              <w:rPr>
                <w:rFonts w:ascii="Arial" w:hAnsi="Arial" w:cs="Arial"/>
              </w:rPr>
              <w:t>5</w:t>
            </w:r>
            <w:r w:rsidRPr="00FC41B5">
              <w:rPr>
                <w:rFonts w:ascii="Arial" w:hAnsi="Arial" w:cs="Arial"/>
              </w:rPr>
              <w:t>)</w:t>
            </w:r>
            <w:r w:rsidR="00D26880" w:rsidRPr="00FC41B5">
              <w:rPr>
                <w:rFonts w:ascii="Arial" w:hAnsi="Arial" w:cs="Arial"/>
              </w:rPr>
              <w:t>%</w:t>
            </w:r>
            <w:proofErr w:type="gramEnd"/>
          </w:p>
        </w:tc>
        <w:tc>
          <w:tcPr>
            <w:tcW w:w="728" w:type="pct"/>
            <w:shd w:val="clear" w:color="auto" w:fill="auto"/>
          </w:tcPr>
          <w:p w14:paraId="6F6AD9A6" w14:textId="77777777" w:rsidR="00D26880" w:rsidRPr="005B2D1B" w:rsidRDefault="00D26880" w:rsidP="00D26880">
            <w:pPr>
              <w:jc w:val="right"/>
              <w:rPr>
                <w:rFonts w:ascii="Arial" w:hAnsi="Arial" w:cs="Arial"/>
                <w:highlight w:val="yellow"/>
              </w:rPr>
            </w:pPr>
          </w:p>
        </w:tc>
      </w:tr>
      <w:tr w:rsidR="00D26880" w:rsidRPr="00A845B7" w14:paraId="49515FCC" w14:textId="77777777" w:rsidTr="00D26880">
        <w:tc>
          <w:tcPr>
            <w:tcW w:w="2070" w:type="pct"/>
            <w:shd w:val="clear" w:color="auto" w:fill="auto"/>
          </w:tcPr>
          <w:p w14:paraId="592B25C5" w14:textId="77777777" w:rsidR="00D26880" w:rsidRPr="00A845B7" w:rsidRDefault="00D26880" w:rsidP="00D26880">
            <w:pPr>
              <w:jc w:val="left"/>
              <w:rPr>
                <w:rFonts w:ascii="Arial" w:hAnsi="Arial" w:cs="Arial"/>
              </w:rPr>
            </w:pPr>
            <w:r w:rsidRPr="00A845B7">
              <w:rPr>
                <w:rFonts w:ascii="Arial" w:hAnsi="Arial" w:cs="Arial"/>
              </w:rPr>
              <w:t xml:space="preserve">Adjusted basic earnings per share </w:t>
            </w:r>
          </w:p>
        </w:tc>
        <w:tc>
          <w:tcPr>
            <w:tcW w:w="786" w:type="pct"/>
            <w:shd w:val="clear" w:color="auto" w:fill="auto"/>
          </w:tcPr>
          <w:p w14:paraId="6754CE01" w14:textId="7964BED7" w:rsidR="00D26880" w:rsidRPr="00FC41B5" w:rsidRDefault="00932B99" w:rsidP="00D26880">
            <w:pPr>
              <w:jc w:val="right"/>
              <w:rPr>
                <w:rFonts w:ascii="Arial" w:hAnsi="Arial" w:cs="Arial"/>
                <w:b/>
              </w:rPr>
            </w:pPr>
            <w:r w:rsidRPr="00FC41B5">
              <w:rPr>
                <w:rFonts w:ascii="Arial" w:hAnsi="Arial" w:cs="Arial"/>
                <w:b/>
              </w:rPr>
              <w:t>2</w:t>
            </w:r>
            <w:r w:rsidR="00E54CF3">
              <w:rPr>
                <w:rFonts w:ascii="Arial" w:hAnsi="Arial" w:cs="Arial"/>
                <w:b/>
              </w:rPr>
              <w:t>1</w:t>
            </w:r>
            <w:r w:rsidR="00D26880" w:rsidRPr="00FC41B5">
              <w:rPr>
                <w:rFonts w:ascii="Arial" w:hAnsi="Arial" w:cs="Arial"/>
                <w:b/>
              </w:rPr>
              <w:t>.</w:t>
            </w:r>
            <w:r w:rsidR="00E54CF3">
              <w:rPr>
                <w:rFonts w:ascii="Arial" w:hAnsi="Arial" w:cs="Arial"/>
                <w:b/>
              </w:rPr>
              <w:t>8</w:t>
            </w:r>
            <w:r w:rsidR="004F03F0" w:rsidRPr="00FC41B5">
              <w:rPr>
                <w:rFonts w:ascii="Arial" w:hAnsi="Arial" w:cs="Arial"/>
                <w:b/>
              </w:rPr>
              <w:t>p</w:t>
            </w:r>
            <w:r w:rsidR="004F03F0" w:rsidRPr="00FC41B5" w:rsidDel="009E5D4B">
              <w:rPr>
                <w:rFonts w:ascii="Arial" w:hAnsi="Arial" w:cs="Arial"/>
                <w:b/>
              </w:rPr>
              <w:t xml:space="preserve"> </w:t>
            </w:r>
          </w:p>
        </w:tc>
        <w:tc>
          <w:tcPr>
            <w:tcW w:w="714" w:type="pct"/>
            <w:shd w:val="clear" w:color="auto" w:fill="auto"/>
          </w:tcPr>
          <w:p w14:paraId="3B6FFB98" w14:textId="133FEED7" w:rsidR="00D26880" w:rsidRPr="00932B99" w:rsidRDefault="00D26880" w:rsidP="00D26880">
            <w:pPr>
              <w:jc w:val="right"/>
              <w:rPr>
                <w:rFonts w:ascii="Arial" w:hAnsi="Arial" w:cs="Arial"/>
              </w:rPr>
            </w:pPr>
            <w:r w:rsidRPr="00932B99">
              <w:rPr>
                <w:rFonts w:ascii="Arial" w:hAnsi="Arial" w:cs="Arial"/>
              </w:rPr>
              <w:t>24.4p</w:t>
            </w:r>
            <w:r w:rsidRPr="00932B99" w:rsidDel="009E5D4B">
              <w:rPr>
                <w:rFonts w:ascii="Arial" w:hAnsi="Arial" w:cs="Arial"/>
              </w:rPr>
              <w:t xml:space="preserve"> </w:t>
            </w:r>
          </w:p>
        </w:tc>
        <w:tc>
          <w:tcPr>
            <w:tcW w:w="701" w:type="pct"/>
            <w:shd w:val="clear" w:color="auto" w:fill="auto"/>
          </w:tcPr>
          <w:p w14:paraId="5213BA07" w14:textId="28FA2CA0" w:rsidR="00D26880" w:rsidRPr="00FC41B5" w:rsidRDefault="00E54CF3" w:rsidP="00D26880">
            <w:pPr>
              <w:jc w:val="right"/>
              <w:rPr>
                <w:rFonts w:ascii="Arial" w:hAnsi="Arial" w:cs="Arial"/>
              </w:rPr>
            </w:pPr>
            <w:r>
              <w:rPr>
                <w:rFonts w:ascii="Arial" w:hAnsi="Arial" w:cs="Arial"/>
              </w:rPr>
              <w:t>(</w:t>
            </w:r>
            <w:proofErr w:type="gramStart"/>
            <w:r>
              <w:rPr>
                <w:rFonts w:ascii="Arial" w:hAnsi="Arial" w:cs="Arial"/>
              </w:rPr>
              <w:t>10.7)%</w:t>
            </w:r>
            <w:proofErr w:type="gramEnd"/>
          </w:p>
        </w:tc>
        <w:tc>
          <w:tcPr>
            <w:tcW w:w="728" w:type="pct"/>
            <w:shd w:val="clear" w:color="auto" w:fill="auto"/>
          </w:tcPr>
          <w:p w14:paraId="59D48724" w14:textId="77777777" w:rsidR="00D26880" w:rsidRPr="005B2D1B" w:rsidRDefault="00D26880" w:rsidP="00D26880">
            <w:pPr>
              <w:jc w:val="right"/>
              <w:rPr>
                <w:rFonts w:ascii="Arial" w:hAnsi="Arial" w:cs="Arial"/>
                <w:highlight w:val="yellow"/>
              </w:rPr>
            </w:pPr>
          </w:p>
        </w:tc>
      </w:tr>
      <w:tr w:rsidR="00D26880" w:rsidRPr="00A845B7" w14:paraId="6F973D3D" w14:textId="77777777" w:rsidTr="00D26880">
        <w:tc>
          <w:tcPr>
            <w:tcW w:w="2070" w:type="pct"/>
            <w:shd w:val="clear" w:color="auto" w:fill="auto"/>
          </w:tcPr>
          <w:p w14:paraId="51D4E847" w14:textId="09ED63E5" w:rsidR="00D26880" w:rsidRPr="00A845B7" w:rsidRDefault="00D26880" w:rsidP="00D26880">
            <w:pPr>
              <w:jc w:val="left"/>
              <w:rPr>
                <w:rFonts w:ascii="Arial" w:hAnsi="Arial" w:cs="Arial"/>
              </w:rPr>
            </w:pPr>
            <w:r w:rsidRPr="00A845B7">
              <w:rPr>
                <w:rFonts w:ascii="Arial" w:hAnsi="Arial" w:cs="Arial"/>
              </w:rPr>
              <w:t>Basic earnings per share</w:t>
            </w:r>
          </w:p>
        </w:tc>
        <w:tc>
          <w:tcPr>
            <w:tcW w:w="786" w:type="pct"/>
            <w:shd w:val="clear" w:color="auto" w:fill="auto"/>
          </w:tcPr>
          <w:p w14:paraId="6FDFDD75" w14:textId="165EE931" w:rsidR="00D26880" w:rsidRPr="00FC41B5" w:rsidRDefault="00932B99" w:rsidP="00D26880">
            <w:pPr>
              <w:jc w:val="right"/>
              <w:rPr>
                <w:rFonts w:ascii="Arial" w:hAnsi="Arial" w:cs="Arial"/>
                <w:b/>
              </w:rPr>
            </w:pPr>
            <w:r w:rsidRPr="00FC41B5">
              <w:rPr>
                <w:rFonts w:ascii="Arial" w:hAnsi="Arial" w:cs="Arial"/>
                <w:b/>
              </w:rPr>
              <w:t>22</w:t>
            </w:r>
            <w:r w:rsidR="00D26880" w:rsidRPr="00FC41B5">
              <w:rPr>
                <w:rFonts w:ascii="Arial" w:hAnsi="Arial" w:cs="Arial"/>
                <w:b/>
              </w:rPr>
              <w:t>.</w:t>
            </w:r>
            <w:r w:rsidR="00653BF6">
              <w:rPr>
                <w:rFonts w:ascii="Arial" w:hAnsi="Arial" w:cs="Arial"/>
                <w:b/>
              </w:rPr>
              <w:t>1</w:t>
            </w:r>
            <w:r w:rsidR="004F03F0" w:rsidRPr="00FC41B5">
              <w:rPr>
                <w:rFonts w:ascii="Arial" w:hAnsi="Arial" w:cs="Arial"/>
                <w:b/>
              </w:rPr>
              <w:t>p</w:t>
            </w:r>
            <w:r w:rsidR="004F03F0" w:rsidRPr="00FC41B5" w:rsidDel="009E5D4B">
              <w:rPr>
                <w:rFonts w:ascii="Arial" w:hAnsi="Arial" w:cs="Arial"/>
                <w:b/>
              </w:rPr>
              <w:t xml:space="preserve"> </w:t>
            </w:r>
          </w:p>
        </w:tc>
        <w:tc>
          <w:tcPr>
            <w:tcW w:w="714" w:type="pct"/>
            <w:shd w:val="clear" w:color="auto" w:fill="auto"/>
          </w:tcPr>
          <w:p w14:paraId="7A3FC065" w14:textId="731E07BA" w:rsidR="00D26880" w:rsidRPr="00932B99" w:rsidDel="00791ABF" w:rsidRDefault="00D26880" w:rsidP="00D26880">
            <w:pPr>
              <w:jc w:val="right"/>
              <w:rPr>
                <w:rFonts w:ascii="Arial" w:hAnsi="Arial" w:cs="Arial"/>
              </w:rPr>
            </w:pPr>
            <w:r w:rsidRPr="00932B99">
              <w:rPr>
                <w:rFonts w:ascii="Arial" w:hAnsi="Arial" w:cs="Arial"/>
              </w:rPr>
              <w:t>27.1p</w:t>
            </w:r>
            <w:r w:rsidRPr="00932B99" w:rsidDel="009E5D4B">
              <w:rPr>
                <w:rFonts w:ascii="Arial" w:hAnsi="Arial" w:cs="Arial"/>
              </w:rPr>
              <w:t xml:space="preserve"> </w:t>
            </w:r>
          </w:p>
        </w:tc>
        <w:tc>
          <w:tcPr>
            <w:tcW w:w="701" w:type="pct"/>
            <w:shd w:val="clear" w:color="auto" w:fill="auto"/>
          </w:tcPr>
          <w:p w14:paraId="7AC4DC4C" w14:textId="64DEC1B6" w:rsidR="00D26880" w:rsidRPr="00FC41B5" w:rsidDel="00791ABF" w:rsidRDefault="004F03F0" w:rsidP="00D26880">
            <w:pPr>
              <w:jc w:val="right"/>
              <w:rPr>
                <w:rFonts w:ascii="Arial" w:hAnsi="Arial" w:cs="Arial"/>
              </w:rPr>
            </w:pPr>
            <w:r w:rsidRPr="00FC41B5">
              <w:rPr>
                <w:rFonts w:ascii="Arial" w:hAnsi="Arial" w:cs="Arial"/>
              </w:rPr>
              <w:t>(</w:t>
            </w:r>
            <w:proofErr w:type="gramStart"/>
            <w:r w:rsidR="00932B99" w:rsidRPr="00FC41B5">
              <w:rPr>
                <w:rFonts w:ascii="Arial" w:hAnsi="Arial" w:cs="Arial"/>
              </w:rPr>
              <w:t>1</w:t>
            </w:r>
            <w:r w:rsidR="00653BF6">
              <w:rPr>
                <w:rFonts w:ascii="Arial" w:hAnsi="Arial" w:cs="Arial"/>
              </w:rPr>
              <w:t>8</w:t>
            </w:r>
            <w:r w:rsidR="00D26880" w:rsidRPr="00FC41B5">
              <w:rPr>
                <w:rFonts w:ascii="Arial" w:hAnsi="Arial" w:cs="Arial"/>
              </w:rPr>
              <w:t>.</w:t>
            </w:r>
            <w:r w:rsidR="00653BF6">
              <w:rPr>
                <w:rFonts w:ascii="Arial" w:hAnsi="Arial" w:cs="Arial"/>
              </w:rPr>
              <w:t>5</w:t>
            </w:r>
            <w:r w:rsidRPr="00FC41B5">
              <w:rPr>
                <w:rFonts w:ascii="Arial" w:hAnsi="Arial" w:cs="Arial"/>
              </w:rPr>
              <w:t>)</w:t>
            </w:r>
            <w:r w:rsidR="00D26880" w:rsidRPr="00FC41B5">
              <w:rPr>
                <w:rFonts w:ascii="Arial" w:hAnsi="Arial" w:cs="Arial"/>
              </w:rPr>
              <w:t>%</w:t>
            </w:r>
            <w:proofErr w:type="gramEnd"/>
            <w:r w:rsidR="00D26880" w:rsidRPr="00FC41B5" w:rsidDel="00265815">
              <w:rPr>
                <w:rFonts w:ascii="Arial" w:hAnsi="Arial" w:cs="Arial"/>
              </w:rPr>
              <w:t xml:space="preserve"> </w:t>
            </w:r>
          </w:p>
        </w:tc>
        <w:tc>
          <w:tcPr>
            <w:tcW w:w="728" w:type="pct"/>
            <w:shd w:val="clear" w:color="auto" w:fill="auto"/>
          </w:tcPr>
          <w:p w14:paraId="6D444851" w14:textId="77777777" w:rsidR="00D26880" w:rsidRPr="005B2D1B" w:rsidRDefault="00D26880" w:rsidP="00D26880">
            <w:pPr>
              <w:jc w:val="right"/>
              <w:rPr>
                <w:rFonts w:ascii="Arial" w:hAnsi="Arial" w:cs="Arial"/>
                <w:highlight w:val="yellow"/>
              </w:rPr>
            </w:pPr>
          </w:p>
        </w:tc>
      </w:tr>
      <w:tr w:rsidR="00D26880" w:rsidRPr="00A845B7" w14:paraId="15283797" w14:textId="77777777" w:rsidTr="00D26880">
        <w:tc>
          <w:tcPr>
            <w:tcW w:w="2070" w:type="pct"/>
            <w:shd w:val="clear" w:color="auto" w:fill="auto"/>
          </w:tcPr>
          <w:p w14:paraId="18154A12" w14:textId="77777777" w:rsidR="00D26880" w:rsidRPr="00A845B7" w:rsidRDefault="00D26880" w:rsidP="00D26880">
            <w:pPr>
              <w:jc w:val="left"/>
              <w:rPr>
                <w:rFonts w:ascii="Arial" w:hAnsi="Arial" w:cs="Arial"/>
              </w:rPr>
            </w:pPr>
            <w:r w:rsidRPr="00A845B7">
              <w:rPr>
                <w:rFonts w:ascii="Arial" w:hAnsi="Arial" w:cs="Arial"/>
              </w:rPr>
              <w:t>Full year ordinary dividend</w:t>
            </w:r>
          </w:p>
        </w:tc>
        <w:tc>
          <w:tcPr>
            <w:tcW w:w="786" w:type="pct"/>
            <w:shd w:val="clear" w:color="auto" w:fill="auto"/>
          </w:tcPr>
          <w:p w14:paraId="03C7403A" w14:textId="1BFAE31A" w:rsidR="00D26880" w:rsidRPr="00D86BB6" w:rsidRDefault="00A5019B" w:rsidP="00D26880">
            <w:pPr>
              <w:jc w:val="right"/>
              <w:rPr>
                <w:rFonts w:ascii="Arial" w:hAnsi="Arial" w:cs="Arial"/>
                <w:b/>
              </w:rPr>
            </w:pPr>
            <w:r w:rsidRPr="00D86BB6">
              <w:rPr>
                <w:rFonts w:ascii="Arial" w:hAnsi="Arial" w:cs="Arial"/>
                <w:b/>
              </w:rPr>
              <w:t>10.</w:t>
            </w:r>
            <w:r w:rsidR="00F07AFB" w:rsidRPr="00D86BB6">
              <w:rPr>
                <w:rFonts w:ascii="Arial" w:hAnsi="Arial" w:cs="Arial"/>
                <w:b/>
              </w:rPr>
              <w:t>8</w:t>
            </w:r>
            <w:r w:rsidR="004F03F0" w:rsidRPr="00D86BB6">
              <w:rPr>
                <w:rFonts w:ascii="Arial" w:hAnsi="Arial" w:cs="Arial"/>
                <w:b/>
              </w:rPr>
              <w:t>p</w:t>
            </w:r>
          </w:p>
        </w:tc>
        <w:tc>
          <w:tcPr>
            <w:tcW w:w="714" w:type="pct"/>
            <w:shd w:val="clear" w:color="auto" w:fill="auto"/>
          </w:tcPr>
          <w:p w14:paraId="0DF7A094" w14:textId="621B6BF8" w:rsidR="00D26880" w:rsidRPr="008C7E4A" w:rsidRDefault="00D26880" w:rsidP="00D26880">
            <w:pPr>
              <w:jc w:val="right"/>
              <w:rPr>
                <w:rFonts w:ascii="Arial" w:hAnsi="Arial" w:cs="Arial"/>
              </w:rPr>
            </w:pPr>
            <w:r w:rsidRPr="008C7E4A">
              <w:rPr>
                <w:rFonts w:ascii="Arial" w:hAnsi="Arial" w:cs="Arial"/>
              </w:rPr>
              <w:t>10.4p</w:t>
            </w:r>
          </w:p>
        </w:tc>
        <w:tc>
          <w:tcPr>
            <w:tcW w:w="701" w:type="pct"/>
          </w:tcPr>
          <w:p w14:paraId="6FD80762" w14:textId="3AB55B65" w:rsidR="00D26880" w:rsidRPr="00D86BB6" w:rsidDel="00713ADA" w:rsidRDefault="008C7E4A" w:rsidP="00D26880">
            <w:pPr>
              <w:jc w:val="right"/>
              <w:rPr>
                <w:rFonts w:ascii="Arial" w:hAnsi="Arial" w:cs="Arial"/>
              </w:rPr>
            </w:pPr>
            <w:r w:rsidRPr="00D86BB6">
              <w:rPr>
                <w:rFonts w:ascii="Arial" w:hAnsi="Arial" w:cs="Arial"/>
              </w:rPr>
              <w:t>+</w:t>
            </w:r>
            <w:r w:rsidR="00F07AFB" w:rsidRPr="00D86BB6">
              <w:rPr>
                <w:rFonts w:ascii="Arial" w:hAnsi="Arial" w:cs="Arial"/>
              </w:rPr>
              <w:t>4</w:t>
            </w:r>
            <w:r w:rsidR="00D26880" w:rsidRPr="00D86BB6">
              <w:rPr>
                <w:rFonts w:ascii="Arial" w:hAnsi="Arial" w:cs="Arial"/>
              </w:rPr>
              <w:t>.</w:t>
            </w:r>
            <w:r w:rsidR="00AA7892" w:rsidRPr="00D86BB6">
              <w:rPr>
                <w:rFonts w:ascii="Arial" w:hAnsi="Arial" w:cs="Arial"/>
              </w:rPr>
              <w:t>0</w:t>
            </w:r>
            <w:r w:rsidR="00D26880" w:rsidRPr="00D86BB6">
              <w:rPr>
                <w:rFonts w:ascii="Arial" w:hAnsi="Arial" w:cs="Arial"/>
              </w:rPr>
              <w:t>%</w:t>
            </w:r>
          </w:p>
        </w:tc>
        <w:tc>
          <w:tcPr>
            <w:tcW w:w="728" w:type="pct"/>
            <w:shd w:val="clear" w:color="auto" w:fill="auto"/>
          </w:tcPr>
          <w:p w14:paraId="4DA02E97" w14:textId="77777777" w:rsidR="00D26880" w:rsidRPr="00D86BB6" w:rsidRDefault="00D26880" w:rsidP="00D26880">
            <w:pPr>
              <w:jc w:val="right"/>
              <w:rPr>
                <w:rFonts w:ascii="Arial" w:hAnsi="Arial" w:cs="Arial"/>
              </w:rPr>
            </w:pPr>
          </w:p>
        </w:tc>
      </w:tr>
      <w:tr w:rsidR="0042729E" w:rsidRPr="00A845B7" w14:paraId="6EEF209D" w14:textId="77777777" w:rsidTr="0018703F">
        <w:tc>
          <w:tcPr>
            <w:tcW w:w="2070" w:type="pct"/>
            <w:shd w:val="clear" w:color="auto" w:fill="auto"/>
          </w:tcPr>
          <w:p w14:paraId="51E53EEF" w14:textId="77777777" w:rsidR="0042729E" w:rsidRPr="00A845B7" w:rsidRDefault="0042729E" w:rsidP="0042729E">
            <w:pPr>
              <w:jc w:val="left"/>
              <w:rPr>
                <w:rFonts w:ascii="Arial" w:hAnsi="Arial" w:cs="Arial"/>
              </w:rPr>
            </w:pPr>
            <w:r w:rsidRPr="00A845B7">
              <w:rPr>
                <w:rFonts w:ascii="Arial" w:hAnsi="Arial" w:cs="Arial"/>
              </w:rPr>
              <w:t xml:space="preserve">Net cash </w:t>
            </w:r>
          </w:p>
        </w:tc>
        <w:tc>
          <w:tcPr>
            <w:tcW w:w="786" w:type="pct"/>
            <w:shd w:val="clear" w:color="auto" w:fill="auto"/>
          </w:tcPr>
          <w:p w14:paraId="62AC29C5" w14:textId="71130341" w:rsidR="0042729E" w:rsidRPr="00FC41B5" w:rsidRDefault="0042729E" w:rsidP="0042729E">
            <w:pPr>
              <w:jc w:val="right"/>
              <w:rPr>
                <w:rFonts w:ascii="Arial" w:hAnsi="Arial" w:cs="Arial"/>
                <w:b/>
              </w:rPr>
            </w:pPr>
            <w:r w:rsidRPr="00FC41B5">
              <w:rPr>
                <w:rFonts w:ascii="Arial" w:hAnsi="Arial" w:cs="Arial"/>
                <w:b/>
              </w:rPr>
              <w:t>£</w:t>
            </w:r>
            <w:r w:rsidR="004F03F0" w:rsidRPr="00FC41B5">
              <w:rPr>
                <w:rFonts w:ascii="Arial" w:hAnsi="Arial" w:cs="Arial"/>
                <w:b/>
              </w:rPr>
              <w:t>68m</w:t>
            </w:r>
            <w:r w:rsidR="004F03F0" w:rsidRPr="00FC41B5" w:rsidDel="000D3023">
              <w:rPr>
                <w:rFonts w:ascii="Arial" w:hAnsi="Arial" w:cs="Arial"/>
                <w:b/>
              </w:rPr>
              <w:t xml:space="preserve"> </w:t>
            </w:r>
          </w:p>
        </w:tc>
        <w:tc>
          <w:tcPr>
            <w:tcW w:w="714" w:type="pct"/>
            <w:shd w:val="clear" w:color="auto" w:fill="auto"/>
          </w:tcPr>
          <w:p w14:paraId="01CB4755" w14:textId="21357872" w:rsidR="0042729E" w:rsidRPr="00355EF2" w:rsidRDefault="0042729E" w:rsidP="0042729E">
            <w:pPr>
              <w:jc w:val="right"/>
              <w:rPr>
                <w:rFonts w:ascii="Arial" w:hAnsi="Arial" w:cs="Arial"/>
              </w:rPr>
            </w:pPr>
            <w:r w:rsidRPr="0018703F">
              <w:rPr>
                <w:rFonts w:ascii="Arial" w:hAnsi="Arial" w:cs="Arial"/>
              </w:rPr>
              <w:t>£641m</w:t>
            </w:r>
            <w:r w:rsidRPr="0018703F" w:rsidDel="000D3023">
              <w:rPr>
                <w:rFonts w:ascii="Arial" w:hAnsi="Arial" w:cs="Arial"/>
                <w:highlight w:val="yellow"/>
              </w:rPr>
              <w:t xml:space="preserve"> </w:t>
            </w:r>
          </w:p>
        </w:tc>
        <w:tc>
          <w:tcPr>
            <w:tcW w:w="701" w:type="pct"/>
          </w:tcPr>
          <w:p w14:paraId="6E7C3668" w14:textId="77777777" w:rsidR="0042729E" w:rsidRPr="00A845B7" w:rsidRDefault="0042729E" w:rsidP="0042729E">
            <w:pPr>
              <w:jc w:val="right"/>
              <w:rPr>
                <w:rFonts w:ascii="Arial" w:hAnsi="Arial" w:cs="Arial"/>
              </w:rPr>
            </w:pPr>
          </w:p>
        </w:tc>
        <w:tc>
          <w:tcPr>
            <w:tcW w:w="728" w:type="pct"/>
            <w:shd w:val="clear" w:color="auto" w:fill="auto"/>
          </w:tcPr>
          <w:p w14:paraId="2E402C45" w14:textId="77777777" w:rsidR="0042729E" w:rsidRPr="00A845B7" w:rsidRDefault="0042729E" w:rsidP="0042729E">
            <w:pPr>
              <w:jc w:val="right"/>
              <w:rPr>
                <w:rFonts w:ascii="Arial" w:hAnsi="Arial" w:cs="Arial"/>
              </w:rPr>
            </w:pPr>
          </w:p>
        </w:tc>
      </w:tr>
      <w:tr w:rsidR="0042729E" w:rsidRPr="00A845B7" w14:paraId="7C64C9A0" w14:textId="77777777" w:rsidTr="00D26880">
        <w:tc>
          <w:tcPr>
            <w:tcW w:w="2070" w:type="pct"/>
            <w:tcBorders>
              <w:bottom w:val="single" w:sz="4" w:space="0" w:color="auto"/>
            </w:tcBorders>
            <w:shd w:val="clear" w:color="auto" w:fill="auto"/>
          </w:tcPr>
          <w:p w14:paraId="22252B42" w14:textId="7E33A858" w:rsidR="0042729E" w:rsidRPr="00A845B7" w:rsidRDefault="0042729E" w:rsidP="0042729E">
            <w:pPr>
              <w:jc w:val="left"/>
              <w:rPr>
                <w:rFonts w:ascii="Arial" w:hAnsi="Arial" w:cs="Arial"/>
              </w:rPr>
            </w:pPr>
            <w:r w:rsidRPr="00A845B7">
              <w:rPr>
                <w:rFonts w:ascii="Arial" w:hAnsi="Arial" w:cs="Arial"/>
              </w:rPr>
              <w:t xml:space="preserve">Capital </w:t>
            </w:r>
            <w:r>
              <w:rPr>
                <w:rFonts w:ascii="Arial" w:hAnsi="Arial" w:cs="Arial"/>
              </w:rPr>
              <w:t>r</w:t>
            </w:r>
            <w:r w:rsidRPr="00A845B7">
              <w:rPr>
                <w:rFonts w:ascii="Arial" w:hAnsi="Arial" w:cs="Arial"/>
              </w:rPr>
              <w:t>eturn - share buyback</w:t>
            </w:r>
          </w:p>
        </w:tc>
        <w:tc>
          <w:tcPr>
            <w:tcW w:w="786" w:type="pct"/>
            <w:tcBorders>
              <w:bottom w:val="single" w:sz="4" w:space="0" w:color="auto"/>
            </w:tcBorders>
            <w:shd w:val="clear" w:color="auto" w:fill="auto"/>
          </w:tcPr>
          <w:p w14:paraId="06F94657" w14:textId="208ECCF8" w:rsidR="0042729E" w:rsidRPr="00FC41B5" w:rsidRDefault="0042729E" w:rsidP="0042729E">
            <w:pPr>
              <w:jc w:val="right"/>
              <w:rPr>
                <w:rFonts w:ascii="Arial" w:hAnsi="Arial" w:cs="Arial"/>
                <w:b/>
              </w:rPr>
            </w:pPr>
            <w:r w:rsidRPr="00FC41B5">
              <w:rPr>
                <w:rFonts w:ascii="Arial" w:hAnsi="Arial" w:cs="Arial"/>
                <w:b/>
              </w:rPr>
              <w:t>£</w:t>
            </w:r>
            <w:r w:rsidR="004F03F0" w:rsidRPr="00FC41B5">
              <w:rPr>
                <w:rFonts w:ascii="Arial" w:hAnsi="Arial" w:cs="Arial"/>
                <w:b/>
              </w:rPr>
              <w:t>2</w:t>
            </w:r>
            <w:r w:rsidR="00E54CF3">
              <w:rPr>
                <w:rFonts w:ascii="Arial" w:hAnsi="Arial" w:cs="Arial"/>
                <w:b/>
              </w:rPr>
              <w:t>60</w:t>
            </w:r>
            <w:r w:rsidR="004F03F0" w:rsidRPr="00FC41B5">
              <w:rPr>
                <w:rFonts w:ascii="Arial" w:hAnsi="Arial" w:cs="Arial"/>
                <w:b/>
              </w:rPr>
              <w:t>m</w:t>
            </w:r>
          </w:p>
        </w:tc>
        <w:tc>
          <w:tcPr>
            <w:tcW w:w="714" w:type="pct"/>
            <w:tcBorders>
              <w:bottom w:val="single" w:sz="4" w:space="0" w:color="auto"/>
            </w:tcBorders>
            <w:shd w:val="clear" w:color="auto" w:fill="auto"/>
          </w:tcPr>
          <w:p w14:paraId="240C3666" w14:textId="6A532A73" w:rsidR="0042729E" w:rsidRPr="00D26880" w:rsidRDefault="0042729E" w:rsidP="0042729E">
            <w:pPr>
              <w:jc w:val="right"/>
              <w:rPr>
                <w:rFonts w:ascii="Arial" w:hAnsi="Arial" w:cs="Arial"/>
              </w:rPr>
            </w:pPr>
            <w:r w:rsidRPr="00FD21AE">
              <w:rPr>
                <w:rFonts w:ascii="Arial" w:hAnsi="Arial" w:cs="Arial"/>
              </w:rPr>
              <w:t>£200m</w:t>
            </w:r>
          </w:p>
        </w:tc>
        <w:tc>
          <w:tcPr>
            <w:tcW w:w="701" w:type="pct"/>
            <w:tcBorders>
              <w:bottom w:val="single" w:sz="4" w:space="0" w:color="auto"/>
            </w:tcBorders>
          </w:tcPr>
          <w:p w14:paraId="038FA2C7" w14:textId="77777777" w:rsidR="0042729E" w:rsidRPr="00A845B7" w:rsidRDefault="0042729E" w:rsidP="0042729E">
            <w:pPr>
              <w:jc w:val="right"/>
              <w:rPr>
                <w:rFonts w:ascii="Arial" w:hAnsi="Arial" w:cs="Arial"/>
              </w:rPr>
            </w:pPr>
          </w:p>
        </w:tc>
        <w:tc>
          <w:tcPr>
            <w:tcW w:w="728" w:type="pct"/>
            <w:tcBorders>
              <w:bottom w:val="single" w:sz="4" w:space="0" w:color="auto"/>
            </w:tcBorders>
            <w:shd w:val="clear" w:color="auto" w:fill="auto"/>
          </w:tcPr>
          <w:p w14:paraId="386456DA" w14:textId="77777777" w:rsidR="0042729E" w:rsidRPr="00A845B7" w:rsidRDefault="0042729E" w:rsidP="0042729E">
            <w:pPr>
              <w:jc w:val="right"/>
              <w:rPr>
                <w:rFonts w:ascii="Arial" w:hAnsi="Arial" w:cs="Arial"/>
              </w:rPr>
            </w:pPr>
          </w:p>
        </w:tc>
      </w:tr>
    </w:tbl>
    <w:p w14:paraId="3B5F9D2E" w14:textId="77777777" w:rsidR="00832149" w:rsidRDefault="00D26880" w:rsidP="004D01EC">
      <w:pPr>
        <w:jc w:val="left"/>
        <w:rPr>
          <w:rFonts w:ascii="Arial" w:hAnsi="Arial" w:cs="Arial"/>
          <w:vertAlign w:val="superscript"/>
        </w:rPr>
      </w:pPr>
      <w:r w:rsidRPr="006F78D1" w:rsidDel="00D26880">
        <w:rPr>
          <w:rFonts w:ascii="Arial" w:hAnsi="Arial" w:cs="Arial"/>
          <w:vertAlign w:val="superscript"/>
        </w:rPr>
        <w:t xml:space="preserve"> </w:t>
      </w:r>
    </w:p>
    <w:p w14:paraId="67C2411C" w14:textId="3F29A304" w:rsidR="004D01EC" w:rsidRDefault="004D01EC" w:rsidP="004D01EC">
      <w:pPr>
        <w:jc w:val="left"/>
        <w:rPr>
          <w:rFonts w:ascii="Arial" w:hAnsi="Arial" w:cs="Arial"/>
          <w:sz w:val="18"/>
          <w:szCs w:val="24"/>
        </w:rPr>
      </w:pPr>
      <w:r w:rsidRPr="006F78D1">
        <w:rPr>
          <w:rFonts w:ascii="Arial" w:hAnsi="Arial" w:cs="Arial"/>
          <w:vertAlign w:val="superscript"/>
        </w:rPr>
        <w:t>(</w:t>
      </w:r>
      <w:r w:rsidR="00D26880">
        <w:rPr>
          <w:rFonts w:ascii="Arial" w:hAnsi="Arial" w:cs="Arial"/>
          <w:vertAlign w:val="superscript"/>
        </w:rPr>
        <w:t>1</w:t>
      </w:r>
      <w:r w:rsidRPr="006F78D1">
        <w:rPr>
          <w:rFonts w:ascii="Arial" w:hAnsi="Arial" w:cs="Arial"/>
          <w:vertAlign w:val="superscript"/>
        </w:rPr>
        <w:t>)</w:t>
      </w:r>
      <w:r w:rsidRPr="000952F8">
        <w:rPr>
          <w:rFonts w:ascii="Arial" w:hAnsi="Arial" w:cs="Arial"/>
          <w:sz w:val="24"/>
          <w:szCs w:val="24"/>
        </w:rPr>
        <w:t xml:space="preserve"> </w:t>
      </w:r>
      <w:r w:rsidRPr="006F78D1">
        <w:rPr>
          <w:rFonts w:ascii="Arial" w:hAnsi="Arial" w:cs="Arial"/>
          <w:sz w:val="18"/>
          <w:szCs w:val="24"/>
        </w:rPr>
        <w:t xml:space="preserve">Kingfisher separately reports exceptional items and transformation costs </w:t>
      </w:r>
      <w:proofErr w:type="gramStart"/>
      <w:r w:rsidRPr="006F78D1">
        <w:rPr>
          <w:rFonts w:ascii="Arial" w:hAnsi="Arial" w:cs="Arial"/>
          <w:sz w:val="18"/>
          <w:szCs w:val="24"/>
        </w:rPr>
        <w:t>in order to</w:t>
      </w:r>
      <w:proofErr w:type="gramEnd"/>
      <w:r w:rsidRPr="006F78D1">
        <w:rPr>
          <w:rFonts w:ascii="Arial" w:hAnsi="Arial" w:cs="Arial"/>
          <w:sz w:val="18"/>
          <w:szCs w:val="24"/>
        </w:rPr>
        <w:t xml:space="preserve"> calculate adjusted and underlying results, as it believes these measures provide additional useful information on underlying performance and trends</w:t>
      </w:r>
    </w:p>
    <w:p w14:paraId="2248BA9F" w14:textId="77777777" w:rsidR="00997637" w:rsidRPr="000F07BB" w:rsidRDefault="00997637" w:rsidP="00997637">
      <w:pPr>
        <w:jc w:val="left"/>
        <w:rPr>
          <w:rFonts w:ascii="Arial" w:hAnsi="Arial" w:cs="Arial"/>
          <w:sz w:val="24"/>
          <w:szCs w:val="24"/>
        </w:rPr>
      </w:pPr>
    </w:p>
    <w:p w14:paraId="13F4EEBA" w14:textId="07CD2F5E" w:rsidR="0042729E" w:rsidRDefault="0042729E" w:rsidP="00997637">
      <w:pPr>
        <w:jc w:val="left"/>
        <w:rPr>
          <w:rFonts w:ascii="Arial" w:hAnsi="Arial" w:cs="Arial"/>
        </w:rPr>
      </w:pPr>
      <w:r w:rsidRPr="00E344C4">
        <w:rPr>
          <w:rFonts w:ascii="Arial" w:hAnsi="Arial" w:cs="Arial"/>
        </w:rPr>
        <w:t xml:space="preserve">Total </w:t>
      </w:r>
      <w:r w:rsidRPr="00E344C4">
        <w:rPr>
          <w:rFonts w:ascii="Arial" w:hAnsi="Arial" w:cs="Arial"/>
          <w:b/>
        </w:rPr>
        <w:t>sales</w:t>
      </w:r>
      <w:r w:rsidRPr="00E344C4">
        <w:rPr>
          <w:rFonts w:ascii="Arial" w:hAnsi="Arial" w:cs="Arial"/>
        </w:rPr>
        <w:t xml:space="preserve"> </w:t>
      </w:r>
      <w:r w:rsidR="0018703F">
        <w:rPr>
          <w:rFonts w:ascii="Arial" w:hAnsi="Arial" w:cs="Arial"/>
        </w:rPr>
        <w:t>declined by</w:t>
      </w:r>
      <w:r w:rsidR="0018703F" w:rsidRPr="0018703F">
        <w:rPr>
          <w:rFonts w:ascii="Arial" w:hAnsi="Arial" w:cs="Arial"/>
        </w:rPr>
        <w:t xml:space="preserve"> </w:t>
      </w:r>
      <w:r w:rsidR="00E344C4" w:rsidRPr="0018703F">
        <w:rPr>
          <w:rFonts w:ascii="Arial" w:hAnsi="Arial" w:cs="Arial"/>
        </w:rPr>
        <w:t>0</w:t>
      </w:r>
      <w:r w:rsidRPr="00E344C4">
        <w:rPr>
          <w:rFonts w:ascii="Arial" w:hAnsi="Arial" w:cs="Arial"/>
        </w:rPr>
        <w:t>.</w:t>
      </w:r>
      <w:r w:rsidR="00E344C4" w:rsidRPr="0018703F">
        <w:rPr>
          <w:rFonts w:ascii="Arial" w:hAnsi="Arial" w:cs="Arial"/>
        </w:rPr>
        <w:t>3</w:t>
      </w:r>
      <w:r w:rsidRPr="00E344C4">
        <w:rPr>
          <w:rFonts w:ascii="Arial" w:hAnsi="Arial" w:cs="Arial"/>
        </w:rPr>
        <w:t>% on a constant currency basis</w:t>
      </w:r>
      <w:r w:rsidR="0018703F">
        <w:rPr>
          <w:rFonts w:ascii="Arial" w:hAnsi="Arial" w:cs="Arial"/>
        </w:rPr>
        <w:t xml:space="preserve"> to £11.7 billion</w:t>
      </w:r>
      <w:r w:rsidRPr="00E344C4">
        <w:rPr>
          <w:rFonts w:ascii="Arial" w:hAnsi="Arial" w:cs="Arial"/>
        </w:rPr>
        <w:t xml:space="preserve">, with LFL sales </w:t>
      </w:r>
      <w:r w:rsidR="00E344C4" w:rsidRPr="0018703F">
        <w:rPr>
          <w:rFonts w:ascii="Arial" w:hAnsi="Arial" w:cs="Arial"/>
        </w:rPr>
        <w:t>down 0</w:t>
      </w:r>
      <w:r w:rsidRPr="00E344C4">
        <w:rPr>
          <w:rFonts w:ascii="Arial" w:hAnsi="Arial" w:cs="Arial"/>
        </w:rPr>
        <w:t>.</w:t>
      </w:r>
      <w:r w:rsidR="00E344C4" w:rsidRPr="0018703F">
        <w:rPr>
          <w:rFonts w:ascii="Arial" w:hAnsi="Arial" w:cs="Arial"/>
        </w:rPr>
        <w:t>7</w:t>
      </w:r>
      <w:r w:rsidRPr="00E344C4">
        <w:rPr>
          <w:rFonts w:ascii="Arial" w:hAnsi="Arial" w:cs="Arial"/>
        </w:rPr>
        <w:t>%. On a reported rate</w:t>
      </w:r>
      <w:r w:rsidR="00A524EB">
        <w:rPr>
          <w:rFonts w:ascii="Arial" w:hAnsi="Arial" w:cs="Arial"/>
        </w:rPr>
        <w:t xml:space="preserve"> </w:t>
      </w:r>
      <w:r w:rsidRPr="00E344C4">
        <w:rPr>
          <w:rFonts w:ascii="Arial" w:hAnsi="Arial" w:cs="Arial"/>
        </w:rPr>
        <w:t xml:space="preserve">basis, which includes the impact of exchange rates, sales increased by </w:t>
      </w:r>
      <w:r w:rsidR="00E344C4" w:rsidRPr="0018703F">
        <w:rPr>
          <w:rFonts w:ascii="Arial" w:hAnsi="Arial" w:cs="Arial"/>
        </w:rPr>
        <w:t>3</w:t>
      </w:r>
      <w:r w:rsidRPr="00E344C4">
        <w:rPr>
          <w:rFonts w:ascii="Arial" w:hAnsi="Arial" w:cs="Arial"/>
        </w:rPr>
        <w:t>.</w:t>
      </w:r>
      <w:r w:rsidR="00E344C4" w:rsidRPr="0018703F">
        <w:rPr>
          <w:rFonts w:ascii="Arial" w:hAnsi="Arial" w:cs="Arial"/>
        </w:rPr>
        <w:t>8</w:t>
      </w:r>
      <w:r w:rsidRPr="005B2D1B">
        <w:rPr>
          <w:rFonts w:ascii="Arial" w:hAnsi="Arial" w:cs="Arial"/>
        </w:rPr>
        <w:t xml:space="preserve">%. During the year, sales growth benefited from </w:t>
      </w:r>
      <w:r w:rsidR="00FE265B">
        <w:rPr>
          <w:rFonts w:ascii="Arial" w:hAnsi="Arial" w:cs="Arial"/>
        </w:rPr>
        <w:t>6</w:t>
      </w:r>
      <w:r w:rsidR="00514690">
        <w:rPr>
          <w:rFonts w:ascii="Arial" w:hAnsi="Arial" w:cs="Arial"/>
        </w:rPr>
        <w:t>3</w:t>
      </w:r>
      <w:r w:rsidR="00FE265B" w:rsidRPr="005B2D1B">
        <w:rPr>
          <w:rFonts w:ascii="Arial" w:hAnsi="Arial" w:cs="Arial"/>
        </w:rPr>
        <w:t xml:space="preserve"> </w:t>
      </w:r>
      <w:r w:rsidRPr="005B2D1B">
        <w:rPr>
          <w:rFonts w:ascii="Arial" w:hAnsi="Arial" w:cs="Arial"/>
        </w:rPr>
        <w:t>net new stores</w:t>
      </w:r>
      <w:r w:rsidR="00FE265B">
        <w:rPr>
          <w:rFonts w:ascii="Arial" w:hAnsi="Arial" w:cs="Arial"/>
        </w:rPr>
        <w:t xml:space="preserve"> (excluding 26 </w:t>
      </w:r>
      <w:proofErr w:type="spellStart"/>
      <w:r w:rsidR="00FE265B">
        <w:rPr>
          <w:rFonts w:ascii="Arial" w:hAnsi="Arial" w:cs="Arial"/>
        </w:rPr>
        <w:t>Praktiker</w:t>
      </w:r>
      <w:proofErr w:type="spellEnd"/>
      <w:r w:rsidR="00FE265B">
        <w:rPr>
          <w:rFonts w:ascii="Arial" w:hAnsi="Arial" w:cs="Arial"/>
        </w:rPr>
        <w:t xml:space="preserve"> Romania stores that were acquired in </w:t>
      </w:r>
      <w:r w:rsidR="00D5103C">
        <w:rPr>
          <w:rFonts w:ascii="Arial" w:hAnsi="Arial" w:cs="Arial"/>
        </w:rPr>
        <w:t>November</w:t>
      </w:r>
      <w:r w:rsidR="00653BF6">
        <w:rPr>
          <w:rFonts w:ascii="Arial" w:hAnsi="Arial" w:cs="Arial"/>
        </w:rPr>
        <w:t xml:space="preserve"> 2017</w:t>
      </w:r>
      <w:r w:rsidR="00FE265B">
        <w:rPr>
          <w:rFonts w:ascii="Arial" w:hAnsi="Arial" w:cs="Arial"/>
        </w:rPr>
        <w:t>)</w:t>
      </w:r>
      <w:r w:rsidRPr="005B2D1B">
        <w:rPr>
          <w:rFonts w:ascii="Arial" w:hAnsi="Arial" w:cs="Arial"/>
        </w:rPr>
        <w:t xml:space="preserve">, driven by </w:t>
      </w:r>
      <w:r w:rsidR="00514690">
        <w:rPr>
          <w:rFonts w:ascii="Arial" w:hAnsi="Arial" w:cs="Arial"/>
        </w:rPr>
        <w:t>60</w:t>
      </w:r>
      <w:r w:rsidR="0018703F" w:rsidRPr="005B2D1B">
        <w:rPr>
          <w:rFonts w:ascii="Arial" w:hAnsi="Arial" w:cs="Arial"/>
        </w:rPr>
        <w:t xml:space="preserve"> </w:t>
      </w:r>
      <w:r w:rsidRPr="005B2D1B">
        <w:rPr>
          <w:rFonts w:ascii="Arial" w:hAnsi="Arial" w:cs="Arial"/>
        </w:rPr>
        <w:t xml:space="preserve">Screwfix outlet openings in the UK, offset by the </w:t>
      </w:r>
      <w:proofErr w:type="spellStart"/>
      <w:r w:rsidR="005B2D1B" w:rsidRPr="0018703F">
        <w:rPr>
          <w:rFonts w:ascii="Arial" w:hAnsi="Arial" w:cs="Arial"/>
        </w:rPr>
        <w:t>annualisation</w:t>
      </w:r>
      <w:proofErr w:type="spellEnd"/>
      <w:r w:rsidR="005B2D1B" w:rsidRPr="0018703F">
        <w:rPr>
          <w:rFonts w:ascii="Arial" w:hAnsi="Arial" w:cs="Arial"/>
        </w:rPr>
        <w:t xml:space="preserve"> impact of </w:t>
      </w:r>
      <w:r w:rsidR="0018703F">
        <w:rPr>
          <w:rFonts w:ascii="Arial" w:hAnsi="Arial" w:cs="Arial"/>
        </w:rPr>
        <w:t xml:space="preserve">the completed </w:t>
      </w:r>
      <w:r w:rsidRPr="005B2D1B">
        <w:rPr>
          <w:rFonts w:ascii="Arial" w:hAnsi="Arial" w:cs="Arial"/>
        </w:rPr>
        <w:t>B&amp;Q store closure</w:t>
      </w:r>
      <w:r w:rsidR="0018703F">
        <w:rPr>
          <w:rFonts w:ascii="Arial" w:hAnsi="Arial" w:cs="Arial"/>
        </w:rPr>
        <w:t xml:space="preserve"> programme</w:t>
      </w:r>
      <w:r w:rsidRPr="005B2D1B">
        <w:rPr>
          <w:rFonts w:ascii="Arial" w:hAnsi="Arial" w:cs="Arial"/>
        </w:rPr>
        <w:t xml:space="preserve">. </w:t>
      </w:r>
    </w:p>
    <w:p w14:paraId="77A88DD4" w14:textId="77777777" w:rsidR="00C07FD9" w:rsidRDefault="00C07FD9" w:rsidP="00997637">
      <w:pPr>
        <w:jc w:val="left"/>
        <w:rPr>
          <w:rFonts w:ascii="Arial" w:hAnsi="Arial" w:cs="Arial"/>
        </w:rPr>
      </w:pPr>
    </w:p>
    <w:p w14:paraId="3DE7FB03" w14:textId="4AC81F55" w:rsidR="00C07FD9" w:rsidRPr="00342365" w:rsidRDefault="00C07FD9" w:rsidP="00997637">
      <w:pPr>
        <w:jc w:val="left"/>
        <w:rPr>
          <w:rFonts w:ascii="Arial" w:hAnsi="Arial" w:cs="Arial"/>
          <w:b/>
        </w:rPr>
      </w:pPr>
      <w:r w:rsidRPr="00342365">
        <w:rPr>
          <w:rFonts w:ascii="Arial" w:hAnsi="Arial" w:cs="Arial"/>
          <w:b/>
        </w:rPr>
        <w:t>Gross margin</w:t>
      </w:r>
      <w:r w:rsidRPr="00342365">
        <w:rPr>
          <w:rFonts w:ascii="Arial" w:hAnsi="Arial" w:cs="Arial"/>
        </w:rPr>
        <w:t xml:space="preserve"> was </w:t>
      </w:r>
      <w:r>
        <w:rPr>
          <w:rFonts w:ascii="Arial" w:hAnsi="Arial" w:cs="Arial"/>
        </w:rPr>
        <w:t xml:space="preserve">broadly flat as the benefits of CPR from unified and unique product were offset by clearance and some price investment.   </w:t>
      </w:r>
    </w:p>
    <w:p w14:paraId="1637A7BB" w14:textId="77777777" w:rsidR="0042729E" w:rsidRPr="0018703F" w:rsidRDefault="0042729E" w:rsidP="00997637">
      <w:pPr>
        <w:jc w:val="left"/>
        <w:rPr>
          <w:rFonts w:ascii="Arial" w:hAnsi="Arial" w:cs="Arial"/>
          <w:highlight w:val="yellow"/>
        </w:rPr>
      </w:pPr>
    </w:p>
    <w:p w14:paraId="5B2C2B5E" w14:textId="26C71E7D" w:rsidR="00997637" w:rsidRPr="00342365" w:rsidRDefault="00997637" w:rsidP="00997637">
      <w:pPr>
        <w:jc w:val="left"/>
        <w:rPr>
          <w:rFonts w:ascii="Arial" w:hAnsi="Arial" w:cs="Arial"/>
        </w:rPr>
      </w:pPr>
      <w:r w:rsidRPr="005B2D1B">
        <w:rPr>
          <w:rFonts w:ascii="Arial" w:hAnsi="Arial" w:cs="Arial"/>
        </w:rPr>
        <w:t xml:space="preserve">Reported </w:t>
      </w:r>
      <w:r w:rsidRPr="005B2D1B">
        <w:rPr>
          <w:rFonts w:ascii="Arial" w:hAnsi="Arial" w:cs="Arial"/>
          <w:b/>
        </w:rPr>
        <w:t>retail profit</w:t>
      </w:r>
      <w:r w:rsidRPr="005B2D1B">
        <w:rPr>
          <w:rFonts w:ascii="Arial" w:hAnsi="Arial" w:cs="Arial"/>
        </w:rPr>
        <w:t xml:space="preserve"> grew by </w:t>
      </w:r>
      <w:r w:rsidR="005B2D1B" w:rsidRPr="0018703F">
        <w:rPr>
          <w:rFonts w:ascii="Arial" w:hAnsi="Arial" w:cs="Arial"/>
        </w:rPr>
        <w:t>0.</w:t>
      </w:r>
      <w:r w:rsidR="007B566F">
        <w:rPr>
          <w:rFonts w:ascii="Arial" w:hAnsi="Arial" w:cs="Arial"/>
        </w:rPr>
        <w:t>3</w:t>
      </w:r>
      <w:r w:rsidRPr="005B2D1B">
        <w:rPr>
          <w:rFonts w:ascii="Arial" w:hAnsi="Arial" w:cs="Arial"/>
        </w:rPr>
        <w:t>% including £</w:t>
      </w:r>
      <w:r w:rsidR="00703F58">
        <w:rPr>
          <w:rFonts w:ascii="Arial" w:hAnsi="Arial" w:cs="Arial"/>
        </w:rPr>
        <w:t>34</w:t>
      </w:r>
      <w:r w:rsidR="005B2D1B" w:rsidRPr="005B2D1B">
        <w:rPr>
          <w:rFonts w:ascii="Arial" w:hAnsi="Arial" w:cs="Arial"/>
        </w:rPr>
        <w:t xml:space="preserve"> </w:t>
      </w:r>
      <w:r w:rsidRPr="005B2D1B">
        <w:rPr>
          <w:rFonts w:ascii="Arial" w:hAnsi="Arial" w:cs="Arial"/>
        </w:rPr>
        <w:t xml:space="preserve">million of favourable foreign exchange movement on translating foreign currency results into sterling. </w:t>
      </w:r>
      <w:r w:rsidRPr="00703F58">
        <w:rPr>
          <w:rFonts w:ascii="Arial" w:hAnsi="Arial" w:cs="Arial"/>
        </w:rPr>
        <w:t>In constant currencies retail profi</w:t>
      </w:r>
      <w:r w:rsidR="002D666E" w:rsidRPr="00703F58">
        <w:rPr>
          <w:rFonts w:ascii="Arial" w:hAnsi="Arial" w:cs="Arial"/>
        </w:rPr>
        <w:t xml:space="preserve">t </w:t>
      </w:r>
      <w:r w:rsidR="005B2D1B" w:rsidRPr="0018703F">
        <w:rPr>
          <w:rFonts w:ascii="Arial" w:hAnsi="Arial" w:cs="Arial"/>
        </w:rPr>
        <w:t>declined</w:t>
      </w:r>
      <w:r w:rsidR="005B2D1B" w:rsidRPr="00703F58">
        <w:rPr>
          <w:rFonts w:ascii="Arial" w:hAnsi="Arial" w:cs="Arial"/>
        </w:rPr>
        <w:t xml:space="preserve"> </w:t>
      </w:r>
      <w:r w:rsidR="002D666E" w:rsidRPr="00703F58">
        <w:rPr>
          <w:rFonts w:ascii="Arial" w:hAnsi="Arial" w:cs="Arial"/>
        </w:rPr>
        <w:t xml:space="preserve">by </w:t>
      </w:r>
      <w:r w:rsidR="00703F58" w:rsidRPr="0018703F">
        <w:rPr>
          <w:rFonts w:ascii="Arial" w:hAnsi="Arial" w:cs="Arial"/>
        </w:rPr>
        <w:t>3.</w:t>
      </w:r>
      <w:r w:rsidR="00653BF6">
        <w:rPr>
          <w:rFonts w:ascii="Arial" w:hAnsi="Arial" w:cs="Arial"/>
        </w:rPr>
        <w:t>6</w:t>
      </w:r>
      <w:r w:rsidRPr="00703F58">
        <w:rPr>
          <w:rFonts w:ascii="Arial" w:hAnsi="Arial" w:cs="Arial"/>
        </w:rPr>
        <w:t xml:space="preserve">%, reflecting </w:t>
      </w:r>
      <w:r w:rsidR="00703F58">
        <w:rPr>
          <w:rFonts w:ascii="Arial" w:hAnsi="Arial" w:cs="Arial"/>
        </w:rPr>
        <w:t xml:space="preserve">a </w:t>
      </w:r>
      <w:r w:rsidR="00703F58" w:rsidRPr="0018703F">
        <w:rPr>
          <w:rFonts w:ascii="Arial" w:hAnsi="Arial" w:cs="Arial"/>
        </w:rPr>
        <w:t>decrease in profit in</w:t>
      </w:r>
      <w:r w:rsidR="00B019FB" w:rsidRPr="00703F58">
        <w:rPr>
          <w:rFonts w:ascii="Arial" w:hAnsi="Arial" w:cs="Arial"/>
        </w:rPr>
        <w:t xml:space="preserve"> France</w:t>
      </w:r>
      <w:r w:rsidR="00703F58">
        <w:rPr>
          <w:rFonts w:ascii="Arial" w:hAnsi="Arial" w:cs="Arial"/>
        </w:rPr>
        <w:t>,</w:t>
      </w:r>
      <w:r w:rsidR="00B019FB" w:rsidRPr="00703F58">
        <w:rPr>
          <w:rFonts w:ascii="Arial" w:hAnsi="Arial" w:cs="Arial"/>
        </w:rPr>
        <w:t xml:space="preserve"> </w:t>
      </w:r>
      <w:r w:rsidR="00703F58">
        <w:rPr>
          <w:rFonts w:ascii="Arial" w:hAnsi="Arial" w:cs="Arial"/>
        </w:rPr>
        <w:t xml:space="preserve">partly offset by an increase in profit in the UK and Poland </w:t>
      </w:r>
      <w:r w:rsidR="00B019FB" w:rsidRPr="00703F58">
        <w:rPr>
          <w:rFonts w:ascii="Arial" w:hAnsi="Arial" w:cs="Arial"/>
        </w:rPr>
        <w:t xml:space="preserve">and </w:t>
      </w:r>
      <w:r w:rsidR="00D01E60" w:rsidRPr="00703F58">
        <w:rPr>
          <w:rFonts w:ascii="Arial" w:hAnsi="Arial" w:cs="Arial"/>
        </w:rPr>
        <w:t xml:space="preserve">including </w:t>
      </w:r>
      <w:r w:rsidR="002D666E" w:rsidRPr="00703F58">
        <w:rPr>
          <w:rFonts w:ascii="Arial" w:hAnsi="Arial" w:cs="Arial"/>
        </w:rPr>
        <w:t>£</w:t>
      </w:r>
      <w:r w:rsidR="00CC7DA4" w:rsidRPr="00703F58">
        <w:rPr>
          <w:rFonts w:ascii="Arial" w:hAnsi="Arial" w:cs="Arial"/>
        </w:rPr>
        <w:t>1</w:t>
      </w:r>
      <w:r w:rsidR="00CC7DA4">
        <w:rPr>
          <w:rFonts w:ascii="Arial" w:hAnsi="Arial" w:cs="Arial"/>
        </w:rPr>
        <w:t>7</w:t>
      </w:r>
      <w:r w:rsidR="00CC7DA4" w:rsidRPr="00703F58">
        <w:rPr>
          <w:rFonts w:ascii="Arial" w:hAnsi="Arial" w:cs="Arial"/>
        </w:rPr>
        <w:t xml:space="preserve"> </w:t>
      </w:r>
      <w:r w:rsidRPr="00703F58">
        <w:rPr>
          <w:rFonts w:ascii="Arial" w:hAnsi="Arial" w:cs="Arial"/>
        </w:rPr>
        <w:t xml:space="preserve">million of </w:t>
      </w:r>
      <w:r w:rsidR="00D5103C">
        <w:rPr>
          <w:rFonts w:ascii="Arial" w:hAnsi="Arial" w:cs="Arial"/>
        </w:rPr>
        <w:t>N</w:t>
      </w:r>
      <w:r w:rsidRPr="00703F58">
        <w:rPr>
          <w:rFonts w:ascii="Arial" w:hAnsi="Arial" w:cs="Arial"/>
        </w:rPr>
        <w:t xml:space="preserve">ew </w:t>
      </w:r>
      <w:r w:rsidR="00D5103C">
        <w:rPr>
          <w:rFonts w:ascii="Arial" w:hAnsi="Arial" w:cs="Arial"/>
        </w:rPr>
        <w:t>C</w:t>
      </w:r>
      <w:r w:rsidRPr="00703F58">
        <w:rPr>
          <w:rFonts w:ascii="Arial" w:hAnsi="Arial" w:cs="Arial"/>
        </w:rPr>
        <w:t xml:space="preserve">ountry </w:t>
      </w:r>
      <w:r w:rsidR="00D5103C">
        <w:rPr>
          <w:rFonts w:ascii="Arial" w:hAnsi="Arial" w:cs="Arial"/>
        </w:rPr>
        <w:t>D</w:t>
      </w:r>
      <w:r w:rsidRPr="00703F58">
        <w:rPr>
          <w:rFonts w:ascii="Arial" w:hAnsi="Arial" w:cs="Arial"/>
        </w:rPr>
        <w:t xml:space="preserve">evelopment </w:t>
      </w:r>
      <w:r w:rsidRPr="00C07FD9">
        <w:rPr>
          <w:rFonts w:ascii="Arial" w:hAnsi="Arial" w:cs="Arial"/>
        </w:rPr>
        <w:t>losses.</w:t>
      </w:r>
      <w:r w:rsidRPr="00342365">
        <w:rPr>
          <w:rFonts w:ascii="Arial" w:hAnsi="Arial" w:cs="Arial"/>
        </w:rPr>
        <w:t xml:space="preserve"> </w:t>
      </w:r>
      <w:r w:rsidR="00C07FD9" w:rsidRPr="00342365">
        <w:rPr>
          <w:rFonts w:ascii="Arial" w:hAnsi="Arial" w:cs="Arial"/>
        </w:rPr>
        <w:t>We</w:t>
      </w:r>
      <w:r w:rsidRPr="00342365">
        <w:rPr>
          <w:rFonts w:ascii="Arial" w:hAnsi="Arial" w:cs="Arial"/>
        </w:rPr>
        <w:t xml:space="preserve"> continued </w:t>
      </w:r>
      <w:r w:rsidR="00C07FD9" w:rsidRPr="00342365">
        <w:rPr>
          <w:rFonts w:ascii="Arial" w:hAnsi="Arial" w:cs="Arial"/>
        </w:rPr>
        <w:t xml:space="preserve">to </w:t>
      </w:r>
      <w:r w:rsidRPr="00342365">
        <w:rPr>
          <w:rFonts w:ascii="Arial" w:hAnsi="Arial" w:cs="Arial"/>
        </w:rPr>
        <w:t>invest in the business and the transformation</w:t>
      </w:r>
      <w:r w:rsidR="00AA7892">
        <w:rPr>
          <w:rFonts w:ascii="Arial" w:hAnsi="Arial" w:cs="Arial"/>
        </w:rPr>
        <w:t>, we</w:t>
      </w:r>
      <w:r w:rsidR="000835E6" w:rsidRPr="00342365">
        <w:rPr>
          <w:rFonts w:ascii="Arial" w:hAnsi="Arial" w:cs="Arial"/>
        </w:rPr>
        <w:t xml:space="preserve"> </w:t>
      </w:r>
      <w:r w:rsidR="00C07FD9" w:rsidRPr="00342365">
        <w:rPr>
          <w:rFonts w:ascii="ArialMT" w:hAnsi="ArialMT" w:cs="ArialMT"/>
        </w:rPr>
        <w:t xml:space="preserve">paid </w:t>
      </w:r>
      <w:r w:rsidRPr="00342365">
        <w:rPr>
          <w:rFonts w:ascii="ArialMT" w:hAnsi="ArialMT" w:cs="ArialMT"/>
        </w:rPr>
        <w:t>£</w:t>
      </w:r>
      <w:r w:rsidR="00CC7DA4">
        <w:rPr>
          <w:rFonts w:ascii="ArialMT" w:hAnsi="ArialMT" w:cs="ArialMT"/>
        </w:rPr>
        <w:t>231</w:t>
      </w:r>
      <w:r w:rsidR="00CC7DA4" w:rsidRPr="00342365">
        <w:rPr>
          <w:rFonts w:ascii="ArialMT" w:hAnsi="ArialMT" w:cs="ArialMT"/>
        </w:rPr>
        <w:t xml:space="preserve"> </w:t>
      </w:r>
      <w:r w:rsidRPr="00342365">
        <w:rPr>
          <w:rFonts w:ascii="ArialMT" w:hAnsi="ArialMT" w:cs="ArialMT"/>
        </w:rPr>
        <w:t>million in cash dividends</w:t>
      </w:r>
      <w:r w:rsidR="00C07FD9">
        <w:rPr>
          <w:rFonts w:ascii="ArialMT" w:hAnsi="ArialMT" w:cs="ArialMT"/>
        </w:rPr>
        <w:t xml:space="preserve"> and</w:t>
      </w:r>
      <w:r w:rsidRPr="00342365">
        <w:rPr>
          <w:rFonts w:ascii="ArialMT" w:hAnsi="ArialMT" w:cs="ArialMT"/>
        </w:rPr>
        <w:t xml:space="preserve"> </w:t>
      </w:r>
      <w:r w:rsidR="00C07FD9" w:rsidRPr="00342365">
        <w:rPr>
          <w:rFonts w:ascii="ArialMT" w:hAnsi="ArialMT" w:cs="ArialMT"/>
        </w:rPr>
        <w:t xml:space="preserve">repurchased </w:t>
      </w:r>
      <w:r w:rsidR="000835E6" w:rsidRPr="00342365">
        <w:rPr>
          <w:rFonts w:ascii="ArialMT" w:hAnsi="ArialMT" w:cs="ArialMT"/>
        </w:rPr>
        <w:t xml:space="preserve">a </w:t>
      </w:r>
      <w:r w:rsidR="000835E6" w:rsidRPr="00AA7892">
        <w:rPr>
          <w:rFonts w:ascii="ArialMT" w:hAnsi="ArialMT" w:cs="ArialMT"/>
        </w:rPr>
        <w:t xml:space="preserve">further </w:t>
      </w:r>
      <w:r w:rsidRPr="00AA7892">
        <w:rPr>
          <w:rFonts w:ascii="ArialMT" w:hAnsi="ArialMT" w:cs="ArialMT"/>
        </w:rPr>
        <w:t>£</w:t>
      </w:r>
      <w:r w:rsidR="00703F58" w:rsidRPr="002146A2">
        <w:rPr>
          <w:rFonts w:ascii="ArialMT" w:hAnsi="ArialMT" w:cs="ArialMT"/>
        </w:rPr>
        <w:t>260</w:t>
      </w:r>
      <w:r w:rsidR="00703F58" w:rsidRPr="00AA7892">
        <w:rPr>
          <w:rFonts w:ascii="ArialMT" w:hAnsi="ArialMT" w:cs="ArialMT"/>
        </w:rPr>
        <w:t xml:space="preserve"> </w:t>
      </w:r>
      <w:r w:rsidRPr="00AA7892">
        <w:rPr>
          <w:rFonts w:ascii="ArialMT" w:hAnsi="ArialMT" w:cs="ArialMT"/>
        </w:rPr>
        <w:t>million</w:t>
      </w:r>
      <w:r w:rsidR="000835E6" w:rsidRPr="00342365">
        <w:rPr>
          <w:rFonts w:ascii="ArialMT" w:hAnsi="ArialMT" w:cs="ArialMT"/>
        </w:rPr>
        <w:t xml:space="preserve"> </w:t>
      </w:r>
      <w:r w:rsidR="00C07FD9" w:rsidRPr="00342365">
        <w:rPr>
          <w:rFonts w:ascii="ArialMT" w:hAnsi="ArialMT" w:cs="ArialMT"/>
        </w:rPr>
        <w:t xml:space="preserve">of shares </w:t>
      </w:r>
      <w:r w:rsidR="000835E6" w:rsidRPr="00342365">
        <w:rPr>
          <w:rFonts w:ascii="ArialMT" w:hAnsi="ArialMT" w:cs="ArialMT"/>
        </w:rPr>
        <w:t>while maintaining a strong balance sheet</w:t>
      </w:r>
      <w:r w:rsidRPr="00342365">
        <w:rPr>
          <w:rFonts w:ascii="ArialMT" w:hAnsi="ArialMT" w:cs="ArialMT"/>
        </w:rPr>
        <w:t>.</w:t>
      </w:r>
    </w:p>
    <w:p w14:paraId="592C32DC" w14:textId="77777777" w:rsidR="00997637" w:rsidRPr="001C4A40" w:rsidRDefault="00997637" w:rsidP="0018703F">
      <w:pPr>
        <w:ind w:right="-368"/>
        <w:jc w:val="left"/>
        <w:rPr>
          <w:rFonts w:ascii="Arial" w:hAnsi="Arial" w:cs="Arial"/>
          <w:sz w:val="24"/>
          <w:szCs w:val="24"/>
          <w:highlight w:val="yellow"/>
        </w:rPr>
      </w:pPr>
    </w:p>
    <w:p w14:paraId="79F1B494" w14:textId="5950610B" w:rsidR="00997637" w:rsidRPr="00FC41B5" w:rsidRDefault="00997637" w:rsidP="00997637">
      <w:pPr>
        <w:ind w:right="-368"/>
        <w:jc w:val="left"/>
        <w:rPr>
          <w:rFonts w:ascii="Arial" w:hAnsi="Arial" w:cs="Arial"/>
        </w:rPr>
      </w:pPr>
      <w:r w:rsidRPr="00FC41B5">
        <w:rPr>
          <w:rFonts w:ascii="Arial" w:hAnsi="Arial" w:cs="Arial"/>
          <w:b/>
        </w:rPr>
        <w:t>Underlying pre-tax profit</w:t>
      </w:r>
      <w:r w:rsidRPr="00FC41B5">
        <w:rPr>
          <w:rFonts w:ascii="Arial" w:hAnsi="Arial" w:cs="Arial"/>
        </w:rPr>
        <w:t>, which excludes the impact of transformation P&amp;L costs</w:t>
      </w:r>
      <w:r w:rsidR="00B019FB" w:rsidRPr="00FC41B5">
        <w:rPr>
          <w:rFonts w:ascii="Arial" w:hAnsi="Arial" w:cs="Arial"/>
        </w:rPr>
        <w:t xml:space="preserve">, </w:t>
      </w:r>
      <w:r w:rsidRPr="00FC41B5">
        <w:rPr>
          <w:rFonts w:ascii="Arial" w:hAnsi="Arial" w:cs="Arial"/>
        </w:rPr>
        <w:t>exceptional items and FFVR</w:t>
      </w:r>
      <w:r w:rsidR="00E57DE9">
        <w:rPr>
          <w:rFonts w:ascii="Arial" w:hAnsi="Arial" w:cs="Arial"/>
        </w:rPr>
        <w:t>*</w:t>
      </w:r>
      <w:r w:rsidRPr="00FC41B5">
        <w:rPr>
          <w:rFonts w:ascii="Arial" w:hAnsi="Arial" w:cs="Arial"/>
        </w:rPr>
        <w:t xml:space="preserve">, increased by </w:t>
      </w:r>
      <w:r w:rsidR="00A670D8">
        <w:rPr>
          <w:rFonts w:ascii="Arial" w:hAnsi="Arial" w:cs="Arial"/>
        </w:rPr>
        <w:t>1</w:t>
      </w:r>
      <w:r w:rsidRPr="00FC41B5">
        <w:rPr>
          <w:rFonts w:ascii="Arial" w:hAnsi="Arial" w:cs="Arial"/>
        </w:rPr>
        <w:t>.</w:t>
      </w:r>
      <w:r w:rsidR="00653BF6">
        <w:rPr>
          <w:rFonts w:ascii="Arial" w:hAnsi="Arial" w:cs="Arial"/>
        </w:rPr>
        <w:t>3</w:t>
      </w:r>
      <w:r w:rsidRPr="00FC41B5">
        <w:rPr>
          <w:rFonts w:ascii="Arial" w:hAnsi="Arial" w:cs="Arial"/>
        </w:rPr>
        <w:t>%, to £</w:t>
      </w:r>
      <w:r w:rsidR="004F03F0" w:rsidRPr="00FC41B5">
        <w:rPr>
          <w:rFonts w:ascii="Arial" w:hAnsi="Arial" w:cs="Arial"/>
        </w:rPr>
        <w:t>79</w:t>
      </w:r>
      <w:r w:rsidR="00653BF6">
        <w:rPr>
          <w:rFonts w:ascii="Arial" w:hAnsi="Arial" w:cs="Arial"/>
        </w:rPr>
        <w:t>7</w:t>
      </w:r>
      <w:r w:rsidR="004F03F0" w:rsidRPr="00FC41B5">
        <w:rPr>
          <w:rFonts w:ascii="Arial" w:hAnsi="Arial" w:cs="Arial"/>
        </w:rPr>
        <w:t xml:space="preserve"> </w:t>
      </w:r>
      <w:r w:rsidRPr="00FC41B5">
        <w:rPr>
          <w:rFonts w:ascii="Arial" w:hAnsi="Arial" w:cs="Arial"/>
        </w:rPr>
        <w:t xml:space="preserve">million, </w:t>
      </w:r>
      <w:r w:rsidR="00631758" w:rsidRPr="00FC41B5">
        <w:rPr>
          <w:rFonts w:ascii="Arial" w:hAnsi="Arial" w:cs="Arial"/>
        </w:rPr>
        <w:t>slightly ahead of</w:t>
      </w:r>
      <w:r w:rsidRPr="00FC41B5">
        <w:rPr>
          <w:rFonts w:ascii="Arial" w:hAnsi="Arial" w:cs="Arial"/>
        </w:rPr>
        <w:t xml:space="preserve"> reported retail profit</w:t>
      </w:r>
      <w:r w:rsidR="00E26457">
        <w:rPr>
          <w:rFonts w:ascii="Arial" w:hAnsi="Arial" w:cs="Arial"/>
        </w:rPr>
        <w:t xml:space="preserve"> growth</w:t>
      </w:r>
      <w:r w:rsidRPr="00FC41B5">
        <w:rPr>
          <w:rFonts w:ascii="Arial" w:hAnsi="Arial" w:cs="Arial"/>
        </w:rPr>
        <w:t xml:space="preserve">.  </w:t>
      </w:r>
    </w:p>
    <w:p w14:paraId="48A989CD" w14:textId="77777777" w:rsidR="00997637" w:rsidRPr="005C6733" w:rsidRDefault="00997637" w:rsidP="00997637">
      <w:pPr>
        <w:ind w:right="-368"/>
        <w:jc w:val="left"/>
        <w:rPr>
          <w:rFonts w:ascii="Arial" w:hAnsi="Arial" w:cs="Arial"/>
          <w:highlight w:val="yellow"/>
        </w:rPr>
      </w:pPr>
    </w:p>
    <w:p w14:paraId="2B185703" w14:textId="2E089E04" w:rsidR="00997637" w:rsidRPr="00FC41B5" w:rsidRDefault="00997637" w:rsidP="00997637">
      <w:pPr>
        <w:ind w:right="-368"/>
        <w:jc w:val="left"/>
        <w:rPr>
          <w:rFonts w:ascii="Arial" w:hAnsi="Arial" w:cs="Arial"/>
        </w:rPr>
      </w:pPr>
      <w:r w:rsidRPr="00FC41B5">
        <w:rPr>
          <w:rFonts w:ascii="Arial" w:hAnsi="Arial" w:cs="Arial"/>
          <w:b/>
        </w:rPr>
        <w:t>Adjusted pre-tax profit</w:t>
      </w:r>
      <w:r w:rsidRPr="00FC41B5">
        <w:rPr>
          <w:rFonts w:ascii="Arial" w:hAnsi="Arial" w:cs="Arial"/>
        </w:rPr>
        <w:t>, which excludes the impact of exceptional items and</w:t>
      </w:r>
      <w:r w:rsidR="002D666E" w:rsidRPr="00FC41B5">
        <w:rPr>
          <w:rFonts w:ascii="Arial" w:hAnsi="Arial" w:cs="Arial"/>
        </w:rPr>
        <w:t xml:space="preserve"> FFVR, </w:t>
      </w:r>
      <w:r w:rsidR="00A670D8" w:rsidRPr="00FC41B5">
        <w:rPr>
          <w:rFonts w:ascii="Arial" w:hAnsi="Arial" w:cs="Arial"/>
        </w:rPr>
        <w:t xml:space="preserve">decreased </w:t>
      </w:r>
      <w:r w:rsidR="002D666E" w:rsidRPr="00FC41B5">
        <w:rPr>
          <w:rFonts w:ascii="Arial" w:hAnsi="Arial" w:cs="Arial"/>
        </w:rPr>
        <w:t xml:space="preserve">by </w:t>
      </w:r>
      <w:r w:rsidR="00653BF6">
        <w:rPr>
          <w:rFonts w:ascii="Arial" w:hAnsi="Arial" w:cs="Arial"/>
        </w:rPr>
        <w:t>8</w:t>
      </w:r>
      <w:r w:rsidR="002D666E" w:rsidRPr="00FC41B5">
        <w:rPr>
          <w:rFonts w:ascii="Arial" w:hAnsi="Arial" w:cs="Arial"/>
        </w:rPr>
        <w:t>.</w:t>
      </w:r>
      <w:r w:rsidR="00653BF6">
        <w:rPr>
          <w:rFonts w:ascii="Arial" w:hAnsi="Arial" w:cs="Arial"/>
        </w:rPr>
        <w:t>1</w:t>
      </w:r>
      <w:r w:rsidR="002D666E" w:rsidRPr="00FC41B5">
        <w:rPr>
          <w:rFonts w:ascii="Arial" w:hAnsi="Arial" w:cs="Arial"/>
        </w:rPr>
        <w:t>% to £</w:t>
      </w:r>
      <w:r w:rsidR="00A670D8" w:rsidRPr="00FC41B5">
        <w:rPr>
          <w:rFonts w:ascii="Arial" w:hAnsi="Arial" w:cs="Arial"/>
        </w:rPr>
        <w:t>68</w:t>
      </w:r>
      <w:r w:rsidR="00653BF6">
        <w:rPr>
          <w:rFonts w:ascii="Arial" w:hAnsi="Arial" w:cs="Arial"/>
        </w:rPr>
        <w:t>3</w:t>
      </w:r>
      <w:r w:rsidRPr="00FC41B5">
        <w:rPr>
          <w:rFonts w:ascii="Arial" w:hAnsi="Arial" w:cs="Arial"/>
        </w:rPr>
        <w:t xml:space="preserve"> million, reflecting £</w:t>
      </w:r>
      <w:r w:rsidR="005C6733" w:rsidRPr="00FC41B5">
        <w:rPr>
          <w:rFonts w:ascii="Arial" w:hAnsi="Arial" w:cs="Arial"/>
        </w:rPr>
        <w:t>11</w:t>
      </w:r>
      <w:r w:rsidR="00A670D8" w:rsidRPr="00FC41B5">
        <w:rPr>
          <w:rFonts w:ascii="Arial" w:hAnsi="Arial" w:cs="Arial"/>
        </w:rPr>
        <w:t>4</w:t>
      </w:r>
      <w:r w:rsidR="005C6733" w:rsidRPr="00FC41B5">
        <w:rPr>
          <w:rFonts w:ascii="Arial" w:hAnsi="Arial" w:cs="Arial"/>
        </w:rPr>
        <w:t xml:space="preserve"> </w:t>
      </w:r>
      <w:r w:rsidRPr="00FC41B5">
        <w:rPr>
          <w:rFonts w:ascii="Arial" w:hAnsi="Arial" w:cs="Arial"/>
        </w:rPr>
        <w:t xml:space="preserve">million of transformation P&amp;L costs. </w:t>
      </w:r>
    </w:p>
    <w:p w14:paraId="5FCEEA40" w14:textId="77777777" w:rsidR="00997637" w:rsidRPr="005C6733" w:rsidRDefault="00997637" w:rsidP="00997637">
      <w:pPr>
        <w:ind w:right="-368"/>
        <w:jc w:val="left"/>
        <w:rPr>
          <w:rFonts w:ascii="Arial" w:hAnsi="Arial" w:cs="Arial"/>
          <w:highlight w:val="yellow"/>
        </w:rPr>
      </w:pPr>
      <w:r w:rsidRPr="005C6733">
        <w:rPr>
          <w:rFonts w:ascii="Arial" w:hAnsi="Arial" w:cs="Arial"/>
          <w:highlight w:val="yellow"/>
        </w:rPr>
        <w:t xml:space="preserve"> </w:t>
      </w:r>
    </w:p>
    <w:p w14:paraId="1FFD8320" w14:textId="1BA2C8A9" w:rsidR="00997637" w:rsidRDefault="00997637" w:rsidP="00997637">
      <w:pPr>
        <w:jc w:val="left"/>
        <w:rPr>
          <w:rFonts w:ascii="Arial" w:hAnsi="Arial" w:cs="Arial"/>
        </w:rPr>
      </w:pPr>
      <w:r w:rsidRPr="00FC41B5">
        <w:rPr>
          <w:rFonts w:ascii="Arial" w:hAnsi="Arial" w:cs="Arial"/>
          <w:b/>
        </w:rPr>
        <w:t>Statutory pre-tax profit</w:t>
      </w:r>
      <w:r w:rsidRPr="00FC41B5">
        <w:rPr>
          <w:rFonts w:ascii="Arial" w:hAnsi="Arial" w:cs="Arial"/>
        </w:rPr>
        <w:t>, which includes the impact of transformation costs, exceptional i</w:t>
      </w:r>
      <w:r w:rsidR="002D666E" w:rsidRPr="00FC41B5">
        <w:rPr>
          <w:rFonts w:ascii="Arial" w:hAnsi="Arial" w:cs="Arial"/>
        </w:rPr>
        <w:t>tems and FFVR,</w:t>
      </w:r>
      <w:r w:rsidR="00B0776C">
        <w:rPr>
          <w:rFonts w:ascii="Arial" w:hAnsi="Arial" w:cs="Arial"/>
        </w:rPr>
        <w:t xml:space="preserve"> declined by 10</w:t>
      </w:r>
      <w:r w:rsidR="00653BF6">
        <w:rPr>
          <w:rFonts w:ascii="Arial" w:hAnsi="Arial" w:cs="Arial"/>
        </w:rPr>
        <w:t>.1</w:t>
      </w:r>
      <w:r w:rsidR="00B0776C">
        <w:rPr>
          <w:rFonts w:ascii="Arial" w:hAnsi="Arial" w:cs="Arial"/>
        </w:rPr>
        <w:t xml:space="preserve">% to </w:t>
      </w:r>
      <w:r w:rsidR="002D666E" w:rsidRPr="00FC41B5">
        <w:rPr>
          <w:rFonts w:ascii="Arial" w:hAnsi="Arial" w:cs="Arial"/>
        </w:rPr>
        <w:t>£</w:t>
      </w:r>
      <w:r w:rsidR="00653BF6">
        <w:rPr>
          <w:rFonts w:ascii="Arial" w:hAnsi="Arial" w:cs="Arial"/>
        </w:rPr>
        <w:t>682</w:t>
      </w:r>
      <w:r w:rsidRPr="00FC41B5">
        <w:rPr>
          <w:rFonts w:ascii="Arial" w:hAnsi="Arial" w:cs="Arial"/>
        </w:rPr>
        <w:t xml:space="preserve"> million.</w:t>
      </w:r>
      <w:r w:rsidRPr="00A845B7">
        <w:rPr>
          <w:rFonts w:ascii="Arial" w:hAnsi="Arial" w:cs="Arial"/>
        </w:rPr>
        <w:t xml:space="preserve"> </w:t>
      </w:r>
    </w:p>
    <w:p w14:paraId="5B9C2F5A" w14:textId="77777777" w:rsidR="00B019FB" w:rsidRDefault="00B019FB" w:rsidP="00997637">
      <w:pPr>
        <w:jc w:val="left"/>
        <w:rPr>
          <w:rFonts w:ascii="Arial" w:hAnsi="Arial" w:cs="Arial"/>
        </w:rPr>
      </w:pPr>
    </w:p>
    <w:p w14:paraId="11D1698A" w14:textId="77777777" w:rsidR="00A93D96" w:rsidRDefault="00A93D96">
      <w:pPr>
        <w:jc w:val="left"/>
        <w:rPr>
          <w:rFonts w:ascii="Arial" w:hAnsi="Arial" w:cs="Arial"/>
        </w:rPr>
      </w:pPr>
      <w:r>
        <w:rPr>
          <w:rFonts w:ascii="Arial" w:hAnsi="Arial" w:cs="Arial"/>
        </w:rPr>
        <w:br w:type="page"/>
      </w:r>
    </w:p>
    <w:p w14:paraId="29CA7E71" w14:textId="77777777" w:rsidR="00997637" w:rsidRPr="00A845B7" w:rsidRDefault="00997637" w:rsidP="00997637">
      <w:pPr>
        <w:jc w:val="left"/>
        <w:rPr>
          <w:rFonts w:ascii="Arial" w:hAnsi="Arial" w:cs="Arial"/>
        </w:rPr>
      </w:pPr>
      <w:r w:rsidRPr="00A845B7">
        <w:rPr>
          <w:rFonts w:ascii="Arial" w:hAnsi="Arial" w:cs="Arial"/>
        </w:rPr>
        <w:lastRenderedPageBreak/>
        <w:t>A reconciliation from the underlying basis to the statutory basis for pre-tax profit is set out below:</w:t>
      </w:r>
    </w:p>
    <w:p w14:paraId="58618E70" w14:textId="77777777" w:rsidR="00997637" w:rsidRPr="00686C6E" w:rsidRDefault="00997637" w:rsidP="00997637">
      <w:pPr>
        <w:jc w:val="left"/>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720"/>
        <w:gridCol w:w="1224"/>
        <w:gridCol w:w="1207"/>
        <w:gridCol w:w="1490"/>
      </w:tblGrid>
      <w:tr w:rsidR="00997637" w:rsidRPr="00A845B7" w14:paraId="0B0C9F08" w14:textId="77777777" w:rsidTr="006F78D1">
        <w:tc>
          <w:tcPr>
            <w:tcW w:w="2966" w:type="pct"/>
            <w:tcBorders>
              <w:bottom w:val="single" w:sz="4" w:space="0" w:color="auto"/>
            </w:tcBorders>
          </w:tcPr>
          <w:p w14:paraId="31A25347" w14:textId="77777777" w:rsidR="00997637" w:rsidRPr="00A845B7" w:rsidRDefault="00997637" w:rsidP="00F24C8A">
            <w:pPr>
              <w:jc w:val="right"/>
              <w:rPr>
                <w:rFonts w:ascii="Arial" w:hAnsi="Arial" w:cs="Arial"/>
                <w:sz w:val="22"/>
                <w:szCs w:val="22"/>
              </w:rPr>
            </w:pPr>
          </w:p>
        </w:tc>
        <w:tc>
          <w:tcPr>
            <w:tcW w:w="635" w:type="pct"/>
            <w:tcBorders>
              <w:bottom w:val="single" w:sz="4" w:space="0" w:color="auto"/>
            </w:tcBorders>
          </w:tcPr>
          <w:p w14:paraId="3B61968C" w14:textId="0EBA4F4A" w:rsidR="00997637" w:rsidRPr="00A845B7" w:rsidRDefault="00997637" w:rsidP="00F24C8A">
            <w:pPr>
              <w:jc w:val="right"/>
              <w:rPr>
                <w:rFonts w:ascii="Arial" w:hAnsi="Arial" w:cs="Arial"/>
                <w:b/>
                <w:sz w:val="22"/>
                <w:szCs w:val="22"/>
              </w:rPr>
            </w:pPr>
            <w:r w:rsidRPr="00A845B7">
              <w:rPr>
                <w:rFonts w:ascii="Arial" w:hAnsi="Arial" w:cs="Arial"/>
                <w:b/>
                <w:sz w:val="22"/>
                <w:szCs w:val="22"/>
              </w:rPr>
              <w:t>201</w:t>
            </w:r>
            <w:r w:rsidR="00E40B17">
              <w:rPr>
                <w:rFonts w:ascii="Arial" w:hAnsi="Arial" w:cs="Arial"/>
                <w:b/>
                <w:sz w:val="22"/>
                <w:szCs w:val="22"/>
              </w:rPr>
              <w:t>7</w:t>
            </w:r>
            <w:r w:rsidRPr="00A845B7">
              <w:rPr>
                <w:rFonts w:ascii="Arial" w:hAnsi="Arial" w:cs="Arial"/>
                <w:b/>
                <w:sz w:val="22"/>
                <w:szCs w:val="22"/>
              </w:rPr>
              <w:t>/1</w:t>
            </w:r>
            <w:r w:rsidR="00E40B17">
              <w:rPr>
                <w:rFonts w:ascii="Arial" w:hAnsi="Arial" w:cs="Arial"/>
                <w:b/>
                <w:sz w:val="22"/>
                <w:szCs w:val="22"/>
              </w:rPr>
              <w:t>8</w:t>
            </w:r>
          </w:p>
          <w:p w14:paraId="29D944D7" w14:textId="77777777" w:rsidR="00997637" w:rsidRPr="00A845B7" w:rsidRDefault="00997637" w:rsidP="00F24C8A">
            <w:pPr>
              <w:jc w:val="right"/>
              <w:rPr>
                <w:rFonts w:ascii="Arial" w:hAnsi="Arial" w:cs="Arial"/>
                <w:b/>
                <w:sz w:val="22"/>
                <w:szCs w:val="22"/>
              </w:rPr>
            </w:pPr>
            <w:r w:rsidRPr="00A845B7">
              <w:rPr>
                <w:rFonts w:ascii="Arial" w:hAnsi="Arial" w:cs="Arial"/>
                <w:b/>
                <w:sz w:val="22"/>
                <w:szCs w:val="22"/>
              </w:rPr>
              <w:t>£m</w:t>
            </w:r>
          </w:p>
        </w:tc>
        <w:tc>
          <w:tcPr>
            <w:tcW w:w="626" w:type="pct"/>
            <w:tcBorders>
              <w:bottom w:val="single" w:sz="4" w:space="0" w:color="auto"/>
            </w:tcBorders>
          </w:tcPr>
          <w:p w14:paraId="0F32A6A1" w14:textId="09E2B240" w:rsidR="00997637" w:rsidRPr="00A845B7" w:rsidRDefault="00997637" w:rsidP="00F24C8A">
            <w:pPr>
              <w:jc w:val="right"/>
              <w:rPr>
                <w:rFonts w:ascii="Arial" w:hAnsi="Arial" w:cs="Arial"/>
                <w:sz w:val="22"/>
                <w:szCs w:val="22"/>
              </w:rPr>
            </w:pPr>
            <w:r w:rsidRPr="00A845B7">
              <w:rPr>
                <w:rFonts w:ascii="Arial" w:hAnsi="Arial" w:cs="Arial"/>
                <w:sz w:val="22"/>
                <w:szCs w:val="22"/>
              </w:rPr>
              <w:t>201</w:t>
            </w:r>
            <w:r w:rsidR="00E40B17">
              <w:rPr>
                <w:rFonts w:ascii="Arial" w:hAnsi="Arial" w:cs="Arial"/>
                <w:sz w:val="22"/>
                <w:szCs w:val="22"/>
              </w:rPr>
              <w:t>6</w:t>
            </w:r>
            <w:r w:rsidRPr="00A845B7">
              <w:rPr>
                <w:rFonts w:ascii="Arial" w:hAnsi="Arial" w:cs="Arial"/>
                <w:sz w:val="22"/>
                <w:szCs w:val="22"/>
              </w:rPr>
              <w:t>/1</w:t>
            </w:r>
            <w:r w:rsidR="00E40B17">
              <w:rPr>
                <w:rFonts w:ascii="Arial" w:hAnsi="Arial" w:cs="Arial"/>
                <w:sz w:val="22"/>
                <w:szCs w:val="22"/>
              </w:rPr>
              <w:t>7</w:t>
            </w:r>
          </w:p>
          <w:p w14:paraId="252F1CA5" w14:textId="77777777" w:rsidR="00997637" w:rsidRPr="00A845B7" w:rsidRDefault="00997637" w:rsidP="00F24C8A">
            <w:pPr>
              <w:jc w:val="right"/>
              <w:rPr>
                <w:rFonts w:ascii="Arial" w:hAnsi="Arial" w:cs="Arial"/>
                <w:sz w:val="22"/>
                <w:szCs w:val="22"/>
              </w:rPr>
            </w:pPr>
            <w:r w:rsidRPr="00A845B7">
              <w:rPr>
                <w:rFonts w:ascii="Arial" w:hAnsi="Arial" w:cs="Arial"/>
                <w:sz w:val="22"/>
                <w:szCs w:val="22"/>
              </w:rPr>
              <w:t>£m</w:t>
            </w:r>
          </w:p>
        </w:tc>
        <w:tc>
          <w:tcPr>
            <w:tcW w:w="773" w:type="pct"/>
            <w:tcBorders>
              <w:bottom w:val="single" w:sz="4" w:space="0" w:color="auto"/>
            </w:tcBorders>
          </w:tcPr>
          <w:p w14:paraId="1B6ABB96" w14:textId="77777777" w:rsidR="00997637" w:rsidRPr="00A845B7" w:rsidRDefault="00997637" w:rsidP="00F24C8A">
            <w:pPr>
              <w:jc w:val="right"/>
              <w:rPr>
                <w:rFonts w:ascii="Arial" w:hAnsi="Arial" w:cs="Arial"/>
                <w:sz w:val="22"/>
                <w:szCs w:val="22"/>
              </w:rPr>
            </w:pPr>
          </w:p>
          <w:p w14:paraId="68AB3491" w14:textId="77777777" w:rsidR="00997637" w:rsidRPr="00A845B7" w:rsidRDefault="00997637" w:rsidP="00F24C8A">
            <w:pPr>
              <w:jc w:val="right"/>
              <w:rPr>
                <w:rFonts w:ascii="Arial" w:hAnsi="Arial" w:cs="Arial"/>
                <w:sz w:val="22"/>
                <w:szCs w:val="22"/>
              </w:rPr>
            </w:pPr>
            <w:r w:rsidRPr="00A845B7">
              <w:rPr>
                <w:rFonts w:ascii="Arial" w:hAnsi="Arial" w:cs="Arial"/>
                <w:sz w:val="22"/>
                <w:szCs w:val="22"/>
              </w:rPr>
              <w:t xml:space="preserve">Increase </w:t>
            </w:r>
          </w:p>
        </w:tc>
      </w:tr>
      <w:tr w:rsidR="00E40B17" w:rsidRPr="00A845B7" w14:paraId="79B93728" w14:textId="77777777" w:rsidTr="006F78D1">
        <w:tc>
          <w:tcPr>
            <w:tcW w:w="2966" w:type="pct"/>
            <w:tcBorders>
              <w:top w:val="single" w:sz="4" w:space="0" w:color="auto"/>
            </w:tcBorders>
          </w:tcPr>
          <w:p w14:paraId="7E3DAF26" w14:textId="77777777" w:rsidR="00E40B17" w:rsidRPr="00A845B7" w:rsidRDefault="00E40B17" w:rsidP="00E40B17">
            <w:pPr>
              <w:jc w:val="left"/>
              <w:rPr>
                <w:rFonts w:ascii="Arial" w:hAnsi="Arial" w:cs="Arial"/>
                <w:b/>
                <w:sz w:val="22"/>
                <w:szCs w:val="22"/>
              </w:rPr>
            </w:pPr>
            <w:r w:rsidRPr="00A845B7">
              <w:rPr>
                <w:rFonts w:ascii="Arial" w:hAnsi="Arial" w:cs="Arial"/>
                <w:b/>
                <w:sz w:val="22"/>
                <w:szCs w:val="22"/>
              </w:rPr>
              <w:t>Retail profit</w:t>
            </w:r>
          </w:p>
        </w:tc>
        <w:tc>
          <w:tcPr>
            <w:tcW w:w="635" w:type="pct"/>
            <w:tcBorders>
              <w:top w:val="single" w:sz="4" w:space="0" w:color="auto"/>
            </w:tcBorders>
          </w:tcPr>
          <w:p w14:paraId="1F753C51" w14:textId="7FF9BF35" w:rsidR="00E40B17" w:rsidRPr="00A845B7" w:rsidRDefault="00E40B17" w:rsidP="00E40B17">
            <w:pPr>
              <w:jc w:val="right"/>
              <w:rPr>
                <w:rFonts w:ascii="Arial" w:hAnsi="Arial" w:cs="Arial"/>
                <w:b/>
                <w:sz w:val="22"/>
                <w:szCs w:val="22"/>
              </w:rPr>
            </w:pPr>
            <w:r w:rsidRPr="00A845B7">
              <w:rPr>
                <w:rFonts w:ascii="Arial" w:hAnsi="Arial" w:cs="Arial"/>
                <w:b/>
                <w:sz w:val="22"/>
                <w:szCs w:val="22"/>
              </w:rPr>
              <w:t>8</w:t>
            </w:r>
            <w:r w:rsidR="006B1FCF">
              <w:rPr>
                <w:rFonts w:ascii="Arial" w:hAnsi="Arial" w:cs="Arial"/>
                <w:b/>
                <w:sz w:val="22"/>
                <w:szCs w:val="22"/>
              </w:rPr>
              <w:t>49</w:t>
            </w:r>
          </w:p>
        </w:tc>
        <w:tc>
          <w:tcPr>
            <w:tcW w:w="626" w:type="pct"/>
            <w:tcBorders>
              <w:top w:val="single" w:sz="4" w:space="0" w:color="auto"/>
            </w:tcBorders>
          </w:tcPr>
          <w:p w14:paraId="6F97BE79" w14:textId="23DEC3BB" w:rsidR="00E40B17" w:rsidRPr="00355EF2" w:rsidRDefault="00E40B17" w:rsidP="00E40B17">
            <w:pPr>
              <w:jc w:val="right"/>
              <w:rPr>
                <w:rFonts w:ascii="Arial" w:hAnsi="Arial" w:cs="Arial"/>
                <w:sz w:val="22"/>
                <w:szCs w:val="22"/>
              </w:rPr>
            </w:pPr>
            <w:r w:rsidRPr="0018703F">
              <w:rPr>
                <w:rFonts w:ascii="Arial" w:hAnsi="Arial" w:cs="Arial"/>
              </w:rPr>
              <w:t>847</w:t>
            </w:r>
          </w:p>
        </w:tc>
        <w:tc>
          <w:tcPr>
            <w:tcW w:w="773" w:type="pct"/>
            <w:tcBorders>
              <w:top w:val="single" w:sz="4" w:space="0" w:color="auto"/>
            </w:tcBorders>
            <w:vAlign w:val="bottom"/>
          </w:tcPr>
          <w:p w14:paraId="2B731A00" w14:textId="3FE955B6" w:rsidR="00E40B17" w:rsidRPr="00A845B7" w:rsidRDefault="00E40B17" w:rsidP="00E40B17">
            <w:pPr>
              <w:jc w:val="right"/>
              <w:rPr>
                <w:rFonts w:ascii="Arial" w:hAnsi="Arial" w:cs="Arial"/>
                <w:sz w:val="22"/>
                <w:szCs w:val="22"/>
              </w:rPr>
            </w:pPr>
            <w:r w:rsidRPr="00A845B7">
              <w:rPr>
                <w:rFonts w:ascii="Arial" w:hAnsi="Arial" w:cs="Arial"/>
                <w:sz w:val="22"/>
                <w:szCs w:val="22"/>
              </w:rPr>
              <w:t>+</w:t>
            </w:r>
            <w:r w:rsidR="006B1FCF">
              <w:rPr>
                <w:rFonts w:ascii="Arial" w:hAnsi="Arial" w:cs="Arial"/>
                <w:sz w:val="22"/>
                <w:szCs w:val="22"/>
              </w:rPr>
              <w:t>0</w:t>
            </w:r>
            <w:r w:rsidRPr="00A845B7">
              <w:rPr>
                <w:rFonts w:ascii="Arial" w:hAnsi="Arial" w:cs="Arial"/>
                <w:sz w:val="22"/>
                <w:szCs w:val="22"/>
              </w:rPr>
              <w:t>.</w:t>
            </w:r>
            <w:r w:rsidR="007B566F">
              <w:rPr>
                <w:rFonts w:ascii="Arial" w:hAnsi="Arial" w:cs="Arial"/>
                <w:sz w:val="22"/>
                <w:szCs w:val="22"/>
              </w:rPr>
              <w:t>3</w:t>
            </w:r>
            <w:r w:rsidRPr="00A845B7">
              <w:rPr>
                <w:rFonts w:ascii="Arial" w:hAnsi="Arial" w:cs="Arial"/>
                <w:sz w:val="22"/>
                <w:szCs w:val="22"/>
              </w:rPr>
              <w:t>%</w:t>
            </w:r>
          </w:p>
        </w:tc>
      </w:tr>
      <w:tr w:rsidR="00E40B17" w:rsidRPr="00A845B7" w14:paraId="3D138D47" w14:textId="77777777" w:rsidTr="006F78D1">
        <w:tc>
          <w:tcPr>
            <w:tcW w:w="2966" w:type="pct"/>
          </w:tcPr>
          <w:p w14:paraId="5185EC78" w14:textId="77777777" w:rsidR="00E40B17" w:rsidRPr="00A845B7" w:rsidRDefault="00E40B17" w:rsidP="00E40B17">
            <w:pPr>
              <w:jc w:val="left"/>
              <w:rPr>
                <w:rFonts w:ascii="Arial" w:hAnsi="Arial" w:cs="Arial"/>
                <w:sz w:val="22"/>
                <w:szCs w:val="22"/>
              </w:rPr>
            </w:pPr>
            <w:r w:rsidRPr="00A845B7">
              <w:rPr>
                <w:rFonts w:ascii="Arial" w:hAnsi="Arial" w:cs="Arial"/>
                <w:sz w:val="22"/>
                <w:szCs w:val="22"/>
              </w:rPr>
              <w:t>Central costs</w:t>
            </w:r>
          </w:p>
        </w:tc>
        <w:tc>
          <w:tcPr>
            <w:tcW w:w="635" w:type="pct"/>
          </w:tcPr>
          <w:p w14:paraId="19CDAA03" w14:textId="3623F85C" w:rsidR="00E40B17" w:rsidRPr="00A845B7" w:rsidRDefault="00E40B17" w:rsidP="00E40B17">
            <w:pPr>
              <w:jc w:val="right"/>
              <w:rPr>
                <w:rFonts w:ascii="Arial" w:hAnsi="Arial" w:cs="Arial"/>
                <w:b/>
                <w:sz w:val="22"/>
                <w:szCs w:val="22"/>
              </w:rPr>
            </w:pPr>
            <w:r>
              <w:rPr>
                <w:rFonts w:ascii="Arial" w:hAnsi="Arial" w:cs="Arial"/>
                <w:b/>
                <w:sz w:val="22"/>
                <w:szCs w:val="22"/>
              </w:rPr>
              <w:t>(4</w:t>
            </w:r>
            <w:r w:rsidR="006B1FCF">
              <w:rPr>
                <w:rFonts w:ascii="Arial" w:hAnsi="Arial" w:cs="Arial"/>
                <w:b/>
                <w:sz w:val="22"/>
                <w:szCs w:val="22"/>
              </w:rPr>
              <w:t>6</w:t>
            </w:r>
            <w:r w:rsidRPr="00A845B7">
              <w:rPr>
                <w:rFonts w:ascii="Arial" w:hAnsi="Arial" w:cs="Arial"/>
                <w:b/>
                <w:sz w:val="22"/>
                <w:szCs w:val="22"/>
              </w:rPr>
              <w:t>)</w:t>
            </w:r>
          </w:p>
        </w:tc>
        <w:tc>
          <w:tcPr>
            <w:tcW w:w="626" w:type="pct"/>
          </w:tcPr>
          <w:p w14:paraId="01FFF695" w14:textId="3407A444" w:rsidR="00E40B17" w:rsidRPr="00355EF2" w:rsidRDefault="00E40B17" w:rsidP="00E40B17">
            <w:pPr>
              <w:jc w:val="right"/>
              <w:rPr>
                <w:rFonts w:ascii="Arial" w:hAnsi="Arial" w:cs="Arial"/>
                <w:sz w:val="22"/>
                <w:szCs w:val="22"/>
              </w:rPr>
            </w:pPr>
            <w:r w:rsidRPr="0018703F">
              <w:rPr>
                <w:rFonts w:ascii="Arial" w:hAnsi="Arial" w:cs="Arial"/>
              </w:rPr>
              <w:t>(48)</w:t>
            </w:r>
          </w:p>
        </w:tc>
        <w:tc>
          <w:tcPr>
            <w:tcW w:w="773" w:type="pct"/>
            <w:vAlign w:val="bottom"/>
          </w:tcPr>
          <w:p w14:paraId="53A35C2A" w14:textId="77777777" w:rsidR="00E40B17" w:rsidRPr="00A845B7" w:rsidRDefault="00E40B17" w:rsidP="00E40B17">
            <w:pPr>
              <w:jc w:val="right"/>
              <w:rPr>
                <w:rFonts w:ascii="Arial" w:hAnsi="Arial" w:cs="Arial"/>
                <w:sz w:val="22"/>
                <w:szCs w:val="22"/>
              </w:rPr>
            </w:pPr>
          </w:p>
        </w:tc>
      </w:tr>
      <w:tr w:rsidR="00E40B17" w:rsidRPr="00A845B7" w14:paraId="45889734" w14:textId="77777777" w:rsidTr="006F78D1">
        <w:tc>
          <w:tcPr>
            <w:tcW w:w="2966" w:type="pct"/>
          </w:tcPr>
          <w:p w14:paraId="321FBB5B" w14:textId="77777777" w:rsidR="00E40B17" w:rsidRPr="00A845B7" w:rsidRDefault="00E40B17" w:rsidP="00E40B17">
            <w:pPr>
              <w:jc w:val="left"/>
              <w:rPr>
                <w:rFonts w:ascii="Arial" w:hAnsi="Arial" w:cs="Arial"/>
                <w:sz w:val="22"/>
                <w:szCs w:val="22"/>
              </w:rPr>
            </w:pPr>
            <w:r w:rsidRPr="00A845B7">
              <w:rPr>
                <w:rFonts w:ascii="Arial" w:hAnsi="Arial" w:cs="Arial"/>
                <w:sz w:val="22"/>
                <w:szCs w:val="22"/>
              </w:rPr>
              <w:t>Share of interest and tax of joint ventures &amp; associates</w:t>
            </w:r>
          </w:p>
        </w:tc>
        <w:tc>
          <w:tcPr>
            <w:tcW w:w="635" w:type="pct"/>
          </w:tcPr>
          <w:p w14:paraId="06634E61" w14:textId="4EF8CF04" w:rsidR="00E40B17" w:rsidRPr="00A845B7" w:rsidRDefault="00E40B17" w:rsidP="00E40B17">
            <w:pPr>
              <w:jc w:val="right"/>
              <w:rPr>
                <w:rFonts w:ascii="Arial" w:hAnsi="Arial" w:cs="Arial"/>
                <w:b/>
                <w:sz w:val="22"/>
                <w:szCs w:val="22"/>
              </w:rPr>
            </w:pPr>
            <w:r w:rsidRPr="00A845B7">
              <w:rPr>
                <w:rFonts w:ascii="Arial" w:hAnsi="Arial" w:cs="Arial"/>
                <w:b/>
                <w:sz w:val="22"/>
                <w:szCs w:val="22"/>
              </w:rPr>
              <w:t>(</w:t>
            </w:r>
            <w:r w:rsidR="00653BF6">
              <w:rPr>
                <w:rFonts w:ascii="Arial" w:hAnsi="Arial" w:cs="Arial"/>
                <w:b/>
                <w:sz w:val="22"/>
                <w:szCs w:val="22"/>
              </w:rPr>
              <w:t>4</w:t>
            </w:r>
            <w:r w:rsidRPr="00A845B7">
              <w:rPr>
                <w:rFonts w:ascii="Arial" w:hAnsi="Arial" w:cs="Arial"/>
                <w:b/>
                <w:sz w:val="22"/>
                <w:szCs w:val="22"/>
              </w:rPr>
              <w:t>)</w:t>
            </w:r>
          </w:p>
        </w:tc>
        <w:tc>
          <w:tcPr>
            <w:tcW w:w="626" w:type="pct"/>
          </w:tcPr>
          <w:p w14:paraId="2AC29B2F" w14:textId="24359B8C" w:rsidR="00E40B17" w:rsidRPr="00355EF2" w:rsidRDefault="00E40B17" w:rsidP="00E40B17">
            <w:pPr>
              <w:jc w:val="right"/>
              <w:rPr>
                <w:rFonts w:ascii="Arial" w:hAnsi="Arial" w:cs="Arial"/>
                <w:sz w:val="22"/>
                <w:szCs w:val="22"/>
              </w:rPr>
            </w:pPr>
            <w:r w:rsidRPr="0018703F">
              <w:rPr>
                <w:rFonts w:ascii="Arial" w:hAnsi="Arial" w:cs="Arial"/>
              </w:rPr>
              <w:t>(5)</w:t>
            </w:r>
          </w:p>
        </w:tc>
        <w:tc>
          <w:tcPr>
            <w:tcW w:w="773" w:type="pct"/>
            <w:vAlign w:val="bottom"/>
          </w:tcPr>
          <w:p w14:paraId="06C8198B" w14:textId="77777777" w:rsidR="00E40B17" w:rsidRPr="00A845B7" w:rsidRDefault="00E40B17" w:rsidP="00E40B17">
            <w:pPr>
              <w:jc w:val="right"/>
              <w:rPr>
                <w:rFonts w:ascii="Arial" w:hAnsi="Arial" w:cs="Arial"/>
                <w:sz w:val="22"/>
                <w:szCs w:val="22"/>
              </w:rPr>
            </w:pPr>
          </w:p>
        </w:tc>
      </w:tr>
      <w:tr w:rsidR="00E40B17" w:rsidRPr="00A845B7" w14:paraId="59A016FE" w14:textId="77777777" w:rsidTr="006F78D1">
        <w:tc>
          <w:tcPr>
            <w:tcW w:w="2966" w:type="pct"/>
            <w:tcBorders>
              <w:bottom w:val="single" w:sz="4" w:space="0" w:color="auto"/>
            </w:tcBorders>
          </w:tcPr>
          <w:p w14:paraId="241D7817" w14:textId="77777777" w:rsidR="00E40B17" w:rsidRPr="00A845B7" w:rsidRDefault="00E40B17" w:rsidP="00E40B17">
            <w:pPr>
              <w:jc w:val="left"/>
              <w:rPr>
                <w:rFonts w:ascii="Arial" w:hAnsi="Arial" w:cs="Arial"/>
                <w:sz w:val="22"/>
                <w:szCs w:val="22"/>
              </w:rPr>
            </w:pPr>
            <w:r w:rsidRPr="00A845B7">
              <w:rPr>
                <w:rFonts w:ascii="Arial" w:hAnsi="Arial" w:cs="Arial"/>
                <w:sz w:val="22"/>
                <w:szCs w:val="22"/>
              </w:rPr>
              <w:t xml:space="preserve">Finance costs before exceptional items &amp; financing fair value </w:t>
            </w:r>
            <w:proofErr w:type="spellStart"/>
            <w:r w:rsidRPr="00A845B7">
              <w:rPr>
                <w:rFonts w:ascii="Arial" w:hAnsi="Arial" w:cs="Arial"/>
                <w:sz w:val="22"/>
                <w:szCs w:val="22"/>
              </w:rPr>
              <w:t>remeasurements</w:t>
            </w:r>
            <w:proofErr w:type="spellEnd"/>
            <w:r w:rsidRPr="00A845B7">
              <w:rPr>
                <w:rFonts w:ascii="Arial" w:hAnsi="Arial" w:cs="Arial"/>
                <w:sz w:val="22"/>
                <w:szCs w:val="22"/>
              </w:rPr>
              <w:t xml:space="preserve"> (FFVR)</w:t>
            </w:r>
          </w:p>
        </w:tc>
        <w:tc>
          <w:tcPr>
            <w:tcW w:w="635" w:type="pct"/>
            <w:tcBorders>
              <w:bottom w:val="single" w:sz="4" w:space="0" w:color="auto"/>
            </w:tcBorders>
          </w:tcPr>
          <w:p w14:paraId="1994C7CD" w14:textId="77777777" w:rsidR="00E40B17" w:rsidRPr="00A845B7" w:rsidRDefault="00E40B17" w:rsidP="00E40B17">
            <w:pPr>
              <w:jc w:val="right"/>
              <w:rPr>
                <w:rFonts w:ascii="Arial" w:hAnsi="Arial" w:cs="Arial"/>
                <w:b/>
                <w:sz w:val="22"/>
                <w:szCs w:val="22"/>
              </w:rPr>
            </w:pPr>
          </w:p>
          <w:p w14:paraId="7BC1B4D9" w14:textId="3A2A9B34" w:rsidR="00E40B17" w:rsidRPr="00A845B7" w:rsidRDefault="00653BF6" w:rsidP="00E40B17">
            <w:pPr>
              <w:jc w:val="right"/>
              <w:rPr>
                <w:rFonts w:ascii="Arial" w:hAnsi="Arial" w:cs="Arial"/>
                <w:b/>
                <w:sz w:val="22"/>
                <w:szCs w:val="22"/>
              </w:rPr>
            </w:pPr>
            <w:r>
              <w:rPr>
                <w:rFonts w:ascii="Arial" w:hAnsi="Arial" w:cs="Arial"/>
                <w:b/>
                <w:sz w:val="22"/>
                <w:szCs w:val="22"/>
              </w:rPr>
              <w:t>(2)</w:t>
            </w:r>
          </w:p>
        </w:tc>
        <w:tc>
          <w:tcPr>
            <w:tcW w:w="626" w:type="pct"/>
            <w:tcBorders>
              <w:bottom w:val="single" w:sz="4" w:space="0" w:color="auto"/>
            </w:tcBorders>
          </w:tcPr>
          <w:p w14:paraId="5143DD92" w14:textId="77777777" w:rsidR="00E40B17" w:rsidRPr="0018703F" w:rsidRDefault="00E40B17" w:rsidP="00E40B17">
            <w:pPr>
              <w:jc w:val="right"/>
              <w:rPr>
                <w:rFonts w:ascii="Arial" w:hAnsi="Arial" w:cs="Arial"/>
                <w:sz w:val="22"/>
                <w:szCs w:val="22"/>
              </w:rPr>
            </w:pPr>
          </w:p>
          <w:p w14:paraId="69D9A068" w14:textId="1FAF1B63" w:rsidR="00E40B17" w:rsidRPr="00355EF2" w:rsidRDefault="00E40B17" w:rsidP="00E40B17">
            <w:pPr>
              <w:jc w:val="right"/>
              <w:rPr>
                <w:rFonts w:ascii="Arial" w:hAnsi="Arial" w:cs="Arial"/>
                <w:sz w:val="22"/>
                <w:szCs w:val="22"/>
              </w:rPr>
            </w:pPr>
            <w:r w:rsidRPr="0018703F">
              <w:rPr>
                <w:rFonts w:ascii="Arial" w:hAnsi="Arial" w:cs="Arial"/>
              </w:rPr>
              <w:t>(7)</w:t>
            </w:r>
          </w:p>
        </w:tc>
        <w:tc>
          <w:tcPr>
            <w:tcW w:w="773" w:type="pct"/>
            <w:tcBorders>
              <w:bottom w:val="single" w:sz="4" w:space="0" w:color="auto"/>
            </w:tcBorders>
            <w:vAlign w:val="bottom"/>
          </w:tcPr>
          <w:p w14:paraId="5CEBB588" w14:textId="77777777" w:rsidR="00E40B17" w:rsidRPr="00A845B7" w:rsidRDefault="00E40B17" w:rsidP="00E40B17">
            <w:pPr>
              <w:jc w:val="right"/>
              <w:rPr>
                <w:rFonts w:ascii="Arial" w:hAnsi="Arial" w:cs="Arial"/>
                <w:sz w:val="22"/>
                <w:szCs w:val="22"/>
              </w:rPr>
            </w:pPr>
          </w:p>
        </w:tc>
      </w:tr>
      <w:tr w:rsidR="00E40B17" w:rsidRPr="00A845B7" w14:paraId="18B0E0B6" w14:textId="77777777" w:rsidTr="006F78D1">
        <w:tc>
          <w:tcPr>
            <w:tcW w:w="2966" w:type="pct"/>
            <w:tcBorders>
              <w:top w:val="single" w:sz="4" w:space="0" w:color="auto"/>
            </w:tcBorders>
          </w:tcPr>
          <w:p w14:paraId="6D9F0063" w14:textId="77777777" w:rsidR="00E40B17" w:rsidRPr="00A845B7" w:rsidRDefault="00E40B17" w:rsidP="00E40B17">
            <w:pPr>
              <w:jc w:val="left"/>
              <w:rPr>
                <w:rFonts w:ascii="Arial" w:hAnsi="Arial" w:cs="Arial"/>
                <w:b/>
                <w:sz w:val="22"/>
                <w:szCs w:val="22"/>
              </w:rPr>
            </w:pPr>
            <w:r w:rsidRPr="00A845B7">
              <w:rPr>
                <w:rFonts w:ascii="Arial" w:hAnsi="Arial" w:cs="Arial"/>
                <w:b/>
                <w:sz w:val="22"/>
                <w:szCs w:val="22"/>
              </w:rPr>
              <w:t>Underlying pre-tax profit</w:t>
            </w:r>
          </w:p>
        </w:tc>
        <w:tc>
          <w:tcPr>
            <w:tcW w:w="635" w:type="pct"/>
            <w:tcBorders>
              <w:top w:val="single" w:sz="4" w:space="0" w:color="auto"/>
            </w:tcBorders>
          </w:tcPr>
          <w:p w14:paraId="07DEC84F" w14:textId="0F90F010" w:rsidR="00E40B17" w:rsidRPr="00A845B7" w:rsidRDefault="00E40B17" w:rsidP="00E40B17">
            <w:pPr>
              <w:jc w:val="right"/>
              <w:rPr>
                <w:rFonts w:ascii="Arial" w:hAnsi="Arial" w:cs="Arial"/>
                <w:b/>
                <w:sz w:val="22"/>
                <w:szCs w:val="22"/>
              </w:rPr>
            </w:pPr>
            <w:r w:rsidRPr="00A845B7">
              <w:rPr>
                <w:rFonts w:ascii="Arial" w:hAnsi="Arial" w:cs="Arial"/>
                <w:b/>
                <w:sz w:val="22"/>
                <w:szCs w:val="22"/>
              </w:rPr>
              <w:t>7</w:t>
            </w:r>
            <w:r w:rsidR="006B1FCF">
              <w:rPr>
                <w:rFonts w:ascii="Arial" w:hAnsi="Arial" w:cs="Arial"/>
                <w:b/>
                <w:sz w:val="22"/>
                <w:szCs w:val="22"/>
              </w:rPr>
              <w:t>9</w:t>
            </w:r>
            <w:r w:rsidR="00653BF6">
              <w:rPr>
                <w:rFonts w:ascii="Arial" w:hAnsi="Arial" w:cs="Arial"/>
                <w:b/>
                <w:sz w:val="22"/>
                <w:szCs w:val="22"/>
              </w:rPr>
              <w:t>7</w:t>
            </w:r>
          </w:p>
        </w:tc>
        <w:tc>
          <w:tcPr>
            <w:tcW w:w="626" w:type="pct"/>
            <w:tcBorders>
              <w:top w:val="single" w:sz="4" w:space="0" w:color="auto"/>
            </w:tcBorders>
          </w:tcPr>
          <w:p w14:paraId="08B7395F" w14:textId="1BBA6435" w:rsidR="00E40B17" w:rsidRPr="00355EF2" w:rsidRDefault="00E40B17" w:rsidP="00E40B17">
            <w:pPr>
              <w:jc w:val="right"/>
              <w:rPr>
                <w:rFonts w:ascii="Arial" w:hAnsi="Arial" w:cs="Arial"/>
                <w:sz w:val="22"/>
                <w:szCs w:val="22"/>
              </w:rPr>
            </w:pPr>
            <w:r w:rsidRPr="0018703F">
              <w:rPr>
                <w:rFonts w:ascii="Arial" w:hAnsi="Arial" w:cs="Arial"/>
              </w:rPr>
              <w:t>787</w:t>
            </w:r>
          </w:p>
        </w:tc>
        <w:tc>
          <w:tcPr>
            <w:tcW w:w="773" w:type="pct"/>
            <w:tcBorders>
              <w:top w:val="single" w:sz="4" w:space="0" w:color="auto"/>
            </w:tcBorders>
            <w:vAlign w:val="bottom"/>
          </w:tcPr>
          <w:p w14:paraId="7820AD9A" w14:textId="465644F1" w:rsidR="00E40B17" w:rsidRPr="00A845B7" w:rsidRDefault="00E40B17" w:rsidP="00E40B17">
            <w:pPr>
              <w:jc w:val="right"/>
              <w:rPr>
                <w:rFonts w:ascii="Arial" w:hAnsi="Arial" w:cs="Arial"/>
                <w:sz w:val="22"/>
                <w:szCs w:val="22"/>
              </w:rPr>
            </w:pPr>
            <w:r w:rsidRPr="00A845B7">
              <w:rPr>
                <w:rFonts w:ascii="Arial" w:hAnsi="Arial" w:cs="Arial"/>
                <w:sz w:val="22"/>
                <w:szCs w:val="22"/>
              </w:rPr>
              <w:t>+1.</w:t>
            </w:r>
            <w:r w:rsidR="00A01E40">
              <w:rPr>
                <w:rFonts w:ascii="Arial" w:hAnsi="Arial" w:cs="Arial"/>
                <w:sz w:val="22"/>
                <w:szCs w:val="22"/>
              </w:rPr>
              <w:t>3</w:t>
            </w:r>
            <w:r w:rsidRPr="00A845B7">
              <w:rPr>
                <w:rFonts w:ascii="Arial" w:hAnsi="Arial" w:cs="Arial"/>
                <w:sz w:val="22"/>
                <w:szCs w:val="22"/>
              </w:rPr>
              <w:t>%</w:t>
            </w:r>
          </w:p>
        </w:tc>
      </w:tr>
      <w:tr w:rsidR="00E40B17" w:rsidRPr="00A845B7" w14:paraId="1174DE16" w14:textId="77777777" w:rsidTr="006F78D1">
        <w:tc>
          <w:tcPr>
            <w:tcW w:w="2966" w:type="pct"/>
          </w:tcPr>
          <w:p w14:paraId="54A97205" w14:textId="77777777" w:rsidR="00E40B17" w:rsidRPr="00A845B7" w:rsidRDefault="00E40B17" w:rsidP="00E40B17">
            <w:pPr>
              <w:jc w:val="left"/>
              <w:rPr>
                <w:rFonts w:ascii="Arial" w:hAnsi="Arial" w:cs="Arial"/>
                <w:sz w:val="22"/>
                <w:szCs w:val="22"/>
              </w:rPr>
            </w:pPr>
            <w:r w:rsidRPr="00A845B7">
              <w:rPr>
                <w:rFonts w:ascii="Arial" w:hAnsi="Arial" w:cs="Arial"/>
                <w:sz w:val="22"/>
                <w:szCs w:val="22"/>
              </w:rPr>
              <w:t>Transformation P&amp;L costs</w:t>
            </w:r>
          </w:p>
        </w:tc>
        <w:tc>
          <w:tcPr>
            <w:tcW w:w="635" w:type="pct"/>
          </w:tcPr>
          <w:p w14:paraId="038803BC" w14:textId="010B1002" w:rsidR="00E40B17" w:rsidRPr="00A845B7" w:rsidRDefault="00E40B17" w:rsidP="00E40B17">
            <w:pPr>
              <w:jc w:val="right"/>
              <w:rPr>
                <w:rFonts w:ascii="Arial" w:hAnsi="Arial" w:cs="Arial"/>
                <w:b/>
                <w:sz w:val="22"/>
                <w:szCs w:val="22"/>
              </w:rPr>
            </w:pPr>
            <w:r w:rsidRPr="00A845B7">
              <w:rPr>
                <w:rFonts w:ascii="Arial" w:hAnsi="Arial" w:cs="Arial"/>
                <w:b/>
                <w:sz w:val="22"/>
                <w:szCs w:val="22"/>
              </w:rPr>
              <w:t>(</w:t>
            </w:r>
            <w:r w:rsidR="006B1FCF">
              <w:rPr>
                <w:rFonts w:ascii="Arial" w:hAnsi="Arial" w:cs="Arial"/>
                <w:b/>
                <w:sz w:val="22"/>
                <w:szCs w:val="22"/>
              </w:rPr>
              <w:t>11</w:t>
            </w:r>
            <w:r w:rsidRPr="00A845B7">
              <w:rPr>
                <w:rFonts w:ascii="Arial" w:hAnsi="Arial" w:cs="Arial"/>
                <w:b/>
                <w:sz w:val="22"/>
                <w:szCs w:val="22"/>
              </w:rPr>
              <w:t>4)</w:t>
            </w:r>
          </w:p>
        </w:tc>
        <w:tc>
          <w:tcPr>
            <w:tcW w:w="626" w:type="pct"/>
          </w:tcPr>
          <w:p w14:paraId="1403F594" w14:textId="58A3046B" w:rsidR="00E40B17" w:rsidRPr="00355EF2" w:rsidRDefault="00E40B17" w:rsidP="00E40B17">
            <w:pPr>
              <w:jc w:val="right"/>
              <w:rPr>
                <w:rFonts w:ascii="Arial" w:hAnsi="Arial" w:cs="Arial"/>
                <w:sz w:val="22"/>
                <w:szCs w:val="22"/>
              </w:rPr>
            </w:pPr>
            <w:r w:rsidRPr="0018703F">
              <w:rPr>
                <w:rFonts w:ascii="Arial" w:hAnsi="Arial" w:cs="Arial"/>
              </w:rPr>
              <w:t>(44)</w:t>
            </w:r>
          </w:p>
        </w:tc>
        <w:tc>
          <w:tcPr>
            <w:tcW w:w="773" w:type="pct"/>
            <w:vAlign w:val="bottom"/>
          </w:tcPr>
          <w:p w14:paraId="76F0DDAB" w14:textId="77777777" w:rsidR="00E40B17" w:rsidRPr="00A845B7" w:rsidRDefault="00E40B17" w:rsidP="00E40B17">
            <w:pPr>
              <w:jc w:val="right"/>
              <w:rPr>
                <w:rFonts w:ascii="Arial" w:hAnsi="Arial" w:cs="Arial"/>
                <w:sz w:val="22"/>
                <w:szCs w:val="22"/>
              </w:rPr>
            </w:pPr>
          </w:p>
        </w:tc>
      </w:tr>
      <w:tr w:rsidR="00E40B17" w:rsidRPr="00A845B7" w14:paraId="26136E1F" w14:textId="77777777" w:rsidTr="006F78D1">
        <w:tc>
          <w:tcPr>
            <w:tcW w:w="2966" w:type="pct"/>
            <w:tcBorders>
              <w:top w:val="single" w:sz="4" w:space="0" w:color="auto"/>
            </w:tcBorders>
          </w:tcPr>
          <w:p w14:paraId="4B78BA4C" w14:textId="77777777" w:rsidR="00E40B17" w:rsidRPr="00A845B7" w:rsidRDefault="00E40B17" w:rsidP="00E40B17">
            <w:pPr>
              <w:jc w:val="left"/>
              <w:rPr>
                <w:rFonts w:ascii="Arial" w:hAnsi="Arial" w:cs="Arial"/>
                <w:b/>
                <w:sz w:val="22"/>
                <w:szCs w:val="22"/>
              </w:rPr>
            </w:pPr>
            <w:r w:rsidRPr="00A845B7">
              <w:rPr>
                <w:rFonts w:ascii="Arial" w:hAnsi="Arial" w:cs="Arial"/>
                <w:b/>
                <w:sz w:val="22"/>
                <w:szCs w:val="22"/>
              </w:rPr>
              <w:t>Adjusted pre-tax profit</w:t>
            </w:r>
          </w:p>
        </w:tc>
        <w:tc>
          <w:tcPr>
            <w:tcW w:w="635" w:type="pct"/>
            <w:tcBorders>
              <w:top w:val="single" w:sz="4" w:space="0" w:color="auto"/>
            </w:tcBorders>
          </w:tcPr>
          <w:p w14:paraId="718FDA4F" w14:textId="769FB50D" w:rsidR="00E40B17" w:rsidRPr="00A845B7" w:rsidRDefault="006B1FCF" w:rsidP="00E40B17">
            <w:pPr>
              <w:jc w:val="right"/>
              <w:rPr>
                <w:rFonts w:ascii="Arial" w:hAnsi="Arial" w:cs="Arial"/>
                <w:b/>
                <w:sz w:val="22"/>
                <w:szCs w:val="22"/>
              </w:rPr>
            </w:pPr>
            <w:r>
              <w:rPr>
                <w:rFonts w:ascii="Arial" w:hAnsi="Arial" w:cs="Arial"/>
                <w:b/>
                <w:sz w:val="22"/>
                <w:szCs w:val="22"/>
              </w:rPr>
              <w:t>68</w:t>
            </w:r>
            <w:r w:rsidR="00653BF6">
              <w:rPr>
                <w:rFonts w:ascii="Arial" w:hAnsi="Arial" w:cs="Arial"/>
                <w:b/>
                <w:sz w:val="22"/>
                <w:szCs w:val="22"/>
              </w:rPr>
              <w:t>3</w:t>
            </w:r>
          </w:p>
        </w:tc>
        <w:tc>
          <w:tcPr>
            <w:tcW w:w="626" w:type="pct"/>
            <w:tcBorders>
              <w:top w:val="single" w:sz="4" w:space="0" w:color="auto"/>
            </w:tcBorders>
          </w:tcPr>
          <w:p w14:paraId="36B70DB3" w14:textId="00ED5B6F" w:rsidR="00E40B17" w:rsidRPr="00355EF2" w:rsidRDefault="00E40B17" w:rsidP="00E40B17">
            <w:pPr>
              <w:jc w:val="right"/>
              <w:rPr>
                <w:rFonts w:ascii="Arial" w:hAnsi="Arial" w:cs="Arial"/>
                <w:sz w:val="22"/>
                <w:szCs w:val="22"/>
              </w:rPr>
            </w:pPr>
            <w:r w:rsidRPr="0018703F">
              <w:rPr>
                <w:rFonts w:ascii="Arial" w:hAnsi="Arial" w:cs="Arial"/>
              </w:rPr>
              <w:t>743</w:t>
            </w:r>
          </w:p>
        </w:tc>
        <w:tc>
          <w:tcPr>
            <w:tcW w:w="773" w:type="pct"/>
            <w:tcBorders>
              <w:top w:val="single" w:sz="4" w:space="0" w:color="auto"/>
            </w:tcBorders>
            <w:vAlign w:val="bottom"/>
          </w:tcPr>
          <w:p w14:paraId="27954F64" w14:textId="3FD24E5C" w:rsidR="00E40B17" w:rsidRPr="00A845B7" w:rsidRDefault="006B1FCF" w:rsidP="00E40B17">
            <w:pPr>
              <w:jc w:val="right"/>
              <w:rPr>
                <w:rFonts w:ascii="Arial" w:hAnsi="Arial" w:cs="Arial"/>
                <w:sz w:val="22"/>
                <w:szCs w:val="22"/>
              </w:rPr>
            </w:pPr>
            <w:r>
              <w:rPr>
                <w:rFonts w:ascii="Arial" w:hAnsi="Arial" w:cs="Arial"/>
                <w:sz w:val="22"/>
                <w:szCs w:val="22"/>
              </w:rPr>
              <w:t>(</w:t>
            </w:r>
            <w:proofErr w:type="gramStart"/>
            <w:r w:rsidR="00A01E40">
              <w:rPr>
                <w:rFonts w:ascii="Arial" w:hAnsi="Arial" w:cs="Arial"/>
                <w:sz w:val="22"/>
                <w:szCs w:val="22"/>
              </w:rPr>
              <w:t>8</w:t>
            </w:r>
            <w:r w:rsidR="00E40B17" w:rsidRPr="00A845B7">
              <w:rPr>
                <w:rFonts w:ascii="Arial" w:hAnsi="Arial" w:cs="Arial"/>
                <w:sz w:val="22"/>
                <w:szCs w:val="22"/>
              </w:rPr>
              <w:t>.</w:t>
            </w:r>
            <w:r w:rsidR="00A01E40">
              <w:rPr>
                <w:rFonts w:ascii="Arial" w:hAnsi="Arial" w:cs="Arial"/>
                <w:sz w:val="22"/>
                <w:szCs w:val="22"/>
              </w:rPr>
              <w:t>1</w:t>
            </w:r>
            <w:r>
              <w:rPr>
                <w:rFonts w:ascii="Arial" w:hAnsi="Arial" w:cs="Arial"/>
                <w:sz w:val="22"/>
                <w:szCs w:val="22"/>
              </w:rPr>
              <w:t>)</w:t>
            </w:r>
            <w:r w:rsidR="00E40B17" w:rsidRPr="00A845B7">
              <w:rPr>
                <w:rFonts w:ascii="Arial" w:hAnsi="Arial" w:cs="Arial"/>
                <w:sz w:val="22"/>
                <w:szCs w:val="22"/>
              </w:rPr>
              <w:t>%</w:t>
            </w:r>
            <w:proofErr w:type="gramEnd"/>
          </w:p>
        </w:tc>
      </w:tr>
      <w:tr w:rsidR="00E40B17" w:rsidRPr="00A845B7" w14:paraId="739AB29F" w14:textId="77777777" w:rsidTr="006F78D1">
        <w:tc>
          <w:tcPr>
            <w:tcW w:w="2966" w:type="pct"/>
            <w:tcBorders>
              <w:bottom w:val="single" w:sz="4" w:space="0" w:color="auto"/>
            </w:tcBorders>
          </w:tcPr>
          <w:p w14:paraId="3A4265C3" w14:textId="77777777" w:rsidR="00E40B17" w:rsidRPr="00A845B7" w:rsidRDefault="00E40B17" w:rsidP="00E40B17">
            <w:pPr>
              <w:jc w:val="left"/>
              <w:rPr>
                <w:rFonts w:ascii="Arial" w:hAnsi="Arial" w:cs="Arial"/>
                <w:sz w:val="22"/>
                <w:szCs w:val="22"/>
              </w:rPr>
            </w:pPr>
            <w:r w:rsidRPr="00A845B7">
              <w:rPr>
                <w:rFonts w:ascii="Arial" w:hAnsi="Arial" w:cs="Arial"/>
                <w:sz w:val="22"/>
                <w:szCs w:val="22"/>
              </w:rPr>
              <w:t>FFVR</w:t>
            </w:r>
          </w:p>
        </w:tc>
        <w:tc>
          <w:tcPr>
            <w:tcW w:w="635" w:type="pct"/>
            <w:tcBorders>
              <w:bottom w:val="single" w:sz="4" w:space="0" w:color="auto"/>
            </w:tcBorders>
          </w:tcPr>
          <w:p w14:paraId="2046B991" w14:textId="77777777" w:rsidR="00E40B17" w:rsidRPr="00A845B7" w:rsidRDefault="00E40B17" w:rsidP="00E40B17">
            <w:pPr>
              <w:jc w:val="right"/>
              <w:rPr>
                <w:rFonts w:ascii="Arial" w:hAnsi="Arial" w:cs="Arial"/>
                <w:b/>
                <w:sz w:val="22"/>
                <w:szCs w:val="22"/>
              </w:rPr>
            </w:pPr>
            <w:r>
              <w:rPr>
                <w:rFonts w:ascii="Arial" w:hAnsi="Arial" w:cs="Arial"/>
                <w:b/>
                <w:sz w:val="22"/>
                <w:szCs w:val="22"/>
              </w:rPr>
              <w:t>(1</w:t>
            </w:r>
            <w:r w:rsidRPr="00A845B7">
              <w:rPr>
                <w:rFonts w:ascii="Arial" w:hAnsi="Arial" w:cs="Arial"/>
                <w:b/>
                <w:sz w:val="22"/>
                <w:szCs w:val="22"/>
              </w:rPr>
              <w:t>)</w:t>
            </w:r>
          </w:p>
        </w:tc>
        <w:tc>
          <w:tcPr>
            <w:tcW w:w="626" w:type="pct"/>
            <w:tcBorders>
              <w:bottom w:val="single" w:sz="4" w:space="0" w:color="auto"/>
            </w:tcBorders>
          </w:tcPr>
          <w:p w14:paraId="5449AD57" w14:textId="1657E56F" w:rsidR="00E40B17" w:rsidRPr="00355EF2" w:rsidRDefault="00E40B17" w:rsidP="00E40B17">
            <w:pPr>
              <w:jc w:val="right"/>
              <w:rPr>
                <w:rFonts w:ascii="Arial" w:hAnsi="Arial" w:cs="Arial"/>
                <w:sz w:val="22"/>
                <w:szCs w:val="22"/>
              </w:rPr>
            </w:pPr>
            <w:r w:rsidRPr="0018703F">
              <w:rPr>
                <w:rFonts w:ascii="Arial" w:hAnsi="Arial" w:cs="Arial"/>
              </w:rPr>
              <w:t>(1)</w:t>
            </w:r>
          </w:p>
        </w:tc>
        <w:tc>
          <w:tcPr>
            <w:tcW w:w="773" w:type="pct"/>
            <w:tcBorders>
              <w:bottom w:val="single" w:sz="4" w:space="0" w:color="auto"/>
            </w:tcBorders>
            <w:vAlign w:val="bottom"/>
          </w:tcPr>
          <w:p w14:paraId="298BCF41" w14:textId="77777777" w:rsidR="00E40B17" w:rsidRPr="00A845B7" w:rsidRDefault="00E40B17" w:rsidP="00E40B17">
            <w:pPr>
              <w:jc w:val="right"/>
              <w:rPr>
                <w:rFonts w:ascii="Arial" w:hAnsi="Arial" w:cs="Arial"/>
                <w:sz w:val="22"/>
                <w:szCs w:val="22"/>
                <w:highlight w:val="yellow"/>
              </w:rPr>
            </w:pPr>
          </w:p>
        </w:tc>
      </w:tr>
      <w:tr w:rsidR="00E40B17" w:rsidRPr="00A845B7" w14:paraId="30277626" w14:textId="77777777" w:rsidTr="006F78D1">
        <w:tc>
          <w:tcPr>
            <w:tcW w:w="2966" w:type="pct"/>
            <w:tcBorders>
              <w:top w:val="single" w:sz="4" w:space="0" w:color="auto"/>
            </w:tcBorders>
          </w:tcPr>
          <w:p w14:paraId="10C37EF1" w14:textId="77777777" w:rsidR="00E40B17" w:rsidRPr="00A845B7" w:rsidRDefault="00E40B17" w:rsidP="00E40B17">
            <w:pPr>
              <w:jc w:val="left"/>
              <w:rPr>
                <w:rFonts w:ascii="Arial" w:hAnsi="Arial" w:cs="Arial"/>
                <w:sz w:val="22"/>
                <w:szCs w:val="22"/>
              </w:rPr>
            </w:pPr>
            <w:r w:rsidRPr="00A845B7">
              <w:rPr>
                <w:rFonts w:ascii="Arial" w:hAnsi="Arial" w:cs="Arial"/>
                <w:sz w:val="22"/>
                <w:szCs w:val="22"/>
              </w:rPr>
              <w:t>Profit before exceptional items and tax</w:t>
            </w:r>
          </w:p>
        </w:tc>
        <w:tc>
          <w:tcPr>
            <w:tcW w:w="635" w:type="pct"/>
            <w:tcBorders>
              <w:top w:val="single" w:sz="4" w:space="0" w:color="auto"/>
            </w:tcBorders>
          </w:tcPr>
          <w:p w14:paraId="36E99CB9" w14:textId="0214FE96" w:rsidR="00E40B17" w:rsidRPr="00A845B7" w:rsidRDefault="006B1FCF" w:rsidP="00E40B17">
            <w:pPr>
              <w:jc w:val="right"/>
              <w:rPr>
                <w:rFonts w:ascii="Arial" w:hAnsi="Arial" w:cs="Arial"/>
                <w:b/>
                <w:sz w:val="22"/>
                <w:szCs w:val="22"/>
              </w:rPr>
            </w:pPr>
            <w:r>
              <w:rPr>
                <w:rFonts w:ascii="Arial" w:hAnsi="Arial" w:cs="Arial"/>
                <w:b/>
                <w:sz w:val="22"/>
                <w:szCs w:val="22"/>
              </w:rPr>
              <w:t>68</w:t>
            </w:r>
            <w:r w:rsidR="00653BF6">
              <w:rPr>
                <w:rFonts w:ascii="Arial" w:hAnsi="Arial" w:cs="Arial"/>
                <w:b/>
                <w:sz w:val="22"/>
                <w:szCs w:val="22"/>
              </w:rPr>
              <w:t>2</w:t>
            </w:r>
          </w:p>
        </w:tc>
        <w:tc>
          <w:tcPr>
            <w:tcW w:w="626" w:type="pct"/>
            <w:tcBorders>
              <w:top w:val="single" w:sz="4" w:space="0" w:color="auto"/>
            </w:tcBorders>
          </w:tcPr>
          <w:p w14:paraId="3B2E2F63" w14:textId="45098FAE" w:rsidR="00E40B17" w:rsidRPr="00355EF2" w:rsidRDefault="00E40B17" w:rsidP="00E40B17">
            <w:pPr>
              <w:jc w:val="right"/>
              <w:rPr>
                <w:rFonts w:ascii="Arial" w:hAnsi="Arial" w:cs="Arial"/>
                <w:sz w:val="22"/>
                <w:szCs w:val="22"/>
              </w:rPr>
            </w:pPr>
            <w:r w:rsidRPr="0018703F">
              <w:rPr>
                <w:rFonts w:ascii="Arial" w:hAnsi="Arial" w:cs="Arial"/>
              </w:rPr>
              <w:t>742</w:t>
            </w:r>
          </w:p>
        </w:tc>
        <w:tc>
          <w:tcPr>
            <w:tcW w:w="773" w:type="pct"/>
            <w:tcBorders>
              <w:top w:val="single" w:sz="4" w:space="0" w:color="auto"/>
            </w:tcBorders>
            <w:vAlign w:val="bottom"/>
          </w:tcPr>
          <w:p w14:paraId="75DCBC0F" w14:textId="7A7767D4" w:rsidR="00E40B17" w:rsidRPr="00A845B7" w:rsidRDefault="006B1FCF" w:rsidP="00E40B17">
            <w:pPr>
              <w:jc w:val="right"/>
              <w:rPr>
                <w:rFonts w:ascii="Arial" w:hAnsi="Arial" w:cs="Arial"/>
                <w:sz w:val="22"/>
                <w:szCs w:val="22"/>
              </w:rPr>
            </w:pPr>
            <w:r>
              <w:rPr>
                <w:rFonts w:ascii="Arial" w:hAnsi="Arial" w:cs="Arial"/>
                <w:sz w:val="22"/>
                <w:szCs w:val="22"/>
              </w:rPr>
              <w:t>(</w:t>
            </w:r>
            <w:proofErr w:type="gramStart"/>
            <w:r>
              <w:rPr>
                <w:rFonts w:ascii="Arial" w:hAnsi="Arial" w:cs="Arial"/>
                <w:sz w:val="22"/>
                <w:szCs w:val="22"/>
              </w:rPr>
              <w:t>8.</w:t>
            </w:r>
            <w:r w:rsidR="00A01E40">
              <w:rPr>
                <w:rFonts w:ascii="Arial" w:hAnsi="Arial" w:cs="Arial"/>
                <w:sz w:val="22"/>
                <w:szCs w:val="22"/>
              </w:rPr>
              <w:t>1</w:t>
            </w:r>
            <w:r>
              <w:rPr>
                <w:rFonts w:ascii="Arial" w:hAnsi="Arial" w:cs="Arial"/>
                <w:sz w:val="22"/>
                <w:szCs w:val="22"/>
              </w:rPr>
              <w:t>)</w:t>
            </w:r>
            <w:r w:rsidR="00E40B17" w:rsidRPr="00A845B7">
              <w:rPr>
                <w:rFonts w:ascii="Arial" w:hAnsi="Arial" w:cs="Arial"/>
                <w:sz w:val="22"/>
                <w:szCs w:val="22"/>
              </w:rPr>
              <w:t>%</w:t>
            </w:r>
            <w:proofErr w:type="gramEnd"/>
          </w:p>
        </w:tc>
      </w:tr>
      <w:tr w:rsidR="00E40B17" w:rsidRPr="00A845B7" w14:paraId="00F0B43F" w14:textId="77777777" w:rsidTr="006F78D1">
        <w:tc>
          <w:tcPr>
            <w:tcW w:w="2966" w:type="pct"/>
            <w:tcBorders>
              <w:bottom w:val="single" w:sz="4" w:space="0" w:color="auto"/>
            </w:tcBorders>
          </w:tcPr>
          <w:p w14:paraId="74EC5C74" w14:textId="77777777" w:rsidR="00E40B17" w:rsidRPr="00A845B7" w:rsidRDefault="00E40B17" w:rsidP="00E40B17">
            <w:pPr>
              <w:jc w:val="left"/>
              <w:rPr>
                <w:rFonts w:ascii="Arial" w:hAnsi="Arial" w:cs="Arial"/>
                <w:sz w:val="22"/>
                <w:szCs w:val="22"/>
              </w:rPr>
            </w:pPr>
            <w:r w:rsidRPr="00A845B7">
              <w:rPr>
                <w:rFonts w:ascii="Arial" w:hAnsi="Arial" w:cs="Arial"/>
                <w:sz w:val="22"/>
                <w:szCs w:val="22"/>
              </w:rPr>
              <w:t>Exceptional items before tax</w:t>
            </w:r>
          </w:p>
        </w:tc>
        <w:tc>
          <w:tcPr>
            <w:tcW w:w="635" w:type="pct"/>
            <w:tcBorders>
              <w:bottom w:val="single" w:sz="4" w:space="0" w:color="auto"/>
            </w:tcBorders>
          </w:tcPr>
          <w:p w14:paraId="2AA3C760" w14:textId="215A0D94" w:rsidR="00E40B17" w:rsidRPr="00A845B7" w:rsidRDefault="00E54CF3" w:rsidP="00E40B17">
            <w:pPr>
              <w:jc w:val="right"/>
              <w:rPr>
                <w:rFonts w:ascii="Arial" w:hAnsi="Arial" w:cs="Arial"/>
                <w:b/>
                <w:sz w:val="22"/>
                <w:szCs w:val="22"/>
              </w:rPr>
            </w:pPr>
            <w:r>
              <w:rPr>
                <w:rFonts w:ascii="Arial" w:hAnsi="Arial" w:cs="Arial"/>
                <w:b/>
                <w:sz w:val="22"/>
                <w:szCs w:val="22"/>
              </w:rPr>
              <w:t>-</w:t>
            </w:r>
          </w:p>
        </w:tc>
        <w:tc>
          <w:tcPr>
            <w:tcW w:w="626" w:type="pct"/>
            <w:tcBorders>
              <w:bottom w:val="single" w:sz="4" w:space="0" w:color="auto"/>
            </w:tcBorders>
          </w:tcPr>
          <w:p w14:paraId="682483D1" w14:textId="1AD9D8D2" w:rsidR="00E40B17" w:rsidRPr="00355EF2" w:rsidRDefault="00E40B17" w:rsidP="00E40B17">
            <w:pPr>
              <w:jc w:val="right"/>
              <w:rPr>
                <w:rFonts w:ascii="Arial" w:hAnsi="Arial" w:cs="Arial"/>
                <w:sz w:val="22"/>
                <w:szCs w:val="22"/>
              </w:rPr>
            </w:pPr>
            <w:r w:rsidRPr="0018703F">
              <w:rPr>
                <w:rFonts w:ascii="Arial" w:hAnsi="Arial" w:cs="Arial"/>
              </w:rPr>
              <w:t>17</w:t>
            </w:r>
          </w:p>
        </w:tc>
        <w:tc>
          <w:tcPr>
            <w:tcW w:w="773" w:type="pct"/>
            <w:tcBorders>
              <w:bottom w:val="single" w:sz="4" w:space="0" w:color="auto"/>
            </w:tcBorders>
            <w:vAlign w:val="bottom"/>
          </w:tcPr>
          <w:p w14:paraId="5BE1CFE0" w14:textId="77777777" w:rsidR="00E40B17" w:rsidRPr="00A845B7" w:rsidRDefault="00E40B17" w:rsidP="00E40B17">
            <w:pPr>
              <w:jc w:val="right"/>
              <w:rPr>
                <w:rFonts w:ascii="Arial" w:hAnsi="Arial" w:cs="Arial"/>
                <w:sz w:val="22"/>
                <w:szCs w:val="22"/>
              </w:rPr>
            </w:pPr>
          </w:p>
        </w:tc>
      </w:tr>
      <w:tr w:rsidR="00E40B17" w:rsidRPr="00A845B7" w14:paraId="355B9692" w14:textId="77777777" w:rsidTr="006F78D1">
        <w:tc>
          <w:tcPr>
            <w:tcW w:w="2966" w:type="pct"/>
            <w:tcBorders>
              <w:top w:val="single" w:sz="4" w:space="0" w:color="auto"/>
              <w:bottom w:val="single" w:sz="4" w:space="0" w:color="auto"/>
            </w:tcBorders>
          </w:tcPr>
          <w:p w14:paraId="2D3F8FA2" w14:textId="77777777" w:rsidR="00E40B17" w:rsidRPr="00A845B7" w:rsidRDefault="00E40B17" w:rsidP="00E40B17">
            <w:pPr>
              <w:jc w:val="left"/>
              <w:rPr>
                <w:rFonts w:ascii="Arial" w:hAnsi="Arial" w:cs="Arial"/>
                <w:b/>
                <w:sz w:val="22"/>
                <w:szCs w:val="22"/>
              </w:rPr>
            </w:pPr>
            <w:r w:rsidRPr="00A845B7">
              <w:rPr>
                <w:rFonts w:ascii="Arial" w:hAnsi="Arial" w:cs="Arial"/>
                <w:b/>
                <w:sz w:val="22"/>
                <w:szCs w:val="22"/>
              </w:rPr>
              <w:t>Statutory pre-tax profit</w:t>
            </w:r>
          </w:p>
        </w:tc>
        <w:tc>
          <w:tcPr>
            <w:tcW w:w="635" w:type="pct"/>
            <w:tcBorders>
              <w:top w:val="single" w:sz="4" w:space="0" w:color="auto"/>
              <w:bottom w:val="single" w:sz="4" w:space="0" w:color="auto"/>
            </w:tcBorders>
          </w:tcPr>
          <w:p w14:paraId="7A75FCE9" w14:textId="51D717B8" w:rsidR="00E40B17" w:rsidRPr="00A845B7" w:rsidRDefault="006B1FCF" w:rsidP="00E40B17">
            <w:pPr>
              <w:jc w:val="right"/>
              <w:rPr>
                <w:rFonts w:ascii="Arial" w:hAnsi="Arial" w:cs="Arial"/>
                <w:b/>
                <w:sz w:val="22"/>
                <w:szCs w:val="22"/>
              </w:rPr>
            </w:pPr>
            <w:r>
              <w:rPr>
                <w:rFonts w:ascii="Arial" w:hAnsi="Arial" w:cs="Arial"/>
                <w:b/>
                <w:sz w:val="22"/>
                <w:szCs w:val="22"/>
              </w:rPr>
              <w:t>68</w:t>
            </w:r>
            <w:r w:rsidR="00653BF6">
              <w:rPr>
                <w:rFonts w:ascii="Arial" w:hAnsi="Arial" w:cs="Arial"/>
                <w:b/>
                <w:sz w:val="22"/>
                <w:szCs w:val="22"/>
              </w:rPr>
              <w:t>2</w:t>
            </w:r>
          </w:p>
        </w:tc>
        <w:tc>
          <w:tcPr>
            <w:tcW w:w="626" w:type="pct"/>
            <w:tcBorders>
              <w:top w:val="single" w:sz="4" w:space="0" w:color="auto"/>
              <w:bottom w:val="single" w:sz="4" w:space="0" w:color="auto"/>
            </w:tcBorders>
          </w:tcPr>
          <w:p w14:paraId="1B7471CB" w14:textId="325FC0EA" w:rsidR="00E40B17" w:rsidRPr="00355EF2" w:rsidRDefault="00E40B17" w:rsidP="00E40B17">
            <w:pPr>
              <w:jc w:val="right"/>
              <w:rPr>
                <w:rFonts w:ascii="Arial" w:hAnsi="Arial" w:cs="Arial"/>
                <w:sz w:val="22"/>
                <w:szCs w:val="22"/>
              </w:rPr>
            </w:pPr>
            <w:r w:rsidRPr="0018703F">
              <w:rPr>
                <w:rFonts w:ascii="Arial" w:hAnsi="Arial" w:cs="Arial"/>
              </w:rPr>
              <w:t>759</w:t>
            </w:r>
          </w:p>
        </w:tc>
        <w:tc>
          <w:tcPr>
            <w:tcW w:w="773" w:type="pct"/>
            <w:tcBorders>
              <w:top w:val="single" w:sz="4" w:space="0" w:color="auto"/>
              <w:bottom w:val="single" w:sz="4" w:space="0" w:color="auto"/>
            </w:tcBorders>
            <w:vAlign w:val="bottom"/>
          </w:tcPr>
          <w:p w14:paraId="5D3E2D45" w14:textId="43B5C762" w:rsidR="00E40B17" w:rsidRPr="00A845B7" w:rsidRDefault="006B1FCF" w:rsidP="00E40B17">
            <w:pPr>
              <w:jc w:val="right"/>
              <w:rPr>
                <w:rFonts w:ascii="Arial" w:hAnsi="Arial" w:cs="Arial"/>
                <w:sz w:val="22"/>
                <w:szCs w:val="22"/>
              </w:rPr>
            </w:pPr>
            <w:r>
              <w:rPr>
                <w:rFonts w:ascii="Arial" w:hAnsi="Arial" w:cs="Arial"/>
                <w:sz w:val="22"/>
                <w:szCs w:val="22"/>
              </w:rPr>
              <w:t>(</w:t>
            </w:r>
            <w:proofErr w:type="gramStart"/>
            <w:r>
              <w:rPr>
                <w:rFonts w:ascii="Arial" w:hAnsi="Arial" w:cs="Arial"/>
                <w:sz w:val="22"/>
                <w:szCs w:val="22"/>
              </w:rPr>
              <w:t>10.</w:t>
            </w:r>
            <w:r w:rsidR="00A01E40">
              <w:rPr>
                <w:rFonts w:ascii="Arial" w:hAnsi="Arial" w:cs="Arial"/>
                <w:sz w:val="22"/>
                <w:szCs w:val="22"/>
              </w:rPr>
              <w:t>1</w:t>
            </w:r>
            <w:r>
              <w:rPr>
                <w:rFonts w:ascii="Arial" w:hAnsi="Arial" w:cs="Arial"/>
                <w:sz w:val="22"/>
                <w:szCs w:val="22"/>
              </w:rPr>
              <w:t>)</w:t>
            </w:r>
            <w:r w:rsidR="00E40B17" w:rsidRPr="00A845B7">
              <w:rPr>
                <w:rFonts w:ascii="Arial" w:hAnsi="Arial" w:cs="Arial"/>
                <w:sz w:val="22"/>
                <w:szCs w:val="22"/>
              </w:rPr>
              <w:t>%</w:t>
            </w:r>
            <w:proofErr w:type="gramEnd"/>
          </w:p>
        </w:tc>
      </w:tr>
    </w:tbl>
    <w:p w14:paraId="0818038E" w14:textId="77777777" w:rsidR="00997637" w:rsidRDefault="00997637" w:rsidP="00997637">
      <w:pPr>
        <w:rPr>
          <w:rFonts w:ascii="Arial" w:hAnsi="Arial" w:cs="Arial"/>
          <w:b/>
          <w:sz w:val="24"/>
          <w:szCs w:val="24"/>
          <w:highlight w:val="yellow"/>
        </w:rPr>
      </w:pPr>
    </w:p>
    <w:p w14:paraId="1C4D1F67" w14:textId="42478CFA" w:rsidR="00997637" w:rsidRPr="00A845B7" w:rsidRDefault="00997637" w:rsidP="00997637">
      <w:pPr>
        <w:jc w:val="left"/>
        <w:rPr>
          <w:rFonts w:ascii="Arial" w:hAnsi="Arial" w:cs="Arial"/>
        </w:rPr>
      </w:pPr>
      <w:r w:rsidRPr="00686C6E">
        <w:rPr>
          <w:rFonts w:ascii="Arial" w:hAnsi="Arial" w:cs="Arial"/>
        </w:rPr>
        <w:t>Transformation P&amp;L costs of £</w:t>
      </w:r>
      <w:r w:rsidR="00703F58">
        <w:rPr>
          <w:rFonts w:ascii="Arial" w:hAnsi="Arial" w:cs="Arial"/>
        </w:rPr>
        <w:t>11</w:t>
      </w:r>
      <w:r w:rsidR="006B1FCF">
        <w:rPr>
          <w:rFonts w:ascii="Arial" w:hAnsi="Arial" w:cs="Arial"/>
        </w:rPr>
        <w:t>4</w:t>
      </w:r>
      <w:r w:rsidR="00703F58" w:rsidRPr="00686C6E">
        <w:rPr>
          <w:rFonts w:ascii="Arial" w:hAnsi="Arial" w:cs="Arial"/>
        </w:rPr>
        <w:t xml:space="preserve"> </w:t>
      </w:r>
      <w:r w:rsidRPr="00686C6E">
        <w:rPr>
          <w:rFonts w:ascii="Arial" w:hAnsi="Arial" w:cs="Arial"/>
        </w:rPr>
        <w:t xml:space="preserve">million principally relate to the unified and unique offer range </w:t>
      </w:r>
      <w:r w:rsidRPr="00A845B7">
        <w:rPr>
          <w:rFonts w:ascii="Arial" w:hAnsi="Arial" w:cs="Arial"/>
        </w:rPr>
        <w:t>implementation and the digital strategic pillar.</w:t>
      </w:r>
      <w:r w:rsidR="00EB3C37">
        <w:rPr>
          <w:rFonts w:ascii="Arial" w:hAnsi="Arial" w:cs="Arial"/>
        </w:rPr>
        <w:t xml:space="preserve"> </w:t>
      </w:r>
      <w:r w:rsidR="00EB3C37" w:rsidRPr="00EB3C37">
        <w:rPr>
          <w:rFonts w:ascii="Arial" w:hAnsi="Arial" w:cs="Arial"/>
        </w:rPr>
        <w:t xml:space="preserve">Range implementation activities principally comprise remerchandising work associated with introducing the unified and unique offer and incremental in-store labour costs and point of sale change. Digital transformation costs represent the initial revenue expenditure of investing in our core ecommerce platforms and in developing wider digital services to support </w:t>
      </w:r>
      <w:r w:rsidR="00E26457">
        <w:rPr>
          <w:rFonts w:ascii="Arial" w:hAnsi="Arial" w:cs="Arial"/>
        </w:rPr>
        <w:t>customers’</w:t>
      </w:r>
      <w:r w:rsidR="00EB3C37" w:rsidRPr="00EB3C37">
        <w:rPr>
          <w:rFonts w:ascii="Arial" w:hAnsi="Arial" w:cs="Arial"/>
        </w:rPr>
        <w:t xml:space="preserve"> home improvement projects.</w:t>
      </w:r>
    </w:p>
    <w:p w14:paraId="55BA6A77" w14:textId="77777777" w:rsidR="00997637" w:rsidRPr="00A845B7" w:rsidRDefault="00997637" w:rsidP="00997637">
      <w:pPr>
        <w:rPr>
          <w:rFonts w:ascii="Arial" w:hAnsi="Arial" w:cs="Arial"/>
          <w:highlight w:val="yellow"/>
        </w:rPr>
      </w:pPr>
    </w:p>
    <w:p w14:paraId="2AD7B9F1" w14:textId="52668BAF" w:rsidR="00CD3D76" w:rsidRPr="00A845B7" w:rsidRDefault="00997637" w:rsidP="00997637">
      <w:pPr>
        <w:jc w:val="left"/>
        <w:rPr>
          <w:rFonts w:ascii="Arial" w:hAnsi="Arial" w:cs="Arial"/>
        </w:rPr>
      </w:pPr>
      <w:r w:rsidRPr="00A845B7">
        <w:rPr>
          <w:rFonts w:ascii="Arial" w:hAnsi="Arial" w:cs="Arial"/>
          <w:b/>
        </w:rPr>
        <w:t>Exceptional items</w:t>
      </w:r>
      <w:r w:rsidRPr="00A845B7">
        <w:rPr>
          <w:rFonts w:ascii="Arial" w:hAnsi="Arial" w:cs="Arial"/>
        </w:rPr>
        <w:t xml:space="preserve"> (post tax) </w:t>
      </w:r>
      <w:r w:rsidR="00A01E40">
        <w:rPr>
          <w:rFonts w:ascii="Arial" w:hAnsi="Arial" w:cs="Arial"/>
        </w:rPr>
        <w:t xml:space="preserve">resulted in a net </w:t>
      </w:r>
      <w:r w:rsidR="00BA082A">
        <w:rPr>
          <w:rFonts w:ascii="Arial" w:hAnsi="Arial" w:cs="Arial"/>
        </w:rPr>
        <w:t>nil impact</w:t>
      </w:r>
      <w:r w:rsidR="00A01E40">
        <w:rPr>
          <w:rFonts w:ascii="Arial" w:hAnsi="Arial" w:cs="Arial"/>
        </w:rPr>
        <w:t xml:space="preserve"> </w:t>
      </w:r>
      <w:r w:rsidR="00D86819" w:rsidRPr="00A845B7">
        <w:rPr>
          <w:rFonts w:ascii="Arial" w:hAnsi="Arial" w:cs="Arial"/>
        </w:rPr>
        <w:t>(201</w:t>
      </w:r>
      <w:r w:rsidR="00D86819">
        <w:rPr>
          <w:rFonts w:ascii="Arial" w:hAnsi="Arial" w:cs="Arial"/>
        </w:rPr>
        <w:t>6</w:t>
      </w:r>
      <w:r w:rsidR="00D86819" w:rsidRPr="00A845B7">
        <w:rPr>
          <w:rFonts w:ascii="Arial" w:hAnsi="Arial" w:cs="Arial"/>
        </w:rPr>
        <w:t>/1</w:t>
      </w:r>
      <w:r w:rsidR="00D86819">
        <w:rPr>
          <w:rFonts w:ascii="Arial" w:hAnsi="Arial" w:cs="Arial"/>
        </w:rPr>
        <w:t>7</w:t>
      </w:r>
      <w:r w:rsidR="00D86819" w:rsidRPr="00A845B7">
        <w:rPr>
          <w:rFonts w:ascii="Arial" w:hAnsi="Arial" w:cs="Arial"/>
        </w:rPr>
        <w:t>: £</w:t>
      </w:r>
      <w:r w:rsidR="00D86819">
        <w:rPr>
          <w:rFonts w:ascii="Arial" w:hAnsi="Arial" w:cs="Arial"/>
        </w:rPr>
        <w:t>11</w:t>
      </w:r>
      <w:r w:rsidR="00D86819" w:rsidRPr="00A845B7">
        <w:rPr>
          <w:rFonts w:ascii="Arial" w:hAnsi="Arial" w:cs="Arial"/>
        </w:rPr>
        <w:t xml:space="preserve"> million </w:t>
      </w:r>
      <w:r w:rsidR="00D86819">
        <w:rPr>
          <w:rFonts w:ascii="Arial" w:hAnsi="Arial" w:cs="Arial"/>
        </w:rPr>
        <w:t>gain</w:t>
      </w:r>
      <w:r w:rsidR="00D86819" w:rsidRPr="00A845B7">
        <w:rPr>
          <w:rFonts w:ascii="Arial" w:hAnsi="Arial" w:cs="Arial"/>
        </w:rPr>
        <w:t>)</w:t>
      </w:r>
      <w:r w:rsidRPr="00A845B7">
        <w:rPr>
          <w:rFonts w:ascii="Arial" w:hAnsi="Arial" w:cs="Arial"/>
        </w:rPr>
        <w:t xml:space="preserve"> </w:t>
      </w:r>
      <w:r w:rsidR="00514690">
        <w:rPr>
          <w:rFonts w:ascii="Arial" w:hAnsi="Arial" w:cs="Arial"/>
        </w:rPr>
        <w:t xml:space="preserve">as transformation exceptional costs of £15m were offset by other exceptional gains </w:t>
      </w:r>
      <w:r w:rsidRPr="00A845B7">
        <w:rPr>
          <w:rFonts w:ascii="Arial" w:hAnsi="Arial" w:cs="Arial"/>
        </w:rPr>
        <w:t>of £</w:t>
      </w:r>
      <w:r w:rsidR="00514690">
        <w:rPr>
          <w:rFonts w:ascii="Arial" w:hAnsi="Arial" w:cs="Arial"/>
        </w:rPr>
        <w:t>1</w:t>
      </w:r>
      <w:r w:rsidR="00A01E40">
        <w:rPr>
          <w:rFonts w:ascii="Arial" w:hAnsi="Arial" w:cs="Arial"/>
        </w:rPr>
        <w:t>5</w:t>
      </w:r>
      <w:r w:rsidR="00514690" w:rsidRPr="00A845B7">
        <w:rPr>
          <w:rFonts w:ascii="Arial" w:hAnsi="Arial" w:cs="Arial"/>
        </w:rPr>
        <w:t xml:space="preserve"> </w:t>
      </w:r>
      <w:r w:rsidRPr="00A845B7">
        <w:rPr>
          <w:rFonts w:ascii="Arial" w:hAnsi="Arial" w:cs="Arial"/>
        </w:rPr>
        <w:t>million as detailed below:</w:t>
      </w:r>
    </w:p>
    <w:tbl>
      <w:tblPr>
        <w:tblW w:w="5001" w:type="pct"/>
        <w:tblLook w:val="04A0" w:firstRow="1" w:lastRow="0" w:firstColumn="1" w:lastColumn="0" w:noHBand="0" w:noVBand="1"/>
      </w:tblPr>
      <w:tblGrid>
        <w:gridCol w:w="5962"/>
        <w:gridCol w:w="1882"/>
        <w:gridCol w:w="1799"/>
      </w:tblGrid>
      <w:tr w:rsidR="00997637" w:rsidRPr="00A845B7" w14:paraId="01C246F5" w14:textId="77777777" w:rsidTr="00F24C8A">
        <w:trPr>
          <w:trHeight w:val="525"/>
        </w:trPr>
        <w:tc>
          <w:tcPr>
            <w:tcW w:w="3091" w:type="pct"/>
            <w:tcBorders>
              <w:top w:val="nil"/>
              <w:left w:val="nil"/>
              <w:bottom w:val="single" w:sz="4" w:space="0" w:color="auto"/>
              <w:right w:val="nil"/>
            </w:tcBorders>
            <w:vAlign w:val="bottom"/>
          </w:tcPr>
          <w:p w14:paraId="080ADA02" w14:textId="77777777" w:rsidR="00997637" w:rsidRPr="00A845B7" w:rsidRDefault="00997637" w:rsidP="00F24C8A">
            <w:pPr>
              <w:jc w:val="left"/>
              <w:rPr>
                <w:rFonts w:ascii="Arial" w:hAnsi="Arial" w:cs="Arial"/>
                <w:bCs/>
              </w:rPr>
            </w:pPr>
          </w:p>
        </w:tc>
        <w:tc>
          <w:tcPr>
            <w:tcW w:w="976" w:type="pct"/>
            <w:tcBorders>
              <w:top w:val="nil"/>
              <w:left w:val="nil"/>
              <w:bottom w:val="single" w:sz="4" w:space="0" w:color="auto"/>
              <w:right w:val="nil"/>
            </w:tcBorders>
            <w:vAlign w:val="bottom"/>
            <w:hideMark/>
          </w:tcPr>
          <w:p w14:paraId="235A3D98" w14:textId="7A47437F" w:rsidR="00997637" w:rsidRPr="00A845B7" w:rsidRDefault="00997637" w:rsidP="00F24C8A">
            <w:pPr>
              <w:jc w:val="right"/>
              <w:rPr>
                <w:rFonts w:ascii="Arial" w:hAnsi="Arial" w:cs="Arial"/>
                <w:b/>
                <w:bCs/>
              </w:rPr>
            </w:pPr>
            <w:r w:rsidRPr="00A845B7">
              <w:rPr>
                <w:rFonts w:ascii="Arial" w:hAnsi="Arial" w:cs="Arial"/>
                <w:b/>
                <w:bCs/>
              </w:rPr>
              <w:t>201</w:t>
            </w:r>
            <w:r w:rsidR="00E40B17">
              <w:rPr>
                <w:rFonts w:ascii="Arial" w:hAnsi="Arial" w:cs="Arial"/>
                <w:b/>
                <w:bCs/>
              </w:rPr>
              <w:t>7</w:t>
            </w:r>
            <w:r w:rsidRPr="00A845B7">
              <w:rPr>
                <w:rFonts w:ascii="Arial" w:hAnsi="Arial" w:cs="Arial"/>
                <w:b/>
                <w:bCs/>
              </w:rPr>
              <w:t>/1</w:t>
            </w:r>
            <w:r w:rsidR="00E40B17">
              <w:rPr>
                <w:rFonts w:ascii="Arial" w:hAnsi="Arial" w:cs="Arial"/>
                <w:b/>
                <w:bCs/>
              </w:rPr>
              <w:t>8</w:t>
            </w:r>
          </w:p>
          <w:p w14:paraId="57F9B2E7" w14:textId="77777777" w:rsidR="00997637" w:rsidRPr="00A845B7" w:rsidRDefault="00997637" w:rsidP="00F24C8A">
            <w:pPr>
              <w:jc w:val="right"/>
              <w:rPr>
                <w:rFonts w:ascii="Arial" w:hAnsi="Arial" w:cs="Arial"/>
                <w:b/>
                <w:bCs/>
              </w:rPr>
            </w:pPr>
            <w:r w:rsidRPr="00A845B7">
              <w:rPr>
                <w:rFonts w:ascii="Arial" w:hAnsi="Arial" w:cs="Arial"/>
                <w:b/>
                <w:bCs/>
              </w:rPr>
              <w:t>£m</w:t>
            </w:r>
          </w:p>
          <w:p w14:paraId="21513B16" w14:textId="77777777" w:rsidR="00997637" w:rsidRPr="00A845B7" w:rsidRDefault="00997637" w:rsidP="00F24C8A">
            <w:pPr>
              <w:jc w:val="right"/>
              <w:rPr>
                <w:rFonts w:ascii="Arial" w:hAnsi="Arial" w:cs="Arial"/>
                <w:b/>
                <w:bCs/>
              </w:rPr>
            </w:pPr>
            <w:r w:rsidRPr="00A845B7">
              <w:rPr>
                <w:rFonts w:ascii="Arial" w:hAnsi="Arial" w:cs="Arial"/>
                <w:b/>
                <w:bCs/>
              </w:rPr>
              <w:t>Gain/(charge)</w:t>
            </w:r>
          </w:p>
        </w:tc>
        <w:tc>
          <w:tcPr>
            <w:tcW w:w="933" w:type="pct"/>
            <w:tcBorders>
              <w:top w:val="nil"/>
              <w:left w:val="nil"/>
              <w:bottom w:val="single" w:sz="4" w:space="0" w:color="auto"/>
              <w:right w:val="nil"/>
            </w:tcBorders>
            <w:vAlign w:val="bottom"/>
            <w:hideMark/>
          </w:tcPr>
          <w:p w14:paraId="44547570" w14:textId="52F2975E" w:rsidR="00997637" w:rsidRPr="00A845B7" w:rsidRDefault="00997637" w:rsidP="00F24C8A">
            <w:pPr>
              <w:jc w:val="right"/>
              <w:rPr>
                <w:rFonts w:ascii="Arial" w:hAnsi="Arial" w:cs="Arial"/>
                <w:bCs/>
              </w:rPr>
            </w:pPr>
            <w:r w:rsidRPr="00A845B7">
              <w:rPr>
                <w:rFonts w:ascii="Arial" w:hAnsi="Arial" w:cs="Arial"/>
                <w:bCs/>
              </w:rPr>
              <w:t>201</w:t>
            </w:r>
            <w:r w:rsidR="00E40B17">
              <w:rPr>
                <w:rFonts w:ascii="Arial" w:hAnsi="Arial" w:cs="Arial"/>
                <w:bCs/>
              </w:rPr>
              <w:t>6</w:t>
            </w:r>
            <w:r w:rsidRPr="00A845B7">
              <w:rPr>
                <w:rFonts w:ascii="Arial" w:hAnsi="Arial" w:cs="Arial"/>
                <w:bCs/>
              </w:rPr>
              <w:t>/1</w:t>
            </w:r>
            <w:r w:rsidR="00E40B17">
              <w:rPr>
                <w:rFonts w:ascii="Arial" w:hAnsi="Arial" w:cs="Arial"/>
                <w:bCs/>
              </w:rPr>
              <w:t>7</w:t>
            </w:r>
          </w:p>
          <w:p w14:paraId="772A173C" w14:textId="77777777" w:rsidR="00997637" w:rsidRPr="00A845B7" w:rsidRDefault="00997637" w:rsidP="00F24C8A">
            <w:pPr>
              <w:jc w:val="right"/>
              <w:rPr>
                <w:rFonts w:ascii="Arial" w:hAnsi="Arial" w:cs="Arial"/>
                <w:bCs/>
              </w:rPr>
            </w:pPr>
            <w:r w:rsidRPr="00A845B7">
              <w:rPr>
                <w:rFonts w:ascii="Arial" w:hAnsi="Arial" w:cs="Arial"/>
                <w:bCs/>
              </w:rPr>
              <w:t>£m</w:t>
            </w:r>
          </w:p>
          <w:p w14:paraId="24CA58ED" w14:textId="77777777" w:rsidR="00997637" w:rsidRPr="00A845B7" w:rsidRDefault="00997637" w:rsidP="00F24C8A">
            <w:pPr>
              <w:jc w:val="right"/>
              <w:rPr>
                <w:rFonts w:ascii="Arial" w:hAnsi="Arial" w:cs="Arial"/>
                <w:bCs/>
              </w:rPr>
            </w:pPr>
            <w:r w:rsidRPr="00A845B7">
              <w:rPr>
                <w:rFonts w:ascii="Arial" w:hAnsi="Arial" w:cs="Arial"/>
                <w:bCs/>
              </w:rPr>
              <w:t>Gain/(charge)</w:t>
            </w:r>
          </w:p>
        </w:tc>
      </w:tr>
      <w:tr w:rsidR="00E40B17" w:rsidRPr="00A845B7" w14:paraId="4C5A3E22" w14:textId="77777777" w:rsidTr="00F24C8A">
        <w:trPr>
          <w:trHeight w:val="254"/>
        </w:trPr>
        <w:tc>
          <w:tcPr>
            <w:tcW w:w="3091" w:type="pct"/>
            <w:vAlign w:val="bottom"/>
          </w:tcPr>
          <w:p w14:paraId="1528C3BA" w14:textId="77777777" w:rsidR="00E40B17" w:rsidRPr="00A845B7" w:rsidRDefault="00E40B17" w:rsidP="00E40B17">
            <w:pPr>
              <w:rPr>
                <w:rFonts w:ascii="Arial" w:hAnsi="Arial" w:cs="Arial"/>
              </w:rPr>
            </w:pPr>
            <w:r w:rsidRPr="00A845B7">
              <w:rPr>
                <w:rFonts w:ascii="Arial" w:hAnsi="Arial" w:cs="Arial"/>
                <w:color w:val="000000"/>
              </w:rPr>
              <w:t>Transformation exceptional costs</w:t>
            </w:r>
          </w:p>
        </w:tc>
        <w:tc>
          <w:tcPr>
            <w:tcW w:w="976" w:type="pct"/>
            <w:vAlign w:val="bottom"/>
          </w:tcPr>
          <w:p w14:paraId="57E97C2E" w14:textId="1EE32193" w:rsidR="00E40B17" w:rsidRPr="00A845B7" w:rsidRDefault="00E40B17" w:rsidP="00E40B17">
            <w:pPr>
              <w:jc w:val="right"/>
              <w:rPr>
                <w:rFonts w:ascii="Arial" w:hAnsi="Arial" w:cs="Arial"/>
                <w:b/>
              </w:rPr>
            </w:pPr>
            <w:r w:rsidRPr="00A845B7">
              <w:rPr>
                <w:rFonts w:ascii="Arial" w:hAnsi="Arial" w:cs="Arial"/>
                <w:b/>
              </w:rPr>
              <w:t>(</w:t>
            </w:r>
            <w:r w:rsidR="006B1FCF">
              <w:rPr>
                <w:rFonts w:ascii="Arial" w:hAnsi="Arial" w:cs="Arial"/>
                <w:b/>
              </w:rPr>
              <w:t>15</w:t>
            </w:r>
            <w:r w:rsidRPr="00A845B7">
              <w:rPr>
                <w:rFonts w:ascii="Arial" w:hAnsi="Arial" w:cs="Arial"/>
                <w:b/>
              </w:rPr>
              <w:t>)</w:t>
            </w:r>
          </w:p>
        </w:tc>
        <w:tc>
          <w:tcPr>
            <w:tcW w:w="933" w:type="pct"/>
            <w:vAlign w:val="bottom"/>
          </w:tcPr>
          <w:p w14:paraId="334DD7BD" w14:textId="58886523" w:rsidR="00E40B17" w:rsidRPr="00355EF2" w:rsidRDefault="00E40B17" w:rsidP="00E40B17">
            <w:pPr>
              <w:jc w:val="right"/>
              <w:rPr>
                <w:rFonts w:ascii="Arial" w:hAnsi="Arial" w:cs="Arial"/>
              </w:rPr>
            </w:pPr>
            <w:r w:rsidRPr="0018703F">
              <w:rPr>
                <w:rFonts w:ascii="Arial" w:hAnsi="Arial" w:cs="Arial"/>
              </w:rPr>
              <w:t>(5)</w:t>
            </w:r>
          </w:p>
        </w:tc>
      </w:tr>
      <w:tr w:rsidR="00E40B17" w:rsidRPr="00A845B7" w14:paraId="3C440526" w14:textId="77777777" w:rsidTr="00F24C8A">
        <w:trPr>
          <w:trHeight w:val="254"/>
        </w:trPr>
        <w:tc>
          <w:tcPr>
            <w:tcW w:w="3091" w:type="pct"/>
            <w:vAlign w:val="bottom"/>
            <w:hideMark/>
          </w:tcPr>
          <w:p w14:paraId="3D0E7B57" w14:textId="77777777" w:rsidR="00E40B17" w:rsidRPr="00A845B7" w:rsidRDefault="00E40B17" w:rsidP="00E40B17">
            <w:pPr>
              <w:rPr>
                <w:rFonts w:ascii="Arial" w:hAnsi="Arial" w:cs="Arial"/>
              </w:rPr>
            </w:pPr>
            <w:r w:rsidRPr="00A845B7">
              <w:rPr>
                <w:rFonts w:ascii="Arial" w:hAnsi="Arial" w:cs="Arial"/>
              </w:rPr>
              <w:t>UK &amp; Ireland and Europe restructuring</w:t>
            </w:r>
          </w:p>
        </w:tc>
        <w:tc>
          <w:tcPr>
            <w:tcW w:w="976" w:type="pct"/>
            <w:vAlign w:val="bottom"/>
            <w:hideMark/>
          </w:tcPr>
          <w:p w14:paraId="6F9E7C0A" w14:textId="11A34A65" w:rsidR="00E40B17" w:rsidRPr="00A845B7" w:rsidRDefault="00D86819" w:rsidP="00E40B17">
            <w:pPr>
              <w:jc w:val="right"/>
              <w:rPr>
                <w:rFonts w:ascii="Arial" w:hAnsi="Arial" w:cs="Arial"/>
                <w:b/>
              </w:rPr>
            </w:pPr>
            <w:r>
              <w:rPr>
                <w:rFonts w:ascii="Arial" w:hAnsi="Arial" w:cs="Arial"/>
                <w:b/>
              </w:rPr>
              <w:t>1</w:t>
            </w:r>
            <w:r w:rsidR="00A01E40">
              <w:rPr>
                <w:rFonts w:ascii="Arial" w:hAnsi="Arial" w:cs="Arial"/>
                <w:b/>
              </w:rPr>
              <w:t>2</w:t>
            </w:r>
          </w:p>
        </w:tc>
        <w:tc>
          <w:tcPr>
            <w:tcW w:w="933" w:type="pct"/>
            <w:vAlign w:val="bottom"/>
            <w:hideMark/>
          </w:tcPr>
          <w:p w14:paraId="2E0977C1" w14:textId="4639D2FD" w:rsidR="00E40B17" w:rsidRPr="00355EF2" w:rsidRDefault="00E40B17" w:rsidP="00E40B17">
            <w:pPr>
              <w:jc w:val="right"/>
              <w:rPr>
                <w:rFonts w:ascii="Arial" w:hAnsi="Arial" w:cs="Arial"/>
              </w:rPr>
            </w:pPr>
            <w:r w:rsidRPr="0018703F">
              <w:rPr>
                <w:rFonts w:ascii="Arial" w:hAnsi="Arial" w:cs="Arial"/>
              </w:rPr>
              <w:t>15</w:t>
            </w:r>
          </w:p>
        </w:tc>
      </w:tr>
      <w:tr w:rsidR="00A01E40" w:rsidRPr="00A845B7" w14:paraId="6007CE89" w14:textId="77777777" w:rsidTr="00F24C8A">
        <w:trPr>
          <w:trHeight w:val="254"/>
        </w:trPr>
        <w:tc>
          <w:tcPr>
            <w:tcW w:w="3091" w:type="pct"/>
            <w:vAlign w:val="bottom"/>
          </w:tcPr>
          <w:p w14:paraId="48BD78BC" w14:textId="5A7FF8B9" w:rsidR="00A01E40" w:rsidRPr="00A845B7" w:rsidRDefault="00F07AFB" w:rsidP="00E40B17">
            <w:pPr>
              <w:rPr>
                <w:rFonts w:ascii="Arial" w:hAnsi="Arial" w:cs="Arial"/>
              </w:rPr>
            </w:pPr>
            <w:proofErr w:type="spellStart"/>
            <w:r w:rsidRPr="00A845B7">
              <w:rPr>
                <w:rFonts w:ascii="Arial" w:hAnsi="Arial" w:cs="Arial"/>
                <w:iCs/>
              </w:rPr>
              <w:t>Brico</w:t>
            </w:r>
            <w:proofErr w:type="spellEnd"/>
            <w:r w:rsidRPr="00A845B7">
              <w:rPr>
                <w:rFonts w:ascii="Arial" w:hAnsi="Arial" w:cs="Arial"/>
                <w:iCs/>
              </w:rPr>
              <w:t xml:space="preserve"> </w:t>
            </w:r>
            <w:proofErr w:type="spellStart"/>
            <w:r w:rsidRPr="00A845B7">
              <w:rPr>
                <w:rFonts w:ascii="Arial" w:hAnsi="Arial" w:cs="Arial"/>
                <w:iCs/>
              </w:rPr>
              <w:t>Dépôt</w:t>
            </w:r>
            <w:proofErr w:type="spellEnd"/>
            <w:r w:rsidRPr="00A845B7">
              <w:rPr>
                <w:rFonts w:ascii="Arial" w:hAnsi="Arial" w:cs="Arial"/>
                <w:iCs/>
              </w:rPr>
              <w:t xml:space="preserve"> </w:t>
            </w:r>
            <w:r w:rsidR="00A01E40" w:rsidRPr="00A01E40">
              <w:rPr>
                <w:rFonts w:ascii="Arial" w:hAnsi="Arial" w:cs="Arial"/>
              </w:rPr>
              <w:t>Romania impairment reversal</w:t>
            </w:r>
          </w:p>
        </w:tc>
        <w:tc>
          <w:tcPr>
            <w:tcW w:w="976" w:type="pct"/>
            <w:vAlign w:val="bottom"/>
          </w:tcPr>
          <w:p w14:paraId="27CD97D8" w14:textId="78ED4E08" w:rsidR="00A01E40" w:rsidRDefault="00A01E40" w:rsidP="00E40B17">
            <w:pPr>
              <w:jc w:val="right"/>
              <w:rPr>
                <w:rFonts w:ascii="Arial" w:hAnsi="Arial" w:cs="Arial"/>
                <w:b/>
              </w:rPr>
            </w:pPr>
            <w:r>
              <w:rPr>
                <w:rFonts w:ascii="Arial" w:hAnsi="Arial" w:cs="Arial"/>
                <w:b/>
              </w:rPr>
              <w:t>2</w:t>
            </w:r>
          </w:p>
        </w:tc>
        <w:tc>
          <w:tcPr>
            <w:tcW w:w="933" w:type="pct"/>
            <w:vAlign w:val="bottom"/>
          </w:tcPr>
          <w:p w14:paraId="15470141" w14:textId="257632E4" w:rsidR="00A01E40" w:rsidRPr="0018703F" w:rsidRDefault="00A01E40" w:rsidP="00E40B17">
            <w:pPr>
              <w:jc w:val="right"/>
              <w:rPr>
                <w:rFonts w:ascii="Arial" w:hAnsi="Arial" w:cs="Arial"/>
              </w:rPr>
            </w:pPr>
            <w:r>
              <w:rPr>
                <w:rFonts w:ascii="Arial" w:hAnsi="Arial" w:cs="Arial"/>
              </w:rPr>
              <w:t>-</w:t>
            </w:r>
          </w:p>
        </w:tc>
      </w:tr>
      <w:tr w:rsidR="00E40B17" w:rsidRPr="00A845B7" w14:paraId="1BEA5E91" w14:textId="77777777" w:rsidTr="00F24C8A">
        <w:trPr>
          <w:trHeight w:val="254"/>
        </w:trPr>
        <w:tc>
          <w:tcPr>
            <w:tcW w:w="3091" w:type="pct"/>
            <w:vAlign w:val="bottom"/>
          </w:tcPr>
          <w:p w14:paraId="18865B13" w14:textId="77777777" w:rsidR="00E40B17" w:rsidRPr="00A845B7" w:rsidRDefault="00E40B17" w:rsidP="00E40B17">
            <w:pPr>
              <w:rPr>
                <w:rFonts w:ascii="Arial" w:hAnsi="Arial" w:cs="Arial"/>
              </w:rPr>
            </w:pPr>
            <w:r w:rsidRPr="00A845B7">
              <w:rPr>
                <w:rFonts w:ascii="Arial" w:hAnsi="Arial" w:cs="Arial"/>
              </w:rPr>
              <w:t>Profit on disposal of B&amp;Q China</w:t>
            </w:r>
          </w:p>
        </w:tc>
        <w:tc>
          <w:tcPr>
            <w:tcW w:w="976" w:type="pct"/>
            <w:vAlign w:val="bottom"/>
          </w:tcPr>
          <w:p w14:paraId="75609A53" w14:textId="30DE9180" w:rsidR="00E40B17" w:rsidRPr="00A845B7" w:rsidDel="00E2659B" w:rsidRDefault="00AA7892" w:rsidP="00E40B17">
            <w:pPr>
              <w:jc w:val="right"/>
              <w:rPr>
                <w:rFonts w:ascii="Arial" w:hAnsi="Arial" w:cs="Arial"/>
                <w:b/>
              </w:rPr>
            </w:pPr>
            <w:r>
              <w:rPr>
                <w:rFonts w:ascii="Arial" w:hAnsi="Arial" w:cs="Arial"/>
                <w:b/>
              </w:rPr>
              <w:t>-</w:t>
            </w:r>
          </w:p>
        </w:tc>
        <w:tc>
          <w:tcPr>
            <w:tcW w:w="933" w:type="pct"/>
            <w:vAlign w:val="bottom"/>
          </w:tcPr>
          <w:p w14:paraId="160D6BB9" w14:textId="07B44826" w:rsidR="00E40B17" w:rsidRPr="00355EF2" w:rsidDel="00E2659B" w:rsidRDefault="00E40B17" w:rsidP="00E40B17">
            <w:pPr>
              <w:jc w:val="right"/>
              <w:rPr>
                <w:rFonts w:ascii="Arial" w:hAnsi="Arial" w:cs="Arial"/>
              </w:rPr>
            </w:pPr>
            <w:r w:rsidRPr="0018703F">
              <w:rPr>
                <w:rFonts w:ascii="Arial" w:hAnsi="Arial" w:cs="Arial"/>
              </w:rPr>
              <w:t>3</w:t>
            </w:r>
          </w:p>
        </w:tc>
      </w:tr>
      <w:tr w:rsidR="00E40B17" w:rsidRPr="00A845B7" w14:paraId="28893A8A" w14:textId="77777777" w:rsidTr="00F24C8A">
        <w:trPr>
          <w:trHeight w:val="254"/>
        </w:trPr>
        <w:tc>
          <w:tcPr>
            <w:tcW w:w="3091" w:type="pct"/>
            <w:vAlign w:val="bottom"/>
          </w:tcPr>
          <w:p w14:paraId="69746670" w14:textId="5C8EB26F" w:rsidR="00E40B17" w:rsidRPr="00A845B7" w:rsidRDefault="00E40B17" w:rsidP="00E40B17">
            <w:pPr>
              <w:rPr>
                <w:rFonts w:ascii="Arial" w:hAnsi="Arial" w:cs="Arial"/>
              </w:rPr>
            </w:pPr>
            <w:r w:rsidRPr="00A845B7">
              <w:rPr>
                <w:rFonts w:ascii="Arial" w:hAnsi="Arial" w:cs="Arial"/>
              </w:rPr>
              <w:t>Property disposals</w:t>
            </w:r>
          </w:p>
        </w:tc>
        <w:tc>
          <w:tcPr>
            <w:tcW w:w="976" w:type="pct"/>
            <w:vAlign w:val="bottom"/>
          </w:tcPr>
          <w:p w14:paraId="318AC343" w14:textId="65B07F06" w:rsidR="00E40B17" w:rsidRPr="00A845B7" w:rsidRDefault="00D86819" w:rsidP="00E40B17">
            <w:pPr>
              <w:jc w:val="right"/>
              <w:rPr>
                <w:rFonts w:ascii="Arial" w:hAnsi="Arial" w:cs="Arial"/>
                <w:b/>
              </w:rPr>
            </w:pPr>
            <w:r>
              <w:rPr>
                <w:rFonts w:ascii="Arial" w:hAnsi="Arial" w:cs="Arial"/>
                <w:b/>
              </w:rPr>
              <w:t>1</w:t>
            </w:r>
          </w:p>
        </w:tc>
        <w:tc>
          <w:tcPr>
            <w:tcW w:w="933" w:type="pct"/>
            <w:vAlign w:val="bottom"/>
          </w:tcPr>
          <w:p w14:paraId="33719C62" w14:textId="0A1F8D55" w:rsidR="00E40B17" w:rsidRPr="00355EF2" w:rsidRDefault="00E40B17" w:rsidP="00E40B17">
            <w:pPr>
              <w:jc w:val="right"/>
              <w:rPr>
                <w:rFonts w:ascii="Arial" w:hAnsi="Arial" w:cs="Arial"/>
              </w:rPr>
            </w:pPr>
            <w:r w:rsidRPr="0018703F">
              <w:rPr>
                <w:rFonts w:ascii="Arial" w:hAnsi="Arial" w:cs="Arial"/>
              </w:rPr>
              <w:t>4</w:t>
            </w:r>
          </w:p>
        </w:tc>
      </w:tr>
      <w:tr w:rsidR="00E40B17" w:rsidRPr="00A845B7" w14:paraId="2E329C0B" w14:textId="77777777" w:rsidTr="00F24C8A">
        <w:trPr>
          <w:trHeight w:val="254"/>
        </w:trPr>
        <w:tc>
          <w:tcPr>
            <w:tcW w:w="3091" w:type="pct"/>
            <w:tcBorders>
              <w:top w:val="single" w:sz="4" w:space="0" w:color="auto"/>
              <w:left w:val="nil"/>
              <w:bottom w:val="nil"/>
              <w:right w:val="nil"/>
            </w:tcBorders>
            <w:vAlign w:val="bottom"/>
            <w:hideMark/>
          </w:tcPr>
          <w:p w14:paraId="339778EE" w14:textId="77777777" w:rsidR="00E40B17" w:rsidRPr="00A845B7" w:rsidRDefault="00E40B17" w:rsidP="00E40B17">
            <w:pPr>
              <w:rPr>
                <w:rFonts w:ascii="Arial" w:hAnsi="Arial" w:cs="Arial"/>
              </w:rPr>
            </w:pPr>
            <w:r w:rsidRPr="00A845B7">
              <w:rPr>
                <w:rFonts w:ascii="Arial" w:hAnsi="Arial" w:cs="Arial"/>
                <w:b/>
              </w:rPr>
              <w:t>Exceptional items before tax</w:t>
            </w:r>
          </w:p>
        </w:tc>
        <w:tc>
          <w:tcPr>
            <w:tcW w:w="976" w:type="pct"/>
            <w:tcBorders>
              <w:top w:val="single" w:sz="4" w:space="0" w:color="auto"/>
              <w:left w:val="nil"/>
              <w:bottom w:val="nil"/>
              <w:right w:val="nil"/>
            </w:tcBorders>
            <w:vAlign w:val="bottom"/>
            <w:hideMark/>
          </w:tcPr>
          <w:p w14:paraId="55071029" w14:textId="0143D0CE" w:rsidR="00E40B17" w:rsidRPr="00A845B7" w:rsidRDefault="00AA7892" w:rsidP="00E40B17">
            <w:pPr>
              <w:jc w:val="right"/>
              <w:rPr>
                <w:rFonts w:ascii="Arial" w:hAnsi="Arial" w:cs="Arial"/>
                <w:b/>
              </w:rPr>
            </w:pPr>
            <w:r>
              <w:rPr>
                <w:rFonts w:ascii="Arial" w:hAnsi="Arial" w:cs="Arial"/>
                <w:b/>
              </w:rPr>
              <w:t>-</w:t>
            </w:r>
          </w:p>
        </w:tc>
        <w:tc>
          <w:tcPr>
            <w:tcW w:w="933" w:type="pct"/>
            <w:tcBorders>
              <w:top w:val="single" w:sz="4" w:space="0" w:color="auto"/>
              <w:left w:val="nil"/>
              <w:bottom w:val="nil"/>
              <w:right w:val="nil"/>
            </w:tcBorders>
            <w:vAlign w:val="bottom"/>
            <w:hideMark/>
          </w:tcPr>
          <w:p w14:paraId="0B03DC99" w14:textId="25506A08" w:rsidR="00E40B17" w:rsidRPr="00355EF2" w:rsidRDefault="00E40B17" w:rsidP="00E40B17">
            <w:pPr>
              <w:jc w:val="right"/>
              <w:rPr>
                <w:rFonts w:ascii="Arial" w:hAnsi="Arial" w:cs="Arial"/>
              </w:rPr>
            </w:pPr>
            <w:r w:rsidRPr="0018703F">
              <w:rPr>
                <w:rFonts w:ascii="Arial" w:hAnsi="Arial" w:cs="Arial"/>
              </w:rPr>
              <w:t>17</w:t>
            </w:r>
          </w:p>
        </w:tc>
      </w:tr>
      <w:tr w:rsidR="00E40B17" w:rsidRPr="00A845B7" w14:paraId="6D62C2BE" w14:textId="77777777" w:rsidTr="00F24C8A">
        <w:trPr>
          <w:trHeight w:val="308"/>
        </w:trPr>
        <w:tc>
          <w:tcPr>
            <w:tcW w:w="3091" w:type="pct"/>
            <w:vAlign w:val="bottom"/>
            <w:hideMark/>
          </w:tcPr>
          <w:p w14:paraId="66993041" w14:textId="77777777" w:rsidR="00E40B17" w:rsidRPr="00A845B7" w:rsidRDefault="00E40B17" w:rsidP="00E40B17">
            <w:pPr>
              <w:jc w:val="left"/>
              <w:rPr>
                <w:rFonts w:ascii="Arial" w:hAnsi="Arial" w:cs="Arial"/>
                <w:b/>
              </w:rPr>
            </w:pPr>
            <w:r w:rsidRPr="00A845B7">
              <w:rPr>
                <w:rFonts w:ascii="Arial" w:hAnsi="Arial" w:cs="Arial"/>
              </w:rPr>
              <w:t xml:space="preserve">Exceptional tax items </w:t>
            </w:r>
          </w:p>
        </w:tc>
        <w:tc>
          <w:tcPr>
            <w:tcW w:w="976" w:type="pct"/>
            <w:vAlign w:val="bottom"/>
            <w:hideMark/>
          </w:tcPr>
          <w:p w14:paraId="1DDD1AC9" w14:textId="4069B7B8" w:rsidR="00E40B17" w:rsidRPr="00A845B7" w:rsidRDefault="00A01E40" w:rsidP="00E40B17">
            <w:pPr>
              <w:jc w:val="right"/>
              <w:rPr>
                <w:rFonts w:ascii="Arial" w:hAnsi="Arial" w:cs="Arial"/>
                <w:b/>
              </w:rPr>
            </w:pPr>
            <w:r>
              <w:rPr>
                <w:rFonts w:ascii="Arial" w:hAnsi="Arial" w:cs="Arial"/>
                <w:b/>
              </w:rPr>
              <w:t>-</w:t>
            </w:r>
          </w:p>
        </w:tc>
        <w:tc>
          <w:tcPr>
            <w:tcW w:w="933" w:type="pct"/>
            <w:vAlign w:val="bottom"/>
            <w:hideMark/>
          </w:tcPr>
          <w:p w14:paraId="46595D72" w14:textId="4493B104" w:rsidR="00E40B17" w:rsidRPr="00355EF2" w:rsidRDefault="00E40B17" w:rsidP="00E40B17">
            <w:pPr>
              <w:jc w:val="right"/>
              <w:rPr>
                <w:rFonts w:ascii="Arial" w:hAnsi="Arial" w:cs="Arial"/>
              </w:rPr>
            </w:pPr>
            <w:r w:rsidRPr="0018703F">
              <w:rPr>
                <w:rFonts w:ascii="Arial" w:hAnsi="Arial" w:cs="Arial"/>
              </w:rPr>
              <w:t>(6)</w:t>
            </w:r>
          </w:p>
        </w:tc>
      </w:tr>
      <w:tr w:rsidR="00E40B17" w:rsidRPr="00A845B7" w14:paraId="633189B4" w14:textId="77777777" w:rsidTr="00F24C8A">
        <w:trPr>
          <w:trHeight w:val="308"/>
        </w:trPr>
        <w:tc>
          <w:tcPr>
            <w:tcW w:w="3091" w:type="pct"/>
            <w:tcBorders>
              <w:top w:val="single" w:sz="4" w:space="0" w:color="auto"/>
              <w:left w:val="nil"/>
              <w:bottom w:val="single" w:sz="4" w:space="0" w:color="auto"/>
              <w:right w:val="nil"/>
            </w:tcBorders>
            <w:vAlign w:val="bottom"/>
            <w:hideMark/>
          </w:tcPr>
          <w:p w14:paraId="00D5D52F" w14:textId="77777777" w:rsidR="00E40B17" w:rsidRPr="00A845B7" w:rsidRDefault="00E40B17" w:rsidP="00E40B17">
            <w:pPr>
              <w:jc w:val="left"/>
              <w:rPr>
                <w:rFonts w:ascii="Arial" w:hAnsi="Arial" w:cs="Arial"/>
              </w:rPr>
            </w:pPr>
            <w:r w:rsidRPr="00A845B7">
              <w:rPr>
                <w:rFonts w:ascii="Arial" w:hAnsi="Arial" w:cs="Arial"/>
                <w:b/>
              </w:rPr>
              <w:t>Net exceptional items</w:t>
            </w:r>
          </w:p>
        </w:tc>
        <w:tc>
          <w:tcPr>
            <w:tcW w:w="976" w:type="pct"/>
            <w:tcBorders>
              <w:top w:val="single" w:sz="4" w:space="0" w:color="auto"/>
              <w:left w:val="nil"/>
              <w:bottom w:val="single" w:sz="4" w:space="0" w:color="auto"/>
              <w:right w:val="nil"/>
            </w:tcBorders>
            <w:vAlign w:val="bottom"/>
            <w:hideMark/>
          </w:tcPr>
          <w:p w14:paraId="26601DC1" w14:textId="32B9DC12" w:rsidR="00E40B17" w:rsidRPr="00A845B7" w:rsidRDefault="00A01E40" w:rsidP="00E40B17">
            <w:pPr>
              <w:jc w:val="right"/>
              <w:rPr>
                <w:rFonts w:ascii="Arial" w:hAnsi="Arial" w:cs="Arial"/>
                <w:b/>
              </w:rPr>
            </w:pPr>
            <w:r>
              <w:rPr>
                <w:rFonts w:ascii="Arial" w:hAnsi="Arial" w:cs="Arial"/>
                <w:b/>
              </w:rPr>
              <w:t>-</w:t>
            </w:r>
          </w:p>
        </w:tc>
        <w:tc>
          <w:tcPr>
            <w:tcW w:w="933" w:type="pct"/>
            <w:tcBorders>
              <w:top w:val="single" w:sz="4" w:space="0" w:color="auto"/>
              <w:left w:val="nil"/>
              <w:bottom w:val="single" w:sz="4" w:space="0" w:color="auto"/>
              <w:right w:val="nil"/>
            </w:tcBorders>
            <w:vAlign w:val="bottom"/>
            <w:hideMark/>
          </w:tcPr>
          <w:p w14:paraId="50623900" w14:textId="602E1DB7" w:rsidR="00E40B17" w:rsidRPr="00355EF2" w:rsidRDefault="00E40B17" w:rsidP="00E40B17">
            <w:pPr>
              <w:jc w:val="right"/>
              <w:rPr>
                <w:rFonts w:ascii="Arial" w:hAnsi="Arial" w:cs="Arial"/>
              </w:rPr>
            </w:pPr>
            <w:r w:rsidRPr="0018703F">
              <w:rPr>
                <w:rFonts w:ascii="Arial" w:hAnsi="Arial" w:cs="Arial"/>
              </w:rPr>
              <w:t>11</w:t>
            </w:r>
          </w:p>
        </w:tc>
      </w:tr>
    </w:tbl>
    <w:p w14:paraId="11C5891C" w14:textId="77777777" w:rsidR="00997637" w:rsidRDefault="00997637" w:rsidP="00997637">
      <w:pPr>
        <w:spacing w:after="200"/>
        <w:contextualSpacing/>
        <w:jc w:val="left"/>
        <w:rPr>
          <w:rFonts w:ascii="Arial" w:hAnsi="Arial" w:cs="Arial"/>
          <w:sz w:val="24"/>
          <w:szCs w:val="24"/>
        </w:rPr>
      </w:pPr>
    </w:p>
    <w:p w14:paraId="3F47B4EC" w14:textId="77777777" w:rsidR="00AD3201" w:rsidRDefault="00C01327" w:rsidP="00997637">
      <w:pPr>
        <w:spacing w:after="200"/>
        <w:contextualSpacing/>
        <w:jc w:val="left"/>
        <w:rPr>
          <w:rFonts w:ascii="Arial" w:hAnsi="Arial" w:cs="Arial"/>
        </w:rPr>
      </w:pPr>
      <w:bookmarkStart w:id="25" w:name="_Hlk509321343"/>
      <w:bookmarkStart w:id="26" w:name="_Hlk507508664"/>
      <w:bookmarkStart w:id="27" w:name="_Hlk507507390"/>
      <w:r w:rsidRPr="00C01327">
        <w:rPr>
          <w:rFonts w:ascii="Arial" w:hAnsi="Arial" w:cs="Arial"/>
        </w:rPr>
        <w:t>Transformation exceptional costs of £15m have been recorded in the year driven by people changes associated with restructuring in the UK and other costs relating to the Group’s fi</w:t>
      </w:r>
      <w:r>
        <w:rPr>
          <w:rFonts w:ascii="Arial" w:hAnsi="Arial" w:cs="Arial"/>
        </w:rPr>
        <w:t>ve-year transformation plan</w:t>
      </w:r>
      <w:r w:rsidRPr="00C01327">
        <w:rPr>
          <w:rFonts w:ascii="Arial" w:hAnsi="Arial" w:cs="Arial"/>
        </w:rPr>
        <w:t>. These include the move of transactional processing activity from the UK to a shared service centre in Poland.</w:t>
      </w:r>
    </w:p>
    <w:bookmarkEnd w:id="25"/>
    <w:bookmarkEnd w:id="26"/>
    <w:bookmarkEnd w:id="27"/>
    <w:p w14:paraId="7641D46B" w14:textId="0BF4FE15" w:rsidR="00997637" w:rsidRDefault="00997637" w:rsidP="00997637">
      <w:pPr>
        <w:spacing w:after="200"/>
        <w:contextualSpacing/>
        <w:jc w:val="left"/>
        <w:rPr>
          <w:rFonts w:ascii="Arial" w:hAnsi="Arial" w:cs="Arial"/>
          <w:sz w:val="24"/>
          <w:szCs w:val="24"/>
        </w:rPr>
      </w:pPr>
    </w:p>
    <w:p w14:paraId="27EAD370" w14:textId="091CCC0D" w:rsidR="00D57907" w:rsidRDefault="00D5260E" w:rsidP="00D57907">
      <w:pPr>
        <w:spacing w:after="200"/>
        <w:contextualSpacing/>
        <w:jc w:val="left"/>
        <w:rPr>
          <w:rFonts w:ascii="Arial" w:hAnsi="Arial" w:cs="Arial"/>
        </w:rPr>
      </w:pPr>
      <w:bookmarkStart w:id="28" w:name="_Hlk508199151"/>
      <w:r w:rsidRPr="00F74486">
        <w:rPr>
          <w:rFonts w:ascii="Arial" w:hAnsi="Arial" w:cs="Arial"/>
        </w:rPr>
        <w:t>UK &amp; Ireland and Europe restructuring - as previously announced, the total store rationalisation programme was originally expected to give rise to an exceptional charge of around £350 million, relating principally to onerous lease provisions. This was to cover the closure of 65 B&amp;Q stores, which is now complete, and the closure of around 10 European loss-making stores, which remains ongoing. In Q1 2016/17, B&amp;Q entered into a lease liability transaction with a third party to dispose of any remaining leases, the success of which is expected to result in a lower total net exceptional charge of around £300 million, having so far recognised £</w:t>
      </w:r>
      <w:r w:rsidR="00850C03" w:rsidRPr="00F74486">
        <w:rPr>
          <w:rFonts w:ascii="Arial" w:hAnsi="Arial" w:cs="Arial"/>
        </w:rPr>
        <w:t>27</w:t>
      </w:r>
      <w:r w:rsidR="00E26457">
        <w:rPr>
          <w:rFonts w:ascii="Arial" w:hAnsi="Arial" w:cs="Arial"/>
        </w:rPr>
        <w:t>8</w:t>
      </w:r>
      <w:r w:rsidRPr="00F74486">
        <w:rPr>
          <w:rFonts w:ascii="Arial" w:hAnsi="Arial" w:cs="Arial"/>
        </w:rPr>
        <w:t xml:space="preserve"> million.</w:t>
      </w:r>
      <w:r>
        <w:rPr>
          <w:rFonts w:ascii="Arial" w:hAnsi="Arial" w:cs="Arial"/>
        </w:rPr>
        <w:t xml:space="preserve"> </w:t>
      </w:r>
    </w:p>
    <w:p w14:paraId="2AF65BE4" w14:textId="77777777" w:rsidR="00D57907" w:rsidRDefault="00D57907" w:rsidP="00D57907">
      <w:pPr>
        <w:spacing w:after="200"/>
        <w:contextualSpacing/>
        <w:jc w:val="left"/>
        <w:rPr>
          <w:rFonts w:ascii="Arial" w:hAnsi="Arial" w:cs="Arial"/>
        </w:rPr>
      </w:pPr>
    </w:p>
    <w:p w14:paraId="2324904D" w14:textId="756973D5" w:rsidR="00D57907" w:rsidRPr="00D57907" w:rsidRDefault="00D57907" w:rsidP="00D57907">
      <w:pPr>
        <w:spacing w:after="200"/>
        <w:contextualSpacing/>
        <w:jc w:val="left"/>
        <w:rPr>
          <w:rFonts w:ascii="Arial" w:hAnsi="Arial" w:cs="Arial"/>
        </w:rPr>
      </w:pPr>
      <w:r>
        <w:rPr>
          <w:rFonts w:ascii="Arial" w:hAnsi="Arial" w:cs="Arial"/>
        </w:rPr>
        <w:t xml:space="preserve">In 2017/18 </w:t>
      </w:r>
      <w:r w:rsidRPr="00D57907">
        <w:rPr>
          <w:rFonts w:ascii="Arial" w:hAnsi="Arial" w:cs="Arial"/>
        </w:rPr>
        <w:t xml:space="preserve">UK &amp; Ireland and Europe restructuring </w:t>
      </w:r>
      <w:r w:rsidR="00AD4DA7">
        <w:rPr>
          <w:rFonts w:ascii="Arial" w:hAnsi="Arial" w:cs="Arial"/>
        </w:rPr>
        <w:t xml:space="preserve">was </w:t>
      </w:r>
      <w:r w:rsidRPr="00D57907">
        <w:rPr>
          <w:rFonts w:ascii="Arial" w:hAnsi="Arial" w:cs="Arial"/>
        </w:rPr>
        <w:t xml:space="preserve">a £12m </w:t>
      </w:r>
      <w:r w:rsidR="00AD4DA7">
        <w:rPr>
          <w:rFonts w:ascii="Arial" w:hAnsi="Arial" w:cs="Arial"/>
        </w:rPr>
        <w:t>gain</w:t>
      </w:r>
      <w:r w:rsidRPr="00D57907">
        <w:rPr>
          <w:rFonts w:ascii="Arial" w:hAnsi="Arial" w:cs="Arial"/>
        </w:rPr>
        <w:t xml:space="preserve"> (2016/17: £</w:t>
      </w:r>
      <w:r w:rsidR="00CB3217">
        <w:rPr>
          <w:rFonts w:ascii="Arial" w:hAnsi="Arial" w:cs="Arial"/>
        </w:rPr>
        <w:t>15</w:t>
      </w:r>
      <w:r w:rsidRPr="00D57907">
        <w:rPr>
          <w:rFonts w:ascii="Arial" w:hAnsi="Arial" w:cs="Arial"/>
        </w:rPr>
        <w:t xml:space="preserve">m </w:t>
      </w:r>
      <w:r w:rsidR="00CB3217">
        <w:rPr>
          <w:rFonts w:ascii="Arial" w:hAnsi="Arial" w:cs="Arial"/>
        </w:rPr>
        <w:t xml:space="preserve">net </w:t>
      </w:r>
      <w:r w:rsidR="00AD4DA7">
        <w:rPr>
          <w:rFonts w:ascii="Arial" w:hAnsi="Arial" w:cs="Arial"/>
        </w:rPr>
        <w:t>gain</w:t>
      </w:r>
      <w:r w:rsidRPr="00D57907">
        <w:rPr>
          <w:rFonts w:ascii="Arial" w:hAnsi="Arial" w:cs="Arial"/>
        </w:rPr>
        <w:t>) principally arising due to savings on B&amp;Q store exit costs as compared with the original restructuring provisions recognised.</w:t>
      </w:r>
    </w:p>
    <w:p w14:paraId="4CC096AA" w14:textId="77777777" w:rsidR="00D57907" w:rsidRPr="00D57907" w:rsidRDefault="00D57907" w:rsidP="00D57907">
      <w:pPr>
        <w:spacing w:after="200"/>
        <w:contextualSpacing/>
        <w:jc w:val="left"/>
        <w:rPr>
          <w:rFonts w:ascii="Arial" w:hAnsi="Arial" w:cs="Arial"/>
        </w:rPr>
      </w:pPr>
    </w:p>
    <w:p w14:paraId="68F69423" w14:textId="77777777" w:rsidR="00850C03" w:rsidRPr="00D978CF" w:rsidRDefault="00850C03" w:rsidP="00850C03">
      <w:pPr>
        <w:ind w:right="-368"/>
        <w:jc w:val="left"/>
        <w:rPr>
          <w:rFonts w:ascii="Arial" w:hAnsi="Arial" w:cs="Arial"/>
          <w:b/>
        </w:rPr>
      </w:pPr>
      <w:bookmarkStart w:id="29" w:name="_Hlk508105711"/>
      <w:bookmarkStart w:id="30" w:name="_Hlk508362796"/>
      <w:bookmarkEnd w:id="28"/>
      <w:r w:rsidRPr="00D978CF">
        <w:rPr>
          <w:rFonts w:ascii="Arial" w:hAnsi="Arial" w:cs="Arial"/>
          <w:b/>
        </w:rPr>
        <w:lastRenderedPageBreak/>
        <w:t>Taxation</w:t>
      </w:r>
    </w:p>
    <w:p w14:paraId="569DF73A" w14:textId="77777777" w:rsidR="00850C03" w:rsidRPr="00D978CF" w:rsidRDefault="00850C03" w:rsidP="00850C03">
      <w:pPr>
        <w:ind w:right="-368"/>
        <w:jc w:val="left"/>
        <w:rPr>
          <w:rFonts w:ascii="Arial" w:hAnsi="Arial" w:cs="Arial"/>
          <w:b/>
        </w:rPr>
      </w:pPr>
    </w:p>
    <w:p w14:paraId="05225739" w14:textId="7A75B289" w:rsidR="00850C03" w:rsidRPr="0018703F" w:rsidRDefault="00850C03" w:rsidP="00850C03">
      <w:pPr>
        <w:ind w:right="-368"/>
        <w:jc w:val="left"/>
        <w:rPr>
          <w:rFonts w:ascii="Arial" w:hAnsi="Arial" w:cs="Arial"/>
          <w:szCs w:val="24"/>
          <w:highlight w:val="yellow"/>
        </w:rPr>
      </w:pPr>
      <w:r w:rsidRPr="00D978CF">
        <w:rPr>
          <w:rFonts w:ascii="Arial" w:hAnsi="Arial" w:cs="Arial"/>
          <w:szCs w:val="24"/>
        </w:rPr>
        <w:t>Kingfisher’s effective tax rate is sensitive to the blend of tax rates and profits in the Group’s various jurisdictions. It is higher than the UK statutory rate because of the amount of Group profit that is earned in higher tax territories. The effective tax rate</w:t>
      </w:r>
      <w:r w:rsidR="00AA3DF5">
        <w:rPr>
          <w:rFonts w:ascii="Arial" w:hAnsi="Arial" w:cs="Arial"/>
          <w:szCs w:val="24"/>
        </w:rPr>
        <w:t xml:space="preserve"> (ETR)</w:t>
      </w:r>
      <w:r w:rsidRPr="00D978CF">
        <w:rPr>
          <w:rFonts w:ascii="Arial" w:hAnsi="Arial" w:cs="Arial"/>
          <w:szCs w:val="24"/>
        </w:rPr>
        <w:t xml:space="preserve">, calculated on profit before exceptional items, prior year tax adjustments and the impact of </w:t>
      </w:r>
      <w:r w:rsidR="00990F9A">
        <w:rPr>
          <w:rFonts w:ascii="Arial" w:hAnsi="Arial" w:cs="Arial"/>
          <w:szCs w:val="24"/>
        </w:rPr>
        <w:t xml:space="preserve">future </w:t>
      </w:r>
      <w:r w:rsidRPr="00D978CF">
        <w:rPr>
          <w:rFonts w:ascii="Arial" w:hAnsi="Arial" w:cs="Arial"/>
          <w:szCs w:val="24"/>
        </w:rPr>
        <w:t xml:space="preserve">rate changes, was </w:t>
      </w:r>
      <w:r w:rsidR="00A81001" w:rsidRPr="00D978CF">
        <w:rPr>
          <w:rFonts w:ascii="Arial" w:hAnsi="Arial" w:cs="Arial"/>
          <w:szCs w:val="24"/>
        </w:rPr>
        <w:t>30</w:t>
      </w:r>
      <w:r w:rsidRPr="00D978CF">
        <w:rPr>
          <w:rFonts w:ascii="Arial" w:hAnsi="Arial" w:cs="Arial"/>
          <w:szCs w:val="24"/>
        </w:rPr>
        <w:t xml:space="preserve">% (2016/17: 26%). The effective rate of tax is </w:t>
      </w:r>
      <w:r w:rsidR="00A81001" w:rsidRPr="00D978CF">
        <w:rPr>
          <w:rFonts w:ascii="Arial" w:hAnsi="Arial" w:cs="Arial"/>
          <w:szCs w:val="24"/>
        </w:rPr>
        <w:t xml:space="preserve">higher than the </w:t>
      </w:r>
      <w:r w:rsidRPr="00D978CF">
        <w:rPr>
          <w:rFonts w:ascii="Arial" w:hAnsi="Arial" w:cs="Arial"/>
          <w:szCs w:val="24"/>
        </w:rPr>
        <w:t xml:space="preserve">prior year </w:t>
      </w:r>
      <w:bookmarkStart w:id="31" w:name="_Hlk508362900"/>
      <w:r w:rsidR="00A81001">
        <w:rPr>
          <w:rFonts w:ascii="Arial" w:hAnsi="Arial" w:cs="Arial"/>
          <w:szCs w:val="24"/>
        </w:rPr>
        <w:t xml:space="preserve">mainly </w:t>
      </w:r>
      <w:r w:rsidR="00A81001" w:rsidRPr="00D978CF">
        <w:rPr>
          <w:rFonts w:ascii="Arial" w:hAnsi="Arial" w:cs="Arial"/>
          <w:szCs w:val="24"/>
        </w:rPr>
        <w:t>due to a one off 30%</w:t>
      </w:r>
      <w:r w:rsidR="00F445BF">
        <w:rPr>
          <w:rFonts w:ascii="Arial" w:hAnsi="Arial" w:cs="Arial"/>
          <w:szCs w:val="24"/>
        </w:rPr>
        <w:t xml:space="preserve"> French</w:t>
      </w:r>
      <w:r w:rsidR="00A81001" w:rsidRPr="00D978CF">
        <w:rPr>
          <w:rFonts w:ascii="Arial" w:hAnsi="Arial" w:cs="Arial"/>
          <w:szCs w:val="24"/>
        </w:rPr>
        <w:t xml:space="preserve"> tax surcharge</w:t>
      </w:r>
      <w:bookmarkEnd w:id="31"/>
      <w:r w:rsidR="00DE081E">
        <w:rPr>
          <w:rFonts w:ascii="Arial" w:hAnsi="Arial" w:cs="Arial"/>
          <w:szCs w:val="24"/>
        </w:rPr>
        <w:t>,</w:t>
      </w:r>
      <w:r w:rsidR="00A81001" w:rsidRPr="00D978CF">
        <w:rPr>
          <w:rFonts w:ascii="Arial" w:hAnsi="Arial" w:cs="Arial"/>
          <w:szCs w:val="24"/>
        </w:rPr>
        <w:t xml:space="preserve"> legislated to apply </w:t>
      </w:r>
      <w:r w:rsidR="00A81001" w:rsidRPr="00A81001">
        <w:rPr>
          <w:rFonts w:ascii="Arial" w:hAnsi="Arial" w:cs="Arial"/>
          <w:szCs w:val="24"/>
        </w:rPr>
        <w:t xml:space="preserve">retrospectively for Kingfisher </w:t>
      </w:r>
      <w:r w:rsidR="00A81001">
        <w:rPr>
          <w:rFonts w:ascii="Arial" w:hAnsi="Arial" w:cs="Arial"/>
          <w:szCs w:val="24"/>
        </w:rPr>
        <w:t xml:space="preserve">France </w:t>
      </w:r>
      <w:r w:rsidR="00A81001" w:rsidRPr="00A81001">
        <w:rPr>
          <w:rFonts w:ascii="Arial" w:hAnsi="Arial" w:cs="Arial"/>
          <w:szCs w:val="24"/>
        </w:rPr>
        <w:t xml:space="preserve">in </w:t>
      </w:r>
      <w:r w:rsidR="00B05FA7">
        <w:rPr>
          <w:rFonts w:ascii="Arial" w:hAnsi="Arial" w:cs="Arial"/>
          <w:szCs w:val="24"/>
        </w:rPr>
        <w:t>December</w:t>
      </w:r>
      <w:r w:rsidR="00B05FA7" w:rsidRPr="00A81001">
        <w:rPr>
          <w:rFonts w:ascii="Arial" w:hAnsi="Arial" w:cs="Arial"/>
          <w:szCs w:val="24"/>
        </w:rPr>
        <w:t xml:space="preserve"> </w:t>
      </w:r>
      <w:r w:rsidR="00A81001" w:rsidRPr="00A81001">
        <w:rPr>
          <w:rFonts w:ascii="Arial" w:hAnsi="Arial" w:cs="Arial"/>
          <w:szCs w:val="24"/>
        </w:rPr>
        <w:t>2017</w:t>
      </w:r>
      <w:r w:rsidR="00DE081E">
        <w:rPr>
          <w:rFonts w:ascii="Arial" w:hAnsi="Arial" w:cs="Arial"/>
          <w:szCs w:val="24"/>
        </w:rPr>
        <w:t>. This</w:t>
      </w:r>
      <w:r w:rsidR="00A81001" w:rsidRPr="00A81001">
        <w:rPr>
          <w:rFonts w:ascii="Arial" w:hAnsi="Arial" w:cs="Arial"/>
          <w:szCs w:val="24"/>
        </w:rPr>
        <w:t xml:space="preserve"> had the effect of increasing the French tax rate by 10% for the current year</w:t>
      </w:r>
      <w:r w:rsidR="00990F9A">
        <w:rPr>
          <w:rFonts w:ascii="Arial" w:hAnsi="Arial" w:cs="Arial"/>
          <w:szCs w:val="24"/>
        </w:rPr>
        <w:t xml:space="preserve">, equivalent to </w:t>
      </w:r>
      <w:r w:rsidR="00AD4DA7">
        <w:rPr>
          <w:rFonts w:ascii="Arial" w:hAnsi="Arial" w:cs="Arial"/>
          <w:szCs w:val="24"/>
        </w:rPr>
        <w:t>c.</w:t>
      </w:r>
      <w:r w:rsidR="00990F9A">
        <w:rPr>
          <w:rFonts w:ascii="Arial" w:hAnsi="Arial" w:cs="Arial"/>
          <w:szCs w:val="24"/>
        </w:rPr>
        <w:t>£20 million</w:t>
      </w:r>
      <w:r w:rsidR="00A81001" w:rsidRPr="00A81001">
        <w:rPr>
          <w:rFonts w:ascii="Arial" w:hAnsi="Arial" w:cs="Arial"/>
          <w:szCs w:val="24"/>
        </w:rPr>
        <w:t xml:space="preserve">. </w:t>
      </w:r>
      <w:r w:rsidR="00CD3D76">
        <w:rPr>
          <w:rFonts w:ascii="Arial" w:hAnsi="Arial" w:cs="Arial"/>
          <w:szCs w:val="24"/>
        </w:rPr>
        <w:t xml:space="preserve">At a </w:t>
      </w:r>
      <w:r w:rsidR="00AA3DF5">
        <w:rPr>
          <w:rFonts w:ascii="Arial" w:hAnsi="Arial" w:cs="Arial"/>
          <w:szCs w:val="24"/>
        </w:rPr>
        <w:t>G</w:t>
      </w:r>
      <w:r w:rsidR="00CD3D76">
        <w:rPr>
          <w:rFonts w:ascii="Arial" w:hAnsi="Arial" w:cs="Arial"/>
          <w:szCs w:val="24"/>
        </w:rPr>
        <w:t xml:space="preserve">roup level this </w:t>
      </w:r>
      <w:r w:rsidR="00F209A7">
        <w:rPr>
          <w:rFonts w:ascii="Arial" w:hAnsi="Arial" w:cs="Arial"/>
          <w:szCs w:val="24"/>
        </w:rPr>
        <w:t xml:space="preserve">surcharge </w:t>
      </w:r>
      <w:r w:rsidR="00CD3D76">
        <w:rPr>
          <w:rFonts w:ascii="Arial" w:hAnsi="Arial" w:cs="Arial"/>
          <w:szCs w:val="24"/>
        </w:rPr>
        <w:t xml:space="preserve">increased the ETR by </w:t>
      </w:r>
      <w:r w:rsidR="00AD4DA7">
        <w:rPr>
          <w:rFonts w:ascii="Arial" w:hAnsi="Arial" w:cs="Arial"/>
          <w:szCs w:val="24"/>
        </w:rPr>
        <w:t>c.</w:t>
      </w:r>
      <w:r w:rsidR="00CD3D76">
        <w:rPr>
          <w:rFonts w:ascii="Arial" w:hAnsi="Arial" w:cs="Arial"/>
          <w:szCs w:val="24"/>
        </w:rPr>
        <w:t>3%.</w:t>
      </w:r>
      <w:r w:rsidRPr="0018703F">
        <w:rPr>
          <w:rFonts w:ascii="Arial" w:hAnsi="Arial" w:cs="Arial"/>
          <w:szCs w:val="24"/>
          <w:highlight w:val="yellow"/>
        </w:rPr>
        <w:t xml:space="preserve"> </w:t>
      </w:r>
    </w:p>
    <w:p w14:paraId="1178CF72" w14:textId="77777777" w:rsidR="00850C03" w:rsidRPr="0018703F" w:rsidRDefault="00850C03" w:rsidP="00850C03">
      <w:pPr>
        <w:ind w:right="-368"/>
        <w:jc w:val="left"/>
        <w:rPr>
          <w:rFonts w:ascii="Arial" w:hAnsi="Arial" w:cs="Arial"/>
          <w:szCs w:val="24"/>
          <w:highlight w:val="yellow"/>
        </w:rPr>
      </w:pPr>
    </w:p>
    <w:p w14:paraId="62BB028E" w14:textId="49B962C8" w:rsidR="00850C03" w:rsidRDefault="00850C03" w:rsidP="00850C03">
      <w:pPr>
        <w:ind w:right="-368"/>
        <w:jc w:val="left"/>
        <w:rPr>
          <w:rFonts w:ascii="Arial" w:hAnsi="Arial" w:cs="Arial"/>
          <w:szCs w:val="24"/>
        </w:rPr>
      </w:pPr>
      <w:bookmarkStart w:id="32" w:name="_Hlk507762779"/>
      <w:r w:rsidRPr="00D978CF">
        <w:rPr>
          <w:rFonts w:ascii="Arial" w:hAnsi="Arial" w:cs="Arial"/>
          <w:szCs w:val="24"/>
        </w:rPr>
        <w:t xml:space="preserve">The overall rate of tax includes the impact of exceptional items and prior year adjustments. The effect of such items reduced the rate from </w:t>
      </w:r>
      <w:r w:rsidR="00A81001" w:rsidRPr="00D978CF">
        <w:rPr>
          <w:rFonts w:ascii="Arial" w:hAnsi="Arial" w:cs="Arial"/>
          <w:szCs w:val="24"/>
        </w:rPr>
        <w:t>30</w:t>
      </w:r>
      <w:r w:rsidRPr="00D978CF">
        <w:rPr>
          <w:rFonts w:ascii="Arial" w:hAnsi="Arial" w:cs="Arial"/>
          <w:szCs w:val="24"/>
        </w:rPr>
        <w:t xml:space="preserve">% to </w:t>
      </w:r>
      <w:r w:rsidR="00A81001" w:rsidRPr="00D978CF">
        <w:rPr>
          <w:rFonts w:ascii="Arial" w:hAnsi="Arial" w:cs="Arial"/>
          <w:szCs w:val="24"/>
        </w:rPr>
        <w:t>29</w:t>
      </w:r>
      <w:r w:rsidRPr="00D978CF">
        <w:rPr>
          <w:rFonts w:ascii="Arial" w:hAnsi="Arial" w:cs="Arial"/>
          <w:szCs w:val="24"/>
        </w:rPr>
        <w:t xml:space="preserve">%. </w:t>
      </w:r>
      <w:bookmarkStart w:id="33" w:name="_Hlk507762595"/>
      <w:r w:rsidRPr="00D978CF">
        <w:rPr>
          <w:rFonts w:ascii="Arial" w:hAnsi="Arial" w:cs="Arial"/>
          <w:szCs w:val="24"/>
        </w:rPr>
        <w:t xml:space="preserve">This predominately reflects enacted rate reductions in France, due to have </w:t>
      </w:r>
      <w:r w:rsidR="00A81001" w:rsidRPr="00D978CF">
        <w:rPr>
          <w:rFonts w:ascii="Arial" w:hAnsi="Arial" w:cs="Arial"/>
          <w:szCs w:val="24"/>
        </w:rPr>
        <w:t xml:space="preserve">progressive </w:t>
      </w:r>
      <w:r w:rsidRPr="00D978CF">
        <w:rPr>
          <w:rFonts w:ascii="Arial" w:hAnsi="Arial" w:cs="Arial"/>
          <w:szCs w:val="24"/>
        </w:rPr>
        <w:t xml:space="preserve">effect </w:t>
      </w:r>
      <w:r w:rsidR="00A81001" w:rsidRPr="00D978CF">
        <w:rPr>
          <w:rFonts w:ascii="Arial" w:hAnsi="Arial" w:cs="Arial"/>
          <w:szCs w:val="24"/>
        </w:rPr>
        <w:t xml:space="preserve">from </w:t>
      </w:r>
      <w:r w:rsidR="00AA3DF5">
        <w:rPr>
          <w:rFonts w:ascii="Arial" w:hAnsi="Arial" w:cs="Arial"/>
          <w:szCs w:val="24"/>
        </w:rPr>
        <w:t>FY 20</w:t>
      </w:r>
      <w:r w:rsidR="00A81001" w:rsidRPr="00D978CF">
        <w:rPr>
          <w:rFonts w:ascii="Arial" w:hAnsi="Arial" w:cs="Arial"/>
          <w:szCs w:val="24"/>
        </w:rPr>
        <w:t>19/20</w:t>
      </w:r>
      <w:r w:rsidRPr="00D978CF">
        <w:rPr>
          <w:rFonts w:ascii="Arial" w:hAnsi="Arial" w:cs="Arial"/>
          <w:szCs w:val="24"/>
        </w:rPr>
        <w:t xml:space="preserve">, which have resulted in deferred tax credits in the year, </w:t>
      </w:r>
      <w:r w:rsidR="005803E6" w:rsidRPr="00D978CF">
        <w:rPr>
          <w:rFonts w:ascii="Arial" w:hAnsi="Arial" w:cs="Arial"/>
          <w:szCs w:val="24"/>
        </w:rPr>
        <w:t xml:space="preserve">partially offset by a net increase in </w:t>
      </w:r>
      <w:r w:rsidRPr="00D978CF">
        <w:rPr>
          <w:rFonts w:ascii="Arial" w:hAnsi="Arial" w:cs="Arial"/>
          <w:szCs w:val="24"/>
        </w:rPr>
        <w:t xml:space="preserve">prior year provisions which </w:t>
      </w:r>
      <w:r w:rsidR="00027033" w:rsidRPr="00D978CF">
        <w:rPr>
          <w:rFonts w:ascii="Arial" w:hAnsi="Arial" w:cs="Arial"/>
          <w:szCs w:val="24"/>
        </w:rPr>
        <w:t xml:space="preserve">reflect </w:t>
      </w:r>
      <w:r w:rsidR="00027033" w:rsidRPr="00A01E40">
        <w:rPr>
          <w:rFonts w:ascii="Arial" w:hAnsi="Arial" w:cs="Arial"/>
          <w:szCs w:val="24"/>
        </w:rPr>
        <w:t>a</w:t>
      </w:r>
      <w:r w:rsidR="00027033" w:rsidRPr="00027033">
        <w:rPr>
          <w:rFonts w:ascii="Arial" w:hAnsi="Arial" w:cs="Arial"/>
          <w:szCs w:val="24"/>
        </w:rPr>
        <w:t xml:space="preserve"> reassessment of expected outcomes, agreed positions with tax authorities and items that have time expired.</w:t>
      </w:r>
      <w:bookmarkEnd w:id="33"/>
    </w:p>
    <w:bookmarkEnd w:id="32"/>
    <w:p w14:paraId="4B122919" w14:textId="734D0A12" w:rsidR="00850C03" w:rsidRDefault="00850C03" w:rsidP="00850C03">
      <w:pPr>
        <w:jc w:val="left"/>
        <w:rPr>
          <w:rFonts w:ascii="Arial" w:hAnsi="Arial" w:cs="Arial"/>
          <w:szCs w:val="24"/>
        </w:rPr>
      </w:pPr>
    </w:p>
    <w:tbl>
      <w:tblPr>
        <w:tblW w:w="5000" w:type="pct"/>
        <w:tblCellMar>
          <w:left w:w="0" w:type="dxa"/>
          <w:right w:w="0" w:type="dxa"/>
        </w:tblCellMar>
        <w:tblLook w:val="04A0" w:firstRow="1" w:lastRow="0" w:firstColumn="1" w:lastColumn="0" w:noHBand="0" w:noVBand="1"/>
      </w:tblPr>
      <w:tblGrid>
        <w:gridCol w:w="3460"/>
        <w:gridCol w:w="918"/>
        <w:gridCol w:w="1169"/>
        <w:gridCol w:w="1183"/>
        <w:gridCol w:w="815"/>
        <w:gridCol w:w="913"/>
        <w:gridCol w:w="1183"/>
      </w:tblGrid>
      <w:tr w:rsidR="00C80BF7" w:rsidRPr="00D22B7C" w14:paraId="244F8DCA" w14:textId="77777777" w:rsidTr="0091328D">
        <w:trPr>
          <w:trHeight w:val="595"/>
        </w:trPr>
        <w:tc>
          <w:tcPr>
            <w:tcW w:w="3460" w:type="dxa"/>
            <w:tcBorders>
              <w:top w:val="nil"/>
              <w:left w:val="nil"/>
              <w:bottom w:val="single" w:sz="8" w:space="0" w:color="auto"/>
              <w:right w:val="nil"/>
            </w:tcBorders>
            <w:tcMar>
              <w:top w:w="0" w:type="dxa"/>
              <w:left w:w="108" w:type="dxa"/>
              <w:bottom w:w="0" w:type="dxa"/>
              <w:right w:w="108" w:type="dxa"/>
            </w:tcMar>
            <w:hideMark/>
          </w:tcPr>
          <w:p w14:paraId="12BF8FAF" w14:textId="77777777" w:rsidR="00C80BF7" w:rsidRPr="00D22B7C" w:rsidRDefault="00C80BF7" w:rsidP="00A92EAB">
            <w:pPr>
              <w:rPr>
                <w:rFonts w:ascii="Arial" w:hAnsi="Arial" w:cs="Arial"/>
                <w:b/>
                <w:bCs/>
              </w:rPr>
            </w:pPr>
            <w:bookmarkStart w:id="34" w:name="_Hlk508962375"/>
            <w:r w:rsidRPr="00D22B7C">
              <w:rPr>
                <w:rFonts w:ascii="Arial" w:hAnsi="Arial" w:cs="Arial"/>
                <w:b/>
                <w:bCs/>
              </w:rPr>
              <w:t>Effective tax rate calculation</w:t>
            </w:r>
          </w:p>
        </w:tc>
        <w:tc>
          <w:tcPr>
            <w:tcW w:w="918" w:type="dxa"/>
            <w:tcBorders>
              <w:top w:val="nil"/>
              <w:left w:val="nil"/>
              <w:bottom w:val="single" w:sz="8" w:space="0" w:color="auto"/>
              <w:right w:val="nil"/>
            </w:tcBorders>
            <w:tcMar>
              <w:top w:w="0" w:type="dxa"/>
              <w:left w:w="108" w:type="dxa"/>
              <w:bottom w:w="0" w:type="dxa"/>
              <w:right w:w="108" w:type="dxa"/>
            </w:tcMar>
            <w:hideMark/>
          </w:tcPr>
          <w:p w14:paraId="59F7D9C1" w14:textId="77777777" w:rsidR="00C80BF7" w:rsidRPr="00D22B7C" w:rsidRDefault="00C80BF7" w:rsidP="00A92EAB">
            <w:pPr>
              <w:jc w:val="right"/>
              <w:rPr>
                <w:rFonts w:ascii="Arial" w:hAnsi="Arial" w:cs="Arial"/>
                <w:b/>
                <w:bCs/>
              </w:rPr>
            </w:pPr>
            <w:r w:rsidRPr="00D22B7C">
              <w:rPr>
                <w:rFonts w:ascii="Arial" w:hAnsi="Arial" w:cs="Arial"/>
                <w:b/>
                <w:bCs/>
              </w:rPr>
              <w:t>Profit</w:t>
            </w:r>
          </w:p>
          <w:p w14:paraId="1469AF43" w14:textId="77777777" w:rsidR="00C80BF7" w:rsidRPr="00D22B7C" w:rsidRDefault="00C80BF7" w:rsidP="00A92EAB">
            <w:pPr>
              <w:jc w:val="right"/>
              <w:rPr>
                <w:rFonts w:ascii="Arial" w:hAnsi="Arial" w:cs="Arial"/>
                <w:b/>
                <w:bCs/>
              </w:rPr>
            </w:pPr>
            <w:r w:rsidRPr="00D22B7C">
              <w:rPr>
                <w:rFonts w:ascii="Arial" w:hAnsi="Arial" w:cs="Arial"/>
                <w:b/>
                <w:bCs/>
              </w:rPr>
              <w:t>£m</w:t>
            </w:r>
          </w:p>
        </w:tc>
        <w:tc>
          <w:tcPr>
            <w:tcW w:w="1169" w:type="dxa"/>
            <w:tcBorders>
              <w:top w:val="nil"/>
              <w:left w:val="nil"/>
              <w:bottom w:val="single" w:sz="8" w:space="0" w:color="auto"/>
              <w:right w:val="nil"/>
            </w:tcBorders>
            <w:tcMar>
              <w:top w:w="0" w:type="dxa"/>
              <w:left w:w="108" w:type="dxa"/>
              <w:bottom w:w="0" w:type="dxa"/>
              <w:right w:w="108" w:type="dxa"/>
            </w:tcMar>
            <w:hideMark/>
          </w:tcPr>
          <w:p w14:paraId="35755144" w14:textId="77777777" w:rsidR="00C80BF7" w:rsidRPr="00D22B7C" w:rsidRDefault="00C80BF7" w:rsidP="00A92EAB">
            <w:pPr>
              <w:jc w:val="right"/>
              <w:rPr>
                <w:rFonts w:ascii="Arial" w:hAnsi="Arial" w:cs="Arial"/>
                <w:b/>
                <w:bCs/>
              </w:rPr>
            </w:pPr>
            <w:r w:rsidRPr="00D22B7C">
              <w:rPr>
                <w:rFonts w:ascii="Arial" w:hAnsi="Arial" w:cs="Arial"/>
                <w:b/>
                <w:bCs/>
              </w:rPr>
              <w:t xml:space="preserve">Tax </w:t>
            </w:r>
          </w:p>
          <w:p w14:paraId="70BB72D2" w14:textId="77777777" w:rsidR="00C80BF7" w:rsidRPr="00D22B7C" w:rsidRDefault="00C80BF7" w:rsidP="00A92EAB">
            <w:pPr>
              <w:jc w:val="right"/>
              <w:rPr>
                <w:rFonts w:ascii="Arial" w:hAnsi="Arial" w:cs="Arial"/>
                <w:b/>
                <w:bCs/>
              </w:rPr>
            </w:pPr>
            <w:r w:rsidRPr="00D22B7C">
              <w:rPr>
                <w:rFonts w:ascii="Arial" w:hAnsi="Arial" w:cs="Arial"/>
                <w:b/>
                <w:bCs/>
              </w:rPr>
              <w:t>£m</w:t>
            </w:r>
          </w:p>
        </w:tc>
        <w:tc>
          <w:tcPr>
            <w:tcW w:w="1183" w:type="dxa"/>
            <w:tcBorders>
              <w:top w:val="nil"/>
              <w:left w:val="nil"/>
              <w:bottom w:val="single" w:sz="8" w:space="0" w:color="auto"/>
              <w:right w:val="nil"/>
            </w:tcBorders>
            <w:tcMar>
              <w:top w:w="0" w:type="dxa"/>
              <w:left w:w="108" w:type="dxa"/>
              <w:bottom w:w="0" w:type="dxa"/>
              <w:right w:w="108" w:type="dxa"/>
            </w:tcMar>
            <w:hideMark/>
          </w:tcPr>
          <w:p w14:paraId="6230C950" w14:textId="77777777" w:rsidR="00C80BF7" w:rsidRPr="00D22B7C" w:rsidRDefault="00C80BF7" w:rsidP="00A92EAB">
            <w:pPr>
              <w:jc w:val="right"/>
              <w:rPr>
                <w:rFonts w:ascii="Arial" w:hAnsi="Arial" w:cs="Arial"/>
                <w:b/>
                <w:bCs/>
              </w:rPr>
            </w:pPr>
            <w:r w:rsidRPr="00D22B7C">
              <w:rPr>
                <w:rFonts w:ascii="Arial" w:hAnsi="Arial" w:cs="Arial"/>
                <w:b/>
                <w:bCs/>
              </w:rPr>
              <w:t>201</w:t>
            </w:r>
            <w:r>
              <w:rPr>
                <w:rFonts w:ascii="Arial" w:hAnsi="Arial" w:cs="Arial"/>
                <w:b/>
                <w:bCs/>
              </w:rPr>
              <w:t>7</w:t>
            </w:r>
            <w:r w:rsidRPr="00D22B7C">
              <w:rPr>
                <w:rFonts w:ascii="Arial" w:hAnsi="Arial" w:cs="Arial"/>
                <w:b/>
                <w:bCs/>
              </w:rPr>
              <w:t>/1</w:t>
            </w:r>
            <w:r>
              <w:rPr>
                <w:rFonts w:ascii="Arial" w:hAnsi="Arial" w:cs="Arial"/>
                <w:b/>
                <w:bCs/>
              </w:rPr>
              <w:t>8</w:t>
            </w:r>
          </w:p>
          <w:p w14:paraId="04A7F8FA" w14:textId="77777777" w:rsidR="00C80BF7" w:rsidRPr="00D22B7C" w:rsidRDefault="00C80BF7" w:rsidP="00A92EAB">
            <w:pPr>
              <w:jc w:val="right"/>
              <w:rPr>
                <w:rFonts w:ascii="Arial" w:hAnsi="Arial" w:cs="Arial"/>
                <w:b/>
                <w:bCs/>
              </w:rPr>
            </w:pPr>
            <w:r w:rsidRPr="00D22B7C">
              <w:rPr>
                <w:rFonts w:ascii="Arial" w:hAnsi="Arial" w:cs="Arial"/>
                <w:b/>
                <w:bCs/>
              </w:rPr>
              <w:t>%</w:t>
            </w:r>
          </w:p>
        </w:tc>
        <w:tc>
          <w:tcPr>
            <w:tcW w:w="815" w:type="dxa"/>
            <w:tcBorders>
              <w:top w:val="nil"/>
              <w:left w:val="nil"/>
              <w:bottom w:val="single" w:sz="8" w:space="0" w:color="auto"/>
              <w:right w:val="nil"/>
            </w:tcBorders>
          </w:tcPr>
          <w:p w14:paraId="37335AC4" w14:textId="77777777" w:rsidR="00C80BF7" w:rsidRDefault="00C80BF7" w:rsidP="00A92EAB">
            <w:pPr>
              <w:jc w:val="right"/>
              <w:rPr>
                <w:rFonts w:ascii="Arial" w:hAnsi="Arial" w:cs="Arial"/>
              </w:rPr>
            </w:pPr>
            <w:r>
              <w:rPr>
                <w:rFonts w:ascii="Arial" w:hAnsi="Arial" w:cs="Arial"/>
              </w:rPr>
              <w:t>Profit</w:t>
            </w:r>
          </w:p>
          <w:p w14:paraId="0D7BC7B1" w14:textId="1A9A43AE" w:rsidR="00C80BF7" w:rsidRDefault="00C80BF7" w:rsidP="00A92EAB">
            <w:pPr>
              <w:jc w:val="right"/>
              <w:rPr>
                <w:rFonts w:ascii="Arial" w:hAnsi="Arial" w:cs="Arial"/>
              </w:rPr>
            </w:pPr>
            <w:r>
              <w:rPr>
                <w:rFonts w:ascii="Arial" w:hAnsi="Arial" w:cs="Arial"/>
              </w:rPr>
              <w:t>£m</w:t>
            </w:r>
          </w:p>
        </w:tc>
        <w:tc>
          <w:tcPr>
            <w:tcW w:w="913" w:type="dxa"/>
            <w:tcBorders>
              <w:top w:val="nil"/>
              <w:left w:val="nil"/>
              <w:bottom w:val="single" w:sz="8" w:space="0" w:color="auto"/>
              <w:right w:val="nil"/>
            </w:tcBorders>
          </w:tcPr>
          <w:p w14:paraId="018B4690" w14:textId="245C8C36" w:rsidR="00C80BF7" w:rsidRDefault="00C80BF7" w:rsidP="00A92EAB">
            <w:pPr>
              <w:jc w:val="right"/>
              <w:rPr>
                <w:rFonts w:ascii="Arial" w:hAnsi="Arial" w:cs="Arial"/>
              </w:rPr>
            </w:pPr>
            <w:r>
              <w:rPr>
                <w:rFonts w:ascii="Arial" w:hAnsi="Arial" w:cs="Arial"/>
              </w:rPr>
              <w:t>Tax</w:t>
            </w:r>
          </w:p>
          <w:p w14:paraId="712B2278" w14:textId="5301A7B2" w:rsidR="00C80BF7" w:rsidRPr="00D22B7C" w:rsidRDefault="00C80BF7" w:rsidP="00A92EAB">
            <w:pPr>
              <w:jc w:val="right"/>
              <w:rPr>
                <w:rFonts w:ascii="Arial" w:hAnsi="Arial" w:cs="Arial"/>
              </w:rPr>
            </w:pPr>
            <w:r>
              <w:rPr>
                <w:rFonts w:ascii="Arial" w:hAnsi="Arial" w:cs="Arial"/>
              </w:rPr>
              <w:t>£m</w:t>
            </w:r>
          </w:p>
        </w:tc>
        <w:tc>
          <w:tcPr>
            <w:tcW w:w="1183" w:type="dxa"/>
            <w:tcBorders>
              <w:top w:val="nil"/>
              <w:left w:val="nil"/>
              <w:bottom w:val="single" w:sz="8" w:space="0" w:color="auto"/>
              <w:right w:val="nil"/>
            </w:tcBorders>
            <w:tcMar>
              <w:top w:w="0" w:type="dxa"/>
              <w:left w:w="108" w:type="dxa"/>
              <w:bottom w:w="0" w:type="dxa"/>
              <w:right w:w="108" w:type="dxa"/>
            </w:tcMar>
            <w:hideMark/>
          </w:tcPr>
          <w:p w14:paraId="3B074C69" w14:textId="6647F266" w:rsidR="00C80BF7" w:rsidRPr="00D22B7C" w:rsidRDefault="00C80BF7" w:rsidP="00A92EAB">
            <w:pPr>
              <w:jc w:val="right"/>
              <w:rPr>
                <w:rFonts w:ascii="Arial" w:hAnsi="Arial" w:cs="Arial"/>
              </w:rPr>
            </w:pPr>
            <w:r w:rsidRPr="00D22B7C">
              <w:rPr>
                <w:rFonts w:ascii="Arial" w:hAnsi="Arial" w:cs="Arial"/>
              </w:rPr>
              <w:t>201</w:t>
            </w:r>
            <w:r>
              <w:rPr>
                <w:rFonts w:ascii="Arial" w:hAnsi="Arial" w:cs="Arial"/>
              </w:rPr>
              <w:t>6</w:t>
            </w:r>
            <w:r w:rsidRPr="00D22B7C">
              <w:rPr>
                <w:rFonts w:ascii="Arial" w:hAnsi="Arial" w:cs="Arial"/>
              </w:rPr>
              <w:t>/1</w:t>
            </w:r>
            <w:r>
              <w:rPr>
                <w:rFonts w:ascii="Arial" w:hAnsi="Arial" w:cs="Arial"/>
              </w:rPr>
              <w:t>7</w:t>
            </w:r>
          </w:p>
          <w:p w14:paraId="220B3DD3" w14:textId="77777777" w:rsidR="00C80BF7" w:rsidRPr="00D22B7C" w:rsidRDefault="00C80BF7" w:rsidP="00A92EAB">
            <w:pPr>
              <w:jc w:val="right"/>
              <w:rPr>
                <w:rFonts w:ascii="Arial" w:hAnsi="Arial" w:cs="Arial"/>
              </w:rPr>
            </w:pPr>
            <w:r w:rsidRPr="00D22B7C">
              <w:rPr>
                <w:rFonts w:ascii="Arial" w:hAnsi="Arial" w:cs="Arial"/>
              </w:rPr>
              <w:t>%</w:t>
            </w:r>
          </w:p>
        </w:tc>
      </w:tr>
      <w:tr w:rsidR="00C80BF7" w:rsidRPr="00D22B7C" w14:paraId="46F4C4EE" w14:textId="77777777" w:rsidTr="0091328D">
        <w:trPr>
          <w:trHeight w:val="176"/>
        </w:trPr>
        <w:tc>
          <w:tcPr>
            <w:tcW w:w="3460" w:type="dxa"/>
            <w:tcMar>
              <w:top w:w="0" w:type="dxa"/>
              <w:left w:w="108" w:type="dxa"/>
              <w:bottom w:w="0" w:type="dxa"/>
              <w:right w:w="108" w:type="dxa"/>
            </w:tcMar>
            <w:hideMark/>
          </w:tcPr>
          <w:p w14:paraId="1AFF3276" w14:textId="77777777" w:rsidR="00C80BF7" w:rsidRPr="00C36E6F" w:rsidRDefault="00C80BF7" w:rsidP="00A92EAB">
            <w:pPr>
              <w:rPr>
                <w:rFonts w:ascii="Arial" w:hAnsi="Arial" w:cs="Arial"/>
              </w:rPr>
            </w:pPr>
            <w:r w:rsidRPr="00C36E6F">
              <w:rPr>
                <w:rFonts w:ascii="Arial" w:hAnsi="Arial" w:cs="Arial"/>
              </w:rPr>
              <w:t>Profit before tax and exceptional items</w:t>
            </w:r>
          </w:p>
        </w:tc>
        <w:tc>
          <w:tcPr>
            <w:tcW w:w="918" w:type="dxa"/>
            <w:tcMar>
              <w:top w:w="0" w:type="dxa"/>
              <w:left w:w="108" w:type="dxa"/>
              <w:bottom w:w="0" w:type="dxa"/>
              <w:right w:w="108" w:type="dxa"/>
            </w:tcMar>
            <w:hideMark/>
          </w:tcPr>
          <w:p w14:paraId="4B3F958F" w14:textId="19CCC1CF" w:rsidR="00C80BF7" w:rsidRPr="0091328D" w:rsidRDefault="00C80BF7" w:rsidP="00A92EAB">
            <w:pPr>
              <w:jc w:val="right"/>
              <w:rPr>
                <w:rFonts w:ascii="Arial" w:hAnsi="Arial" w:cs="Arial"/>
                <w:b/>
              </w:rPr>
            </w:pPr>
            <w:r w:rsidRPr="0091328D">
              <w:rPr>
                <w:rFonts w:ascii="Arial" w:hAnsi="Arial" w:cs="Arial"/>
                <w:b/>
              </w:rPr>
              <w:t>682</w:t>
            </w:r>
          </w:p>
        </w:tc>
        <w:tc>
          <w:tcPr>
            <w:tcW w:w="1169" w:type="dxa"/>
            <w:tcMar>
              <w:top w:w="0" w:type="dxa"/>
              <w:left w:w="108" w:type="dxa"/>
              <w:bottom w:w="0" w:type="dxa"/>
              <w:right w:w="108" w:type="dxa"/>
            </w:tcMar>
            <w:hideMark/>
          </w:tcPr>
          <w:p w14:paraId="61596DBB" w14:textId="5F33E75B" w:rsidR="00C80BF7" w:rsidRPr="0091328D" w:rsidRDefault="00C80BF7" w:rsidP="00A92EAB">
            <w:pPr>
              <w:jc w:val="right"/>
              <w:rPr>
                <w:rFonts w:ascii="Arial" w:hAnsi="Arial" w:cs="Arial"/>
                <w:b/>
              </w:rPr>
            </w:pPr>
            <w:r w:rsidRPr="0091328D">
              <w:rPr>
                <w:rFonts w:ascii="Arial" w:hAnsi="Arial" w:cs="Arial"/>
                <w:b/>
              </w:rPr>
              <w:t>(204)</w:t>
            </w:r>
          </w:p>
        </w:tc>
        <w:tc>
          <w:tcPr>
            <w:tcW w:w="1183" w:type="dxa"/>
            <w:tcMar>
              <w:top w:w="0" w:type="dxa"/>
              <w:left w:w="108" w:type="dxa"/>
              <w:bottom w:w="0" w:type="dxa"/>
              <w:right w:w="108" w:type="dxa"/>
            </w:tcMar>
            <w:hideMark/>
          </w:tcPr>
          <w:p w14:paraId="3ED39685" w14:textId="653F80FF" w:rsidR="00C80BF7" w:rsidRPr="0091328D" w:rsidRDefault="00C80BF7" w:rsidP="00A92EAB">
            <w:pPr>
              <w:jc w:val="right"/>
              <w:rPr>
                <w:rFonts w:ascii="Arial" w:hAnsi="Arial" w:cs="Arial"/>
                <w:b/>
              </w:rPr>
            </w:pPr>
            <w:r w:rsidRPr="0091328D">
              <w:rPr>
                <w:rFonts w:ascii="Arial" w:hAnsi="Arial" w:cs="Arial"/>
                <w:b/>
              </w:rPr>
              <w:t>30%</w:t>
            </w:r>
          </w:p>
        </w:tc>
        <w:tc>
          <w:tcPr>
            <w:tcW w:w="815" w:type="dxa"/>
          </w:tcPr>
          <w:p w14:paraId="3AD56528" w14:textId="6066CB51" w:rsidR="00C80BF7" w:rsidRDefault="00C80BF7" w:rsidP="00A92EAB">
            <w:pPr>
              <w:jc w:val="right"/>
              <w:rPr>
                <w:rFonts w:ascii="Arial" w:hAnsi="Arial" w:cs="Arial"/>
              </w:rPr>
            </w:pPr>
            <w:r>
              <w:rPr>
                <w:rFonts w:ascii="Arial" w:hAnsi="Arial" w:cs="Arial"/>
              </w:rPr>
              <w:t>742</w:t>
            </w:r>
          </w:p>
        </w:tc>
        <w:tc>
          <w:tcPr>
            <w:tcW w:w="913" w:type="dxa"/>
          </w:tcPr>
          <w:p w14:paraId="2038DE56" w14:textId="60A87D22" w:rsidR="00C80BF7" w:rsidRPr="00D978CF" w:rsidRDefault="00C80BF7" w:rsidP="00A92EAB">
            <w:pPr>
              <w:jc w:val="right"/>
              <w:rPr>
                <w:rFonts w:ascii="Arial" w:hAnsi="Arial" w:cs="Arial"/>
              </w:rPr>
            </w:pPr>
            <w:r>
              <w:rPr>
                <w:rFonts w:ascii="Arial" w:hAnsi="Arial" w:cs="Arial"/>
              </w:rPr>
              <w:t>(192)</w:t>
            </w:r>
          </w:p>
        </w:tc>
        <w:tc>
          <w:tcPr>
            <w:tcW w:w="1183" w:type="dxa"/>
            <w:tcMar>
              <w:top w:w="0" w:type="dxa"/>
              <w:left w:w="108" w:type="dxa"/>
              <w:bottom w:w="0" w:type="dxa"/>
              <w:right w:w="108" w:type="dxa"/>
            </w:tcMar>
            <w:hideMark/>
          </w:tcPr>
          <w:p w14:paraId="56424242" w14:textId="1ED6599F" w:rsidR="00C80BF7" w:rsidRPr="00D978CF" w:rsidRDefault="00C80BF7" w:rsidP="00A92EAB">
            <w:pPr>
              <w:jc w:val="right"/>
              <w:rPr>
                <w:rFonts w:ascii="Arial" w:hAnsi="Arial" w:cs="Arial"/>
              </w:rPr>
            </w:pPr>
            <w:r w:rsidRPr="00D978CF">
              <w:rPr>
                <w:rFonts w:ascii="Arial" w:hAnsi="Arial" w:cs="Arial"/>
              </w:rPr>
              <w:t>26%</w:t>
            </w:r>
          </w:p>
        </w:tc>
      </w:tr>
      <w:tr w:rsidR="00C80BF7" w:rsidRPr="00D22B7C" w14:paraId="62EF9784" w14:textId="77777777" w:rsidTr="0091328D">
        <w:trPr>
          <w:trHeight w:val="311"/>
        </w:trPr>
        <w:tc>
          <w:tcPr>
            <w:tcW w:w="3460" w:type="dxa"/>
            <w:tcBorders>
              <w:top w:val="nil"/>
              <w:left w:val="nil"/>
              <w:right w:val="nil"/>
            </w:tcBorders>
            <w:tcMar>
              <w:top w:w="0" w:type="dxa"/>
              <w:left w:w="108" w:type="dxa"/>
              <w:bottom w:w="0" w:type="dxa"/>
              <w:right w:w="108" w:type="dxa"/>
            </w:tcMar>
          </w:tcPr>
          <w:p w14:paraId="3AF1D13D" w14:textId="7913CD2B" w:rsidR="00C80BF7" w:rsidRPr="00C36E6F" w:rsidRDefault="00C80BF7" w:rsidP="00A92EAB">
            <w:pPr>
              <w:rPr>
                <w:rFonts w:ascii="Arial" w:hAnsi="Arial" w:cs="Arial"/>
              </w:rPr>
            </w:pPr>
            <w:r>
              <w:rPr>
                <w:rFonts w:ascii="Arial" w:hAnsi="Arial" w:cs="Arial"/>
              </w:rPr>
              <w:t>Exceptional items</w:t>
            </w:r>
          </w:p>
        </w:tc>
        <w:tc>
          <w:tcPr>
            <w:tcW w:w="918" w:type="dxa"/>
            <w:tcBorders>
              <w:top w:val="nil"/>
              <w:left w:val="nil"/>
              <w:right w:val="nil"/>
            </w:tcBorders>
            <w:tcMar>
              <w:top w:w="0" w:type="dxa"/>
              <w:left w:w="108" w:type="dxa"/>
              <w:bottom w:w="0" w:type="dxa"/>
              <w:right w:w="108" w:type="dxa"/>
            </w:tcMar>
          </w:tcPr>
          <w:p w14:paraId="69F4D1AC" w14:textId="209BA8D4" w:rsidR="00C80BF7" w:rsidRPr="00C80BF7" w:rsidRDefault="00C80BF7" w:rsidP="00A92EAB">
            <w:pPr>
              <w:jc w:val="right"/>
              <w:rPr>
                <w:rFonts w:ascii="Arial" w:hAnsi="Arial" w:cs="Arial"/>
                <w:b/>
                <w:bCs/>
              </w:rPr>
            </w:pPr>
            <w:r w:rsidRPr="00C80BF7">
              <w:rPr>
                <w:rFonts w:ascii="Arial" w:hAnsi="Arial" w:cs="Arial"/>
                <w:b/>
                <w:bCs/>
              </w:rPr>
              <w:t>-</w:t>
            </w:r>
          </w:p>
        </w:tc>
        <w:tc>
          <w:tcPr>
            <w:tcW w:w="1169" w:type="dxa"/>
            <w:tcBorders>
              <w:top w:val="nil"/>
              <w:left w:val="nil"/>
              <w:right w:val="nil"/>
            </w:tcBorders>
            <w:tcMar>
              <w:top w:w="0" w:type="dxa"/>
              <w:left w:w="108" w:type="dxa"/>
              <w:bottom w:w="0" w:type="dxa"/>
              <w:right w:w="108" w:type="dxa"/>
            </w:tcMar>
          </w:tcPr>
          <w:p w14:paraId="701C9C62" w14:textId="4F527D86" w:rsidR="00C80BF7" w:rsidRPr="0091328D" w:rsidRDefault="00C80BF7" w:rsidP="00A92EAB">
            <w:pPr>
              <w:jc w:val="right"/>
              <w:rPr>
                <w:rFonts w:ascii="Arial" w:hAnsi="Arial" w:cs="Arial"/>
                <w:b/>
              </w:rPr>
            </w:pPr>
            <w:r w:rsidRPr="0091328D">
              <w:rPr>
                <w:rFonts w:ascii="Arial" w:hAnsi="Arial" w:cs="Arial"/>
                <w:b/>
              </w:rPr>
              <w:t>-</w:t>
            </w:r>
          </w:p>
        </w:tc>
        <w:tc>
          <w:tcPr>
            <w:tcW w:w="1183" w:type="dxa"/>
            <w:tcBorders>
              <w:top w:val="nil"/>
              <w:left w:val="nil"/>
              <w:right w:val="nil"/>
            </w:tcBorders>
            <w:tcMar>
              <w:top w:w="0" w:type="dxa"/>
              <w:left w:w="108" w:type="dxa"/>
              <w:bottom w:w="0" w:type="dxa"/>
              <w:right w:w="108" w:type="dxa"/>
            </w:tcMar>
          </w:tcPr>
          <w:p w14:paraId="14A840D5" w14:textId="77777777" w:rsidR="00C80BF7" w:rsidRPr="00C80BF7" w:rsidRDefault="00C80BF7" w:rsidP="00A92EAB">
            <w:pPr>
              <w:jc w:val="right"/>
              <w:rPr>
                <w:rFonts w:ascii="Arial" w:hAnsi="Arial" w:cs="Arial"/>
                <w:b/>
                <w:bCs/>
              </w:rPr>
            </w:pPr>
          </w:p>
        </w:tc>
        <w:tc>
          <w:tcPr>
            <w:tcW w:w="815" w:type="dxa"/>
            <w:tcBorders>
              <w:top w:val="nil"/>
              <w:left w:val="nil"/>
              <w:right w:val="nil"/>
            </w:tcBorders>
          </w:tcPr>
          <w:p w14:paraId="54D056CE" w14:textId="02C19B19" w:rsidR="00C80BF7" w:rsidRDefault="00C80BF7" w:rsidP="00A92EAB">
            <w:pPr>
              <w:jc w:val="right"/>
              <w:rPr>
                <w:rFonts w:ascii="Arial" w:hAnsi="Arial" w:cs="Arial"/>
              </w:rPr>
            </w:pPr>
            <w:r>
              <w:rPr>
                <w:rFonts w:ascii="Arial" w:hAnsi="Arial" w:cs="Arial"/>
              </w:rPr>
              <w:t>17</w:t>
            </w:r>
          </w:p>
        </w:tc>
        <w:tc>
          <w:tcPr>
            <w:tcW w:w="913" w:type="dxa"/>
            <w:tcBorders>
              <w:top w:val="nil"/>
              <w:left w:val="nil"/>
              <w:right w:val="nil"/>
            </w:tcBorders>
          </w:tcPr>
          <w:p w14:paraId="15CBEE25" w14:textId="27968746" w:rsidR="00C80BF7" w:rsidRPr="00D978CF" w:rsidRDefault="00C80BF7" w:rsidP="00A92EAB">
            <w:pPr>
              <w:jc w:val="right"/>
              <w:rPr>
                <w:rFonts w:ascii="Arial" w:hAnsi="Arial" w:cs="Arial"/>
              </w:rPr>
            </w:pPr>
            <w:r>
              <w:rPr>
                <w:rFonts w:ascii="Arial" w:hAnsi="Arial" w:cs="Arial"/>
              </w:rPr>
              <w:t>(6)</w:t>
            </w:r>
          </w:p>
        </w:tc>
        <w:tc>
          <w:tcPr>
            <w:tcW w:w="1183" w:type="dxa"/>
            <w:tcBorders>
              <w:top w:val="nil"/>
              <w:left w:val="nil"/>
              <w:right w:val="nil"/>
            </w:tcBorders>
            <w:tcMar>
              <w:top w:w="0" w:type="dxa"/>
              <w:left w:w="108" w:type="dxa"/>
              <w:bottom w:w="0" w:type="dxa"/>
              <w:right w:w="108" w:type="dxa"/>
            </w:tcMar>
          </w:tcPr>
          <w:p w14:paraId="4B7BAED9" w14:textId="77777777" w:rsidR="00C80BF7" w:rsidRPr="00D978CF" w:rsidRDefault="00C80BF7" w:rsidP="00A92EAB">
            <w:pPr>
              <w:jc w:val="right"/>
              <w:rPr>
                <w:rFonts w:ascii="Arial" w:hAnsi="Arial" w:cs="Arial"/>
              </w:rPr>
            </w:pPr>
          </w:p>
        </w:tc>
      </w:tr>
      <w:tr w:rsidR="00C80BF7" w:rsidRPr="00D22B7C" w14:paraId="586241EC" w14:textId="77777777" w:rsidTr="0091328D">
        <w:trPr>
          <w:trHeight w:val="311"/>
        </w:trPr>
        <w:tc>
          <w:tcPr>
            <w:tcW w:w="3460" w:type="dxa"/>
            <w:tcBorders>
              <w:top w:val="nil"/>
              <w:left w:val="nil"/>
              <w:bottom w:val="single" w:sz="8" w:space="0" w:color="auto"/>
              <w:right w:val="nil"/>
            </w:tcBorders>
            <w:tcMar>
              <w:top w:w="0" w:type="dxa"/>
              <w:left w:w="108" w:type="dxa"/>
              <w:bottom w:w="0" w:type="dxa"/>
              <w:right w:w="108" w:type="dxa"/>
            </w:tcMar>
            <w:hideMark/>
          </w:tcPr>
          <w:p w14:paraId="3E80C9E0" w14:textId="77777777" w:rsidR="00C80BF7" w:rsidRPr="00C36E6F" w:rsidRDefault="00C80BF7" w:rsidP="00A92EAB">
            <w:pPr>
              <w:rPr>
                <w:rFonts w:ascii="Arial" w:hAnsi="Arial" w:cs="Arial"/>
              </w:rPr>
            </w:pPr>
            <w:r w:rsidRPr="00C36E6F">
              <w:rPr>
                <w:rFonts w:ascii="Arial" w:hAnsi="Arial" w:cs="Arial"/>
              </w:rPr>
              <w:t>Prior year items</w:t>
            </w:r>
          </w:p>
        </w:tc>
        <w:tc>
          <w:tcPr>
            <w:tcW w:w="918" w:type="dxa"/>
            <w:tcBorders>
              <w:top w:val="nil"/>
              <w:left w:val="nil"/>
              <w:bottom w:val="single" w:sz="8" w:space="0" w:color="auto"/>
              <w:right w:val="nil"/>
            </w:tcBorders>
            <w:tcMar>
              <w:top w:w="0" w:type="dxa"/>
              <w:left w:w="108" w:type="dxa"/>
              <w:bottom w:w="0" w:type="dxa"/>
              <w:right w:w="108" w:type="dxa"/>
            </w:tcMar>
          </w:tcPr>
          <w:p w14:paraId="6DCD6DE4" w14:textId="77777777" w:rsidR="00C80BF7" w:rsidRPr="00C80BF7" w:rsidRDefault="00C80BF7" w:rsidP="00A92EAB">
            <w:pPr>
              <w:jc w:val="right"/>
              <w:rPr>
                <w:rFonts w:ascii="Arial" w:hAnsi="Arial" w:cs="Arial"/>
                <w:b/>
                <w:bCs/>
              </w:rPr>
            </w:pPr>
            <w:r w:rsidRPr="00C80BF7">
              <w:rPr>
                <w:rFonts w:ascii="Arial" w:hAnsi="Arial" w:cs="Arial"/>
                <w:b/>
                <w:bCs/>
              </w:rPr>
              <w:t>-</w:t>
            </w:r>
          </w:p>
        </w:tc>
        <w:tc>
          <w:tcPr>
            <w:tcW w:w="1169" w:type="dxa"/>
            <w:tcBorders>
              <w:top w:val="nil"/>
              <w:left w:val="nil"/>
              <w:bottom w:val="single" w:sz="8" w:space="0" w:color="auto"/>
              <w:right w:val="nil"/>
            </w:tcBorders>
            <w:tcMar>
              <w:top w:w="0" w:type="dxa"/>
              <w:left w:w="108" w:type="dxa"/>
              <w:bottom w:w="0" w:type="dxa"/>
              <w:right w:w="108" w:type="dxa"/>
            </w:tcMar>
            <w:hideMark/>
          </w:tcPr>
          <w:p w14:paraId="7CFDA3A8" w14:textId="5044A8E7" w:rsidR="00C80BF7" w:rsidRPr="0091328D" w:rsidRDefault="00C80BF7" w:rsidP="00A92EAB">
            <w:pPr>
              <w:jc w:val="right"/>
              <w:rPr>
                <w:rFonts w:ascii="Arial" w:hAnsi="Arial" w:cs="Arial"/>
                <w:b/>
              </w:rPr>
            </w:pPr>
            <w:r w:rsidRPr="0091328D">
              <w:rPr>
                <w:rFonts w:ascii="Arial" w:hAnsi="Arial" w:cs="Arial"/>
                <w:b/>
              </w:rPr>
              <w:t>7</w:t>
            </w:r>
          </w:p>
        </w:tc>
        <w:tc>
          <w:tcPr>
            <w:tcW w:w="1183" w:type="dxa"/>
            <w:tcBorders>
              <w:top w:val="nil"/>
              <w:left w:val="nil"/>
              <w:bottom w:val="single" w:sz="8" w:space="0" w:color="auto"/>
              <w:right w:val="nil"/>
            </w:tcBorders>
            <w:tcMar>
              <w:top w:w="0" w:type="dxa"/>
              <w:left w:w="108" w:type="dxa"/>
              <w:bottom w:w="0" w:type="dxa"/>
              <w:right w:w="108" w:type="dxa"/>
            </w:tcMar>
          </w:tcPr>
          <w:p w14:paraId="297C7086" w14:textId="77777777" w:rsidR="00C80BF7" w:rsidRPr="00C80BF7" w:rsidRDefault="00C80BF7" w:rsidP="00A92EAB">
            <w:pPr>
              <w:jc w:val="right"/>
              <w:rPr>
                <w:rFonts w:ascii="Arial" w:hAnsi="Arial" w:cs="Arial"/>
                <w:b/>
                <w:bCs/>
              </w:rPr>
            </w:pPr>
          </w:p>
        </w:tc>
        <w:tc>
          <w:tcPr>
            <w:tcW w:w="815" w:type="dxa"/>
            <w:tcBorders>
              <w:top w:val="nil"/>
              <w:left w:val="nil"/>
              <w:bottom w:val="single" w:sz="8" w:space="0" w:color="auto"/>
              <w:right w:val="nil"/>
            </w:tcBorders>
          </w:tcPr>
          <w:p w14:paraId="08645CC8" w14:textId="6F9591DE" w:rsidR="00C80BF7" w:rsidRDefault="00C80BF7" w:rsidP="00A92EAB">
            <w:pPr>
              <w:jc w:val="right"/>
              <w:rPr>
                <w:rFonts w:ascii="Arial" w:hAnsi="Arial" w:cs="Arial"/>
              </w:rPr>
            </w:pPr>
            <w:r>
              <w:rPr>
                <w:rFonts w:ascii="Arial" w:hAnsi="Arial" w:cs="Arial"/>
              </w:rPr>
              <w:t>-</w:t>
            </w:r>
          </w:p>
        </w:tc>
        <w:tc>
          <w:tcPr>
            <w:tcW w:w="913" w:type="dxa"/>
            <w:tcBorders>
              <w:top w:val="nil"/>
              <w:left w:val="nil"/>
              <w:bottom w:val="single" w:sz="8" w:space="0" w:color="auto"/>
              <w:right w:val="nil"/>
            </w:tcBorders>
          </w:tcPr>
          <w:p w14:paraId="2F4916B5" w14:textId="579EF686" w:rsidR="00C80BF7" w:rsidRPr="00D978CF" w:rsidRDefault="00C80BF7" w:rsidP="00A92EAB">
            <w:pPr>
              <w:jc w:val="right"/>
              <w:rPr>
                <w:rFonts w:ascii="Arial" w:hAnsi="Arial" w:cs="Arial"/>
              </w:rPr>
            </w:pPr>
            <w:r>
              <w:rPr>
                <w:rFonts w:ascii="Arial" w:hAnsi="Arial" w:cs="Arial"/>
              </w:rPr>
              <w:t>49</w:t>
            </w:r>
          </w:p>
        </w:tc>
        <w:tc>
          <w:tcPr>
            <w:tcW w:w="1183" w:type="dxa"/>
            <w:tcBorders>
              <w:top w:val="nil"/>
              <w:left w:val="nil"/>
              <w:bottom w:val="single" w:sz="8" w:space="0" w:color="auto"/>
              <w:right w:val="nil"/>
            </w:tcBorders>
            <w:tcMar>
              <w:top w:w="0" w:type="dxa"/>
              <w:left w:w="108" w:type="dxa"/>
              <w:bottom w:w="0" w:type="dxa"/>
              <w:right w:w="108" w:type="dxa"/>
            </w:tcMar>
          </w:tcPr>
          <w:p w14:paraId="25F58E56" w14:textId="40B65E36" w:rsidR="00C80BF7" w:rsidRPr="00D978CF" w:rsidRDefault="00C80BF7" w:rsidP="00A92EAB">
            <w:pPr>
              <w:jc w:val="right"/>
              <w:rPr>
                <w:rFonts w:ascii="Arial" w:hAnsi="Arial" w:cs="Arial"/>
              </w:rPr>
            </w:pPr>
          </w:p>
        </w:tc>
      </w:tr>
      <w:tr w:rsidR="00C80BF7" w:rsidRPr="00A845B7" w14:paraId="7D4751EC" w14:textId="77777777" w:rsidTr="0091328D">
        <w:trPr>
          <w:trHeight w:val="329"/>
        </w:trPr>
        <w:tc>
          <w:tcPr>
            <w:tcW w:w="3460" w:type="dxa"/>
            <w:tcBorders>
              <w:top w:val="nil"/>
              <w:left w:val="nil"/>
              <w:bottom w:val="single" w:sz="8" w:space="0" w:color="auto"/>
              <w:right w:val="nil"/>
            </w:tcBorders>
            <w:tcMar>
              <w:top w:w="0" w:type="dxa"/>
              <w:left w:w="108" w:type="dxa"/>
              <w:bottom w:w="0" w:type="dxa"/>
              <w:right w:w="108" w:type="dxa"/>
            </w:tcMar>
            <w:hideMark/>
          </w:tcPr>
          <w:p w14:paraId="4C87DBEA" w14:textId="77777777" w:rsidR="00C80BF7" w:rsidRPr="00C36E6F" w:rsidRDefault="00C80BF7" w:rsidP="00A92EAB">
            <w:pPr>
              <w:rPr>
                <w:rFonts w:ascii="Arial" w:hAnsi="Arial" w:cs="Arial"/>
                <w:b/>
                <w:bCs/>
              </w:rPr>
            </w:pPr>
            <w:r w:rsidRPr="00C36E6F">
              <w:rPr>
                <w:rFonts w:ascii="Arial" w:hAnsi="Arial" w:cs="Arial"/>
                <w:b/>
                <w:bCs/>
              </w:rPr>
              <w:t>Total – overall</w:t>
            </w:r>
          </w:p>
        </w:tc>
        <w:tc>
          <w:tcPr>
            <w:tcW w:w="918" w:type="dxa"/>
            <w:tcBorders>
              <w:top w:val="nil"/>
              <w:left w:val="nil"/>
              <w:bottom w:val="single" w:sz="8" w:space="0" w:color="auto"/>
              <w:right w:val="nil"/>
            </w:tcBorders>
            <w:tcMar>
              <w:top w:w="0" w:type="dxa"/>
              <w:left w:w="108" w:type="dxa"/>
              <w:bottom w:w="0" w:type="dxa"/>
              <w:right w:w="108" w:type="dxa"/>
            </w:tcMar>
            <w:hideMark/>
          </w:tcPr>
          <w:p w14:paraId="130C9067" w14:textId="75107FD4" w:rsidR="00C80BF7" w:rsidRPr="00D978CF" w:rsidRDefault="00C80BF7" w:rsidP="00A92EAB">
            <w:pPr>
              <w:jc w:val="right"/>
              <w:rPr>
                <w:rFonts w:ascii="Arial" w:hAnsi="Arial" w:cs="Arial"/>
                <w:b/>
                <w:bCs/>
              </w:rPr>
            </w:pPr>
            <w:r>
              <w:rPr>
                <w:rFonts w:ascii="Arial" w:hAnsi="Arial" w:cs="Arial"/>
                <w:b/>
                <w:bCs/>
              </w:rPr>
              <w:t>682</w:t>
            </w:r>
          </w:p>
        </w:tc>
        <w:tc>
          <w:tcPr>
            <w:tcW w:w="1169" w:type="dxa"/>
            <w:tcBorders>
              <w:top w:val="nil"/>
              <w:left w:val="nil"/>
              <w:bottom w:val="single" w:sz="8" w:space="0" w:color="auto"/>
              <w:right w:val="nil"/>
            </w:tcBorders>
            <w:tcMar>
              <w:top w:w="0" w:type="dxa"/>
              <w:left w:w="108" w:type="dxa"/>
              <w:bottom w:w="0" w:type="dxa"/>
              <w:right w:w="108" w:type="dxa"/>
            </w:tcMar>
            <w:hideMark/>
          </w:tcPr>
          <w:p w14:paraId="640C8493" w14:textId="1504E706" w:rsidR="00C80BF7" w:rsidRPr="00D978CF" w:rsidRDefault="00C80BF7" w:rsidP="00A92EAB">
            <w:pPr>
              <w:jc w:val="right"/>
              <w:rPr>
                <w:rFonts w:ascii="Arial" w:hAnsi="Arial" w:cs="Arial"/>
                <w:b/>
                <w:bCs/>
              </w:rPr>
            </w:pPr>
            <w:r w:rsidRPr="00D978CF">
              <w:rPr>
                <w:rFonts w:ascii="Arial" w:hAnsi="Arial" w:cs="Arial"/>
                <w:b/>
                <w:bCs/>
              </w:rPr>
              <w:t>(197)</w:t>
            </w:r>
          </w:p>
        </w:tc>
        <w:tc>
          <w:tcPr>
            <w:tcW w:w="1183" w:type="dxa"/>
            <w:tcBorders>
              <w:top w:val="nil"/>
              <w:left w:val="nil"/>
              <w:bottom w:val="single" w:sz="8" w:space="0" w:color="auto"/>
              <w:right w:val="nil"/>
            </w:tcBorders>
            <w:tcMar>
              <w:top w:w="0" w:type="dxa"/>
              <w:left w:w="108" w:type="dxa"/>
              <w:bottom w:w="0" w:type="dxa"/>
              <w:right w:w="108" w:type="dxa"/>
            </w:tcMar>
            <w:hideMark/>
          </w:tcPr>
          <w:p w14:paraId="4F46EE57" w14:textId="781F8028" w:rsidR="00C80BF7" w:rsidRPr="00D978CF" w:rsidRDefault="00C80BF7" w:rsidP="00A92EAB">
            <w:pPr>
              <w:jc w:val="right"/>
              <w:rPr>
                <w:rFonts w:ascii="Arial" w:hAnsi="Arial" w:cs="Arial"/>
                <w:b/>
                <w:bCs/>
              </w:rPr>
            </w:pPr>
            <w:r w:rsidRPr="00D978CF">
              <w:rPr>
                <w:rFonts w:ascii="Arial" w:hAnsi="Arial" w:cs="Arial"/>
                <w:b/>
                <w:bCs/>
              </w:rPr>
              <w:t>29%</w:t>
            </w:r>
          </w:p>
        </w:tc>
        <w:tc>
          <w:tcPr>
            <w:tcW w:w="815" w:type="dxa"/>
            <w:tcBorders>
              <w:top w:val="nil"/>
              <w:left w:val="nil"/>
              <w:bottom w:val="single" w:sz="8" w:space="0" w:color="auto"/>
              <w:right w:val="nil"/>
            </w:tcBorders>
          </w:tcPr>
          <w:p w14:paraId="22FD9493" w14:textId="4EB4FF1B" w:rsidR="00C80BF7" w:rsidRDefault="00C80BF7" w:rsidP="00A92EAB">
            <w:pPr>
              <w:jc w:val="right"/>
              <w:rPr>
                <w:rFonts w:ascii="Arial" w:hAnsi="Arial" w:cs="Arial"/>
                <w:bCs/>
              </w:rPr>
            </w:pPr>
            <w:r>
              <w:rPr>
                <w:rFonts w:ascii="Arial" w:hAnsi="Arial" w:cs="Arial"/>
                <w:bCs/>
              </w:rPr>
              <w:t>759</w:t>
            </w:r>
          </w:p>
        </w:tc>
        <w:tc>
          <w:tcPr>
            <w:tcW w:w="913" w:type="dxa"/>
            <w:tcBorders>
              <w:top w:val="nil"/>
              <w:left w:val="nil"/>
              <w:bottom w:val="single" w:sz="8" w:space="0" w:color="auto"/>
              <w:right w:val="nil"/>
            </w:tcBorders>
          </w:tcPr>
          <w:p w14:paraId="671435D4" w14:textId="4C792BA4" w:rsidR="00C80BF7" w:rsidRPr="00D978CF" w:rsidRDefault="00C80BF7" w:rsidP="00A92EAB">
            <w:pPr>
              <w:jc w:val="right"/>
              <w:rPr>
                <w:rFonts w:ascii="Arial" w:hAnsi="Arial" w:cs="Arial"/>
                <w:bCs/>
              </w:rPr>
            </w:pPr>
            <w:r>
              <w:rPr>
                <w:rFonts w:ascii="Arial" w:hAnsi="Arial" w:cs="Arial"/>
                <w:bCs/>
              </w:rPr>
              <w:t>(149)</w:t>
            </w:r>
          </w:p>
        </w:tc>
        <w:tc>
          <w:tcPr>
            <w:tcW w:w="1183" w:type="dxa"/>
            <w:tcBorders>
              <w:top w:val="nil"/>
              <w:left w:val="nil"/>
              <w:bottom w:val="single" w:sz="8" w:space="0" w:color="auto"/>
              <w:right w:val="nil"/>
            </w:tcBorders>
            <w:tcMar>
              <w:top w:w="0" w:type="dxa"/>
              <w:left w:w="108" w:type="dxa"/>
              <w:bottom w:w="0" w:type="dxa"/>
              <w:right w:w="108" w:type="dxa"/>
            </w:tcMar>
            <w:hideMark/>
          </w:tcPr>
          <w:p w14:paraId="6F3271DE" w14:textId="21F8F679" w:rsidR="00C80BF7" w:rsidRPr="00D978CF" w:rsidRDefault="00C80BF7" w:rsidP="00A92EAB">
            <w:pPr>
              <w:jc w:val="right"/>
              <w:rPr>
                <w:rFonts w:ascii="Arial" w:hAnsi="Arial" w:cs="Arial"/>
                <w:bCs/>
              </w:rPr>
            </w:pPr>
            <w:r w:rsidRPr="00D978CF">
              <w:rPr>
                <w:rFonts w:ascii="Arial" w:hAnsi="Arial" w:cs="Arial"/>
                <w:bCs/>
              </w:rPr>
              <w:t>20%</w:t>
            </w:r>
          </w:p>
        </w:tc>
      </w:tr>
      <w:bookmarkEnd w:id="34"/>
    </w:tbl>
    <w:p w14:paraId="341EC9BD" w14:textId="77777777" w:rsidR="00850C03" w:rsidRDefault="00850C03" w:rsidP="00850C03">
      <w:pPr>
        <w:rPr>
          <w:rFonts w:ascii="Arial" w:hAnsi="Arial" w:cs="Arial"/>
          <w:sz w:val="24"/>
          <w:szCs w:val="24"/>
        </w:rPr>
      </w:pPr>
    </w:p>
    <w:p w14:paraId="361FEDFF" w14:textId="68A70174" w:rsidR="001C7E42" w:rsidRDefault="001C7E42" w:rsidP="001C7E42">
      <w:pPr>
        <w:spacing w:after="160" w:line="259" w:lineRule="auto"/>
        <w:jc w:val="left"/>
        <w:rPr>
          <w:rFonts w:ascii="Arial" w:hAnsi="Arial" w:cs="Arial"/>
        </w:rPr>
      </w:pPr>
      <w:bookmarkStart w:id="35" w:name="_Hlk508365388"/>
      <w:r w:rsidRPr="001C7E42">
        <w:rPr>
          <w:rFonts w:ascii="Arial" w:hAnsi="Arial" w:cs="Arial"/>
        </w:rPr>
        <w:t xml:space="preserve">During the </w:t>
      </w:r>
      <w:r w:rsidR="00832149">
        <w:rPr>
          <w:rFonts w:ascii="Arial" w:hAnsi="Arial" w:cs="Arial"/>
        </w:rPr>
        <w:t>year</w:t>
      </w:r>
      <w:r w:rsidRPr="001C7E42">
        <w:rPr>
          <w:rFonts w:ascii="Arial" w:hAnsi="Arial" w:cs="Arial"/>
        </w:rPr>
        <w:t xml:space="preserve">, and following an assessment by the French Tax Authority, the Group </w:t>
      </w:r>
      <w:proofErr w:type="gramStart"/>
      <w:r w:rsidRPr="001C7E42">
        <w:rPr>
          <w:rFonts w:ascii="Arial" w:hAnsi="Arial" w:cs="Arial"/>
        </w:rPr>
        <w:t>entered into</w:t>
      </w:r>
      <w:proofErr w:type="gramEnd"/>
      <w:r>
        <w:rPr>
          <w:rFonts w:ascii="Arial" w:hAnsi="Arial" w:cs="Arial"/>
        </w:rPr>
        <w:t xml:space="preserve"> </w:t>
      </w:r>
      <w:r w:rsidRPr="001C7E42">
        <w:rPr>
          <w:rFonts w:ascii="Arial" w:hAnsi="Arial" w:cs="Arial"/>
        </w:rPr>
        <w:t>a bank guarantee for €49 million in respect of a contingent tax liability, which we believe is unlikely to</w:t>
      </w:r>
      <w:r>
        <w:rPr>
          <w:rFonts w:ascii="Arial" w:hAnsi="Arial" w:cs="Arial"/>
        </w:rPr>
        <w:t xml:space="preserve"> </w:t>
      </w:r>
      <w:r w:rsidRPr="001C7E42">
        <w:rPr>
          <w:rFonts w:ascii="Arial" w:hAnsi="Arial" w:cs="Arial"/>
        </w:rPr>
        <w:t xml:space="preserve">materialise. </w:t>
      </w:r>
      <w:r w:rsidR="009C52BD" w:rsidRPr="009C52BD">
        <w:rPr>
          <w:rFonts w:ascii="Arial" w:hAnsi="Arial" w:cs="Arial"/>
        </w:rPr>
        <w:t xml:space="preserve">The Group is also monitoring developments in relation to a European Commission state aid investigation opened in October 2017, which concerns the UK’s controlled foreign company rules. </w:t>
      </w:r>
      <w:r w:rsidRPr="001C7E42">
        <w:rPr>
          <w:rFonts w:ascii="Arial" w:hAnsi="Arial" w:cs="Arial"/>
        </w:rPr>
        <w:t>Furthe</w:t>
      </w:r>
      <w:r w:rsidR="00033C19">
        <w:rPr>
          <w:rFonts w:ascii="Arial" w:hAnsi="Arial" w:cs="Arial"/>
        </w:rPr>
        <w:t xml:space="preserve">r details are provided in </w:t>
      </w:r>
      <w:r w:rsidR="00033C19" w:rsidRPr="00ED28D9">
        <w:rPr>
          <w:rFonts w:ascii="Arial" w:hAnsi="Arial" w:cs="Arial"/>
        </w:rPr>
        <w:t xml:space="preserve">note </w:t>
      </w:r>
      <w:r w:rsidR="00ED28D9">
        <w:rPr>
          <w:rFonts w:ascii="Arial" w:hAnsi="Arial" w:cs="Arial"/>
        </w:rPr>
        <w:t>13</w:t>
      </w:r>
      <w:r w:rsidRPr="001C7E42">
        <w:rPr>
          <w:rFonts w:ascii="Arial" w:hAnsi="Arial" w:cs="Arial"/>
        </w:rPr>
        <w:t xml:space="preserve"> of the </w:t>
      </w:r>
      <w:r w:rsidR="00033C19">
        <w:rPr>
          <w:rFonts w:ascii="Arial" w:hAnsi="Arial" w:cs="Arial"/>
        </w:rPr>
        <w:t>full</w:t>
      </w:r>
      <w:r w:rsidRPr="001C7E42">
        <w:rPr>
          <w:rFonts w:ascii="Arial" w:hAnsi="Arial" w:cs="Arial"/>
        </w:rPr>
        <w:t xml:space="preserve"> year condensed financial statements</w:t>
      </w:r>
      <w:r>
        <w:rPr>
          <w:rFonts w:ascii="Arial" w:hAnsi="Arial" w:cs="Arial"/>
        </w:rPr>
        <w:t xml:space="preserve"> </w:t>
      </w:r>
      <w:r w:rsidRPr="001C7E42">
        <w:rPr>
          <w:rFonts w:ascii="Arial" w:hAnsi="Arial" w:cs="Arial"/>
        </w:rPr>
        <w:t>(part 2 of this announcement).</w:t>
      </w:r>
    </w:p>
    <w:bookmarkEnd w:id="35"/>
    <w:p w14:paraId="1C2E2D02" w14:textId="329A2A22" w:rsidR="00850C03" w:rsidRPr="00D5261F" w:rsidRDefault="00850C03" w:rsidP="00850C03">
      <w:pPr>
        <w:spacing w:after="160" w:line="259" w:lineRule="auto"/>
        <w:jc w:val="left"/>
        <w:rPr>
          <w:rFonts w:ascii="Arial" w:hAnsi="Arial" w:cs="Arial"/>
          <w:sz w:val="24"/>
        </w:rPr>
      </w:pPr>
      <w:r w:rsidRPr="00D5261F">
        <w:rPr>
          <w:rFonts w:ascii="Arial" w:hAnsi="Arial" w:cs="Arial"/>
        </w:rPr>
        <w:t>The tax rates for this financial year and the expected rates for next year in our main jurisdictions are as follows: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2700"/>
        <w:gridCol w:w="2702"/>
      </w:tblGrid>
      <w:tr w:rsidR="00850C03" w:rsidRPr="00A845B7" w14:paraId="5330E2D8" w14:textId="77777777" w:rsidTr="00A92EAB">
        <w:trPr>
          <w:trHeight w:val="540"/>
        </w:trPr>
        <w:tc>
          <w:tcPr>
            <w:tcW w:w="3620" w:type="dxa"/>
            <w:tcBorders>
              <w:bottom w:val="single" w:sz="4" w:space="0" w:color="auto"/>
            </w:tcBorders>
            <w:vAlign w:val="bottom"/>
          </w:tcPr>
          <w:p w14:paraId="328154EF" w14:textId="77777777" w:rsidR="00850C03" w:rsidRPr="00A845B7" w:rsidRDefault="00850C03" w:rsidP="00A92EAB">
            <w:pPr>
              <w:jc w:val="left"/>
              <w:rPr>
                <w:rFonts w:ascii="Arial" w:hAnsi="Arial" w:cs="Arial"/>
                <w:b/>
              </w:rPr>
            </w:pPr>
          </w:p>
        </w:tc>
        <w:tc>
          <w:tcPr>
            <w:tcW w:w="2700" w:type="dxa"/>
            <w:tcBorders>
              <w:bottom w:val="single" w:sz="4" w:space="0" w:color="auto"/>
            </w:tcBorders>
          </w:tcPr>
          <w:p w14:paraId="26A418F0" w14:textId="77777777" w:rsidR="00850C03" w:rsidRPr="00A845B7" w:rsidRDefault="00850C03" w:rsidP="00A92EAB">
            <w:pPr>
              <w:jc w:val="right"/>
              <w:rPr>
                <w:rFonts w:ascii="Arial" w:hAnsi="Arial" w:cs="Arial"/>
                <w:b/>
              </w:rPr>
            </w:pPr>
            <w:r w:rsidRPr="00A845B7">
              <w:rPr>
                <w:rFonts w:ascii="Arial" w:hAnsi="Arial" w:cs="Arial"/>
                <w:b/>
              </w:rPr>
              <w:t>Statutory tax rate</w:t>
            </w:r>
          </w:p>
          <w:p w14:paraId="005D66F0" w14:textId="77777777" w:rsidR="00850C03" w:rsidRPr="00A845B7" w:rsidRDefault="00850C03" w:rsidP="00A92EAB">
            <w:pPr>
              <w:jc w:val="right"/>
              <w:rPr>
                <w:rFonts w:ascii="Arial" w:hAnsi="Arial" w:cs="Arial"/>
                <w:b/>
              </w:rPr>
            </w:pPr>
            <w:r w:rsidRPr="00A845B7">
              <w:rPr>
                <w:rFonts w:ascii="Arial" w:hAnsi="Arial" w:cs="Arial"/>
                <w:b/>
              </w:rPr>
              <w:t>201</w:t>
            </w:r>
            <w:r>
              <w:rPr>
                <w:rFonts w:ascii="Arial" w:hAnsi="Arial" w:cs="Arial"/>
                <w:b/>
              </w:rPr>
              <w:t>8</w:t>
            </w:r>
            <w:r w:rsidRPr="00A845B7">
              <w:rPr>
                <w:rFonts w:ascii="Arial" w:hAnsi="Arial" w:cs="Arial"/>
                <w:b/>
              </w:rPr>
              <w:t>/1</w:t>
            </w:r>
            <w:r>
              <w:rPr>
                <w:rFonts w:ascii="Arial" w:hAnsi="Arial" w:cs="Arial"/>
                <w:b/>
              </w:rPr>
              <w:t>9</w:t>
            </w:r>
          </w:p>
        </w:tc>
        <w:tc>
          <w:tcPr>
            <w:tcW w:w="2702" w:type="dxa"/>
            <w:tcBorders>
              <w:bottom w:val="single" w:sz="4" w:space="0" w:color="auto"/>
            </w:tcBorders>
          </w:tcPr>
          <w:p w14:paraId="1A42BE10" w14:textId="77777777" w:rsidR="00850C03" w:rsidRPr="00A845B7" w:rsidRDefault="00850C03" w:rsidP="00A92EAB">
            <w:pPr>
              <w:jc w:val="right"/>
              <w:rPr>
                <w:rFonts w:ascii="Arial" w:hAnsi="Arial" w:cs="Arial"/>
              </w:rPr>
            </w:pPr>
            <w:r w:rsidRPr="00A845B7">
              <w:rPr>
                <w:rFonts w:ascii="Arial" w:hAnsi="Arial" w:cs="Arial"/>
              </w:rPr>
              <w:t>Statutory tax rate</w:t>
            </w:r>
          </w:p>
          <w:p w14:paraId="0D821A20" w14:textId="77777777" w:rsidR="00850C03" w:rsidRPr="00A845B7" w:rsidRDefault="00850C03" w:rsidP="00A92EAB">
            <w:pPr>
              <w:jc w:val="right"/>
              <w:rPr>
                <w:rFonts w:ascii="Arial" w:hAnsi="Arial" w:cs="Arial"/>
              </w:rPr>
            </w:pPr>
            <w:r w:rsidRPr="00A845B7">
              <w:rPr>
                <w:rFonts w:ascii="Arial" w:hAnsi="Arial" w:cs="Arial"/>
              </w:rPr>
              <w:t>201</w:t>
            </w:r>
            <w:r>
              <w:rPr>
                <w:rFonts w:ascii="Arial" w:hAnsi="Arial" w:cs="Arial"/>
              </w:rPr>
              <w:t>7</w:t>
            </w:r>
            <w:r w:rsidRPr="00A845B7">
              <w:rPr>
                <w:rFonts w:ascii="Arial" w:hAnsi="Arial" w:cs="Arial"/>
              </w:rPr>
              <w:t>/1</w:t>
            </w:r>
            <w:r>
              <w:rPr>
                <w:rFonts w:ascii="Arial" w:hAnsi="Arial" w:cs="Arial"/>
              </w:rPr>
              <w:t>8</w:t>
            </w:r>
          </w:p>
        </w:tc>
      </w:tr>
      <w:tr w:rsidR="00850C03" w:rsidRPr="00A845B7" w14:paraId="4B142772" w14:textId="77777777" w:rsidTr="00A92EAB">
        <w:trPr>
          <w:trHeight w:val="193"/>
        </w:trPr>
        <w:tc>
          <w:tcPr>
            <w:tcW w:w="3620" w:type="dxa"/>
            <w:tcBorders>
              <w:top w:val="single" w:sz="4" w:space="0" w:color="auto"/>
            </w:tcBorders>
          </w:tcPr>
          <w:p w14:paraId="157B64B9" w14:textId="77777777" w:rsidR="00850C03" w:rsidRPr="00A845B7" w:rsidRDefault="00850C03" w:rsidP="00A92EAB">
            <w:pPr>
              <w:jc w:val="left"/>
              <w:rPr>
                <w:rFonts w:ascii="Arial" w:hAnsi="Arial" w:cs="Arial"/>
              </w:rPr>
            </w:pPr>
            <w:r w:rsidRPr="00A845B7">
              <w:rPr>
                <w:rFonts w:ascii="Arial" w:hAnsi="Arial" w:cs="Arial"/>
              </w:rPr>
              <w:t>UK</w:t>
            </w:r>
          </w:p>
        </w:tc>
        <w:tc>
          <w:tcPr>
            <w:tcW w:w="2700" w:type="dxa"/>
            <w:tcBorders>
              <w:top w:val="single" w:sz="4" w:space="0" w:color="auto"/>
            </w:tcBorders>
          </w:tcPr>
          <w:p w14:paraId="39D3DA9C" w14:textId="77777777" w:rsidR="00850C03" w:rsidRPr="00A01E40" w:rsidRDefault="00850C03" w:rsidP="00A92EAB">
            <w:pPr>
              <w:jc w:val="right"/>
              <w:rPr>
                <w:rFonts w:ascii="Arial" w:hAnsi="Arial" w:cs="Arial"/>
              </w:rPr>
            </w:pPr>
            <w:r w:rsidRPr="00A01E40">
              <w:rPr>
                <w:rFonts w:ascii="Arial" w:hAnsi="Arial" w:cs="Arial"/>
              </w:rPr>
              <w:t>19%</w:t>
            </w:r>
          </w:p>
        </w:tc>
        <w:tc>
          <w:tcPr>
            <w:tcW w:w="2702" w:type="dxa"/>
            <w:tcBorders>
              <w:top w:val="single" w:sz="4" w:space="0" w:color="auto"/>
            </w:tcBorders>
          </w:tcPr>
          <w:p w14:paraId="0F765E81" w14:textId="77777777" w:rsidR="00850C03" w:rsidRPr="00A845B7" w:rsidRDefault="00850C03" w:rsidP="00A92EAB">
            <w:pPr>
              <w:jc w:val="right"/>
              <w:rPr>
                <w:rFonts w:ascii="Arial" w:hAnsi="Arial" w:cs="Arial"/>
              </w:rPr>
            </w:pPr>
            <w:r w:rsidRPr="00A845B7">
              <w:rPr>
                <w:rFonts w:ascii="Arial" w:hAnsi="Arial" w:cs="Arial"/>
              </w:rPr>
              <w:t>19%</w:t>
            </w:r>
          </w:p>
        </w:tc>
      </w:tr>
      <w:tr w:rsidR="00850C03" w:rsidRPr="00A845B7" w14:paraId="4705BEC7" w14:textId="77777777" w:rsidTr="00A92EAB">
        <w:trPr>
          <w:trHeight w:val="270"/>
        </w:trPr>
        <w:tc>
          <w:tcPr>
            <w:tcW w:w="3620" w:type="dxa"/>
          </w:tcPr>
          <w:p w14:paraId="5F3A1D2C" w14:textId="77777777" w:rsidR="00850C03" w:rsidRPr="00A845B7" w:rsidRDefault="00850C03" w:rsidP="00A92EAB">
            <w:pPr>
              <w:jc w:val="left"/>
              <w:rPr>
                <w:rFonts w:ascii="Arial" w:hAnsi="Arial" w:cs="Arial"/>
              </w:rPr>
            </w:pPr>
            <w:r w:rsidRPr="00A845B7">
              <w:rPr>
                <w:rFonts w:ascii="Arial" w:hAnsi="Arial" w:cs="Arial"/>
              </w:rPr>
              <w:t>France</w:t>
            </w:r>
          </w:p>
        </w:tc>
        <w:tc>
          <w:tcPr>
            <w:tcW w:w="2700" w:type="dxa"/>
          </w:tcPr>
          <w:p w14:paraId="537E1C3E" w14:textId="77777777" w:rsidR="00850C03" w:rsidRPr="00A01E40" w:rsidRDefault="00850C03" w:rsidP="00A92EAB">
            <w:pPr>
              <w:jc w:val="right"/>
              <w:rPr>
                <w:rFonts w:ascii="Arial" w:hAnsi="Arial" w:cs="Arial"/>
              </w:rPr>
            </w:pPr>
            <w:r w:rsidRPr="00A01E40">
              <w:rPr>
                <w:rFonts w:ascii="Arial" w:hAnsi="Arial" w:cs="Arial"/>
              </w:rPr>
              <w:t>34%</w:t>
            </w:r>
          </w:p>
        </w:tc>
        <w:tc>
          <w:tcPr>
            <w:tcW w:w="2702" w:type="dxa"/>
          </w:tcPr>
          <w:p w14:paraId="280E48A6" w14:textId="6B847A76" w:rsidR="00850C03" w:rsidRPr="00A845B7" w:rsidRDefault="005803E6" w:rsidP="00A92EAB">
            <w:pPr>
              <w:jc w:val="right"/>
              <w:rPr>
                <w:rFonts w:ascii="Arial" w:hAnsi="Arial" w:cs="Arial"/>
              </w:rPr>
            </w:pPr>
            <w:r>
              <w:rPr>
                <w:rFonts w:ascii="Arial" w:hAnsi="Arial" w:cs="Arial"/>
              </w:rPr>
              <w:t>4</w:t>
            </w:r>
            <w:r w:rsidR="00850C03" w:rsidRPr="00A845B7">
              <w:rPr>
                <w:rFonts w:ascii="Arial" w:hAnsi="Arial" w:cs="Arial"/>
              </w:rPr>
              <w:t>4%</w:t>
            </w:r>
          </w:p>
        </w:tc>
      </w:tr>
      <w:tr w:rsidR="00850C03" w:rsidRPr="00A845B7" w14:paraId="10B1BBBE" w14:textId="77777777" w:rsidTr="00A92EAB">
        <w:trPr>
          <w:trHeight w:val="270"/>
        </w:trPr>
        <w:tc>
          <w:tcPr>
            <w:tcW w:w="3620" w:type="dxa"/>
            <w:tcBorders>
              <w:bottom w:val="single" w:sz="4" w:space="0" w:color="auto"/>
            </w:tcBorders>
          </w:tcPr>
          <w:p w14:paraId="4274B428" w14:textId="77777777" w:rsidR="00850C03" w:rsidRPr="00A845B7" w:rsidRDefault="00850C03" w:rsidP="00A92EAB">
            <w:pPr>
              <w:jc w:val="left"/>
              <w:rPr>
                <w:rFonts w:ascii="Arial" w:hAnsi="Arial" w:cs="Arial"/>
              </w:rPr>
            </w:pPr>
            <w:r w:rsidRPr="00A845B7">
              <w:rPr>
                <w:rFonts w:ascii="Arial" w:hAnsi="Arial" w:cs="Arial"/>
              </w:rPr>
              <w:t>Poland</w:t>
            </w:r>
          </w:p>
        </w:tc>
        <w:tc>
          <w:tcPr>
            <w:tcW w:w="2700" w:type="dxa"/>
            <w:tcBorders>
              <w:bottom w:val="single" w:sz="4" w:space="0" w:color="auto"/>
            </w:tcBorders>
          </w:tcPr>
          <w:p w14:paraId="12303089" w14:textId="77777777" w:rsidR="00850C03" w:rsidRPr="00A01E40" w:rsidRDefault="00850C03" w:rsidP="00A92EAB">
            <w:pPr>
              <w:jc w:val="right"/>
              <w:rPr>
                <w:rFonts w:ascii="Arial" w:hAnsi="Arial" w:cs="Arial"/>
              </w:rPr>
            </w:pPr>
            <w:r w:rsidRPr="00A01E40">
              <w:rPr>
                <w:rFonts w:ascii="Arial" w:hAnsi="Arial" w:cs="Arial"/>
              </w:rPr>
              <w:t>19%</w:t>
            </w:r>
          </w:p>
        </w:tc>
        <w:tc>
          <w:tcPr>
            <w:tcW w:w="2702" w:type="dxa"/>
            <w:tcBorders>
              <w:bottom w:val="single" w:sz="4" w:space="0" w:color="auto"/>
            </w:tcBorders>
          </w:tcPr>
          <w:p w14:paraId="5DC2AE9E" w14:textId="77777777" w:rsidR="00850C03" w:rsidRPr="00A845B7" w:rsidRDefault="00850C03" w:rsidP="00A92EAB">
            <w:pPr>
              <w:jc w:val="right"/>
              <w:rPr>
                <w:rFonts w:ascii="Arial" w:hAnsi="Arial" w:cs="Arial"/>
              </w:rPr>
            </w:pPr>
            <w:r w:rsidRPr="00A845B7">
              <w:rPr>
                <w:rFonts w:ascii="Arial" w:hAnsi="Arial" w:cs="Arial"/>
              </w:rPr>
              <w:t>19%</w:t>
            </w:r>
          </w:p>
        </w:tc>
      </w:tr>
    </w:tbl>
    <w:p w14:paraId="5F52981C" w14:textId="03056D6A" w:rsidR="00B0776C" w:rsidRDefault="00B0776C" w:rsidP="00997637">
      <w:pPr>
        <w:jc w:val="left"/>
        <w:rPr>
          <w:rFonts w:ascii="Arial" w:hAnsi="Arial" w:cs="Arial"/>
          <w:b/>
        </w:rPr>
      </w:pPr>
    </w:p>
    <w:p w14:paraId="1865B0BC" w14:textId="038E097F" w:rsidR="00CD3D76" w:rsidRPr="002146A2" w:rsidRDefault="00CD3D76" w:rsidP="00CD3D76">
      <w:pPr>
        <w:jc w:val="left"/>
        <w:rPr>
          <w:rFonts w:ascii="Arial" w:hAnsi="Arial" w:cs="Arial"/>
        </w:rPr>
      </w:pPr>
      <w:r w:rsidRPr="002146A2">
        <w:rPr>
          <w:rFonts w:ascii="Arial" w:hAnsi="Arial" w:cs="Arial"/>
        </w:rPr>
        <w:t>All earnings per share numbers</w:t>
      </w:r>
      <w:r w:rsidR="00DE081E">
        <w:rPr>
          <w:rFonts w:ascii="Arial" w:hAnsi="Arial" w:cs="Arial"/>
        </w:rPr>
        <w:t xml:space="preserve"> below</w:t>
      </w:r>
      <w:r w:rsidRPr="002146A2">
        <w:rPr>
          <w:rFonts w:ascii="Arial" w:hAnsi="Arial" w:cs="Arial"/>
        </w:rPr>
        <w:t xml:space="preserve"> include the adverse impact of </w:t>
      </w:r>
      <w:r w:rsidR="00AD4DA7">
        <w:rPr>
          <w:rFonts w:ascii="Arial" w:hAnsi="Arial" w:cs="Arial"/>
        </w:rPr>
        <w:t>c.</w:t>
      </w:r>
      <w:r w:rsidRPr="00990F9A">
        <w:rPr>
          <w:rFonts w:ascii="Arial" w:hAnsi="Arial" w:cs="Arial"/>
        </w:rPr>
        <w:t>£</w:t>
      </w:r>
      <w:r w:rsidR="00990F9A" w:rsidRPr="00F74486">
        <w:rPr>
          <w:rFonts w:ascii="Arial" w:hAnsi="Arial" w:cs="Arial"/>
        </w:rPr>
        <w:t xml:space="preserve">20 million </w:t>
      </w:r>
      <w:r w:rsidRPr="00F74486">
        <w:rPr>
          <w:rFonts w:ascii="Arial" w:hAnsi="Arial" w:cs="Arial"/>
        </w:rPr>
        <w:t>(</w:t>
      </w:r>
      <w:r w:rsidR="00952642" w:rsidRPr="00F74486">
        <w:rPr>
          <w:rFonts w:ascii="Arial" w:hAnsi="Arial" w:cs="Arial"/>
        </w:rPr>
        <w:t>0</w:t>
      </w:r>
      <w:r w:rsidRPr="00F74486">
        <w:rPr>
          <w:rFonts w:ascii="Arial" w:hAnsi="Arial" w:cs="Arial"/>
        </w:rPr>
        <w:t>.</w:t>
      </w:r>
      <w:r w:rsidR="00952642" w:rsidRPr="00F74486">
        <w:rPr>
          <w:rFonts w:ascii="Arial" w:hAnsi="Arial" w:cs="Arial"/>
        </w:rPr>
        <w:t>9</w:t>
      </w:r>
      <w:r w:rsidRPr="00F74486">
        <w:rPr>
          <w:rFonts w:ascii="Arial" w:hAnsi="Arial" w:cs="Arial"/>
        </w:rPr>
        <w:t>p</w:t>
      </w:r>
      <w:r w:rsidRPr="002146A2">
        <w:rPr>
          <w:rFonts w:ascii="Arial" w:hAnsi="Arial" w:cs="Arial"/>
        </w:rPr>
        <w:t xml:space="preserve"> per share) corporate tax surcharge in France</w:t>
      </w:r>
      <w:r w:rsidR="00DE081E">
        <w:rPr>
          <w:rFonts w:ascii="Arial" w:hAnsi="Arial" w:cs="Arial"/>
        </w:rPr>
        <w:t xml:space="preserve">, </w:t>
      </w:r>
      <w:r w:rsidRPr="002146A2">
        <w:rPr>
          <w:rFonts w:ascii="Arial" w:hAnsi="Arial" w:cs="Arial"/>
        </w:rPr>
        <w:t>which is not expected to recur.</w:t>
      </w:r>
      <w:r>
        <w:rPr>
          <w:rFonts w:ascii="Arial" w:hAnsi="Arial" w:cs="Arial"/>
        </w:rPr>
        <w:t xml:space="preserve"> </w:t>
      </w:r>
    </w:p>
    <w:bookmarkEnd w:id="29"/>
    <w:p w14:paraId="697D1C3A" w14:textId="3CC1B37C" w:rsidR="00CD3D76" w:rsidRDefault="00CD3D76" w:rsidP="00997637">
      <w:pPr>
        <w:jc w:val="left"/>
        <w:rPr>
          <w:rFonts w:ascii="Arial" w:hAnsi="Arial" w:cs="Arial"/>
          <w:b/>
        </w:rPr>
      </w:pPr>
    </w:p>
    <w:p w14:paraId="6E0F7E0D" w14:textId="4E758B10" w:rsidR="001240D4" w:rsidRDefault="001240D4" w:rsidP="00997637">
      <w:pPr>
        <w:jc w:val="left"/>
        <w:rPr>
          <w:rFonts w:ascii="Arial" w:hAnsi="Arial" w:cs="Arial"/>
          <w:b/>
        </w:rPr>
      </w:pPr>
    </w:p>
    <w:p w14:paraId="0E64D309" w14:textId="266EC751" w:rsidR="001240D4" w:rsidRDefault="001240D4" w:rsidP="00997637">
      <w:pPr>
        <w:jc w:val="left"/>
        <w:rPr>
          <w:rFonts w:ascii="Arial" w:hAnsi="Arial" w:cs="Arial"/>
          <w:b/>
        </w:rPr>
      </w:pPr>
    </w:p>
    <w:p w14:paraId="02E1274D" w14:textId="4D465AE1" w:rsidR="001240D4" w:rsidRDefault="001240D4" w:rsidP="00997637">
      <w:pPr>
        <w:jc w:val="left"/>
        <w:rPr>
          <w:rFonts w:ascii="Arial" w:hAnsi="Arial" w:cs="Arial"/>
          <w:b/>
        </w:rPr>
      </w:pPr>
    </w:p>
    <w:p w14:paraId="1F193E69" w14:textId="08A1C4BA" w:rsidR="001240D4" w:rsidRDefault="001240D4" w:rsidP="00997637">
      <w:pPr>
        <w:jc w:val="left"/>
        <w:rPr>
          <w:rFonts w:ascii="Arial" w:hAnsi="Arial" w:cs="Arial"/>
          <w:b/>
        </w:rPr>
      </w:pPr>
    </w:p>
    <w:p w14:paraId="4104C121" w14:textId="7F529F1C" w:rsidR="001240D4" w:rsidRDefault="001240D4" w:rsidP="00997637">
      <w:pPr>
        <w:jc w:val="left"/>
        <w:rPr>
          <w:rFonts w:ascii="Arial" w:hAnsi="Arial" w:cs="Arial"/>
          <w:b/>
        </w:rPr>
      </w:pPr>
    </w:p>
    <w:p w14:paraId="1FAEE139" w14:textId="634302BE" w:rsidR="001240D4" w:rsidRDefault="001240D4" w:rsidP="00997637">
      <w:pPr>
        <w:jc w:val="left"/>
        <w:rPr>
          <w:rFonts w:ascii="Arial" w:hAnsi="Arial" w:cs="Arial"/>
          <w:b/>
        </w:rPr>
      </w:pPr>
    </w:p>
    <w:p w14:paraId="1CCD3088" w14:textId="42ABC2A2" w:rsidR="001240D4" w:rsidRDefault="001240D4" w:rsidP="00997637">
      <w:pPr>
        <w:jc w:val="left"/>
        <w:rPr>
          <w:rFonts w:ascii="Arial" w:hAnsi="Arial" w:cs="Arial"/>
          <w:b/>
        </w:rPr>
      </w:pPr>
    </w:p>
    <w:p w14:paraId="52569931" w14:textId="11BCC932" w:rsidR="001240D4" w:rsidRDefault="001240D4" w:rsidP="00997637">
      <w:pPr>
        <w:jc w:val="left"/>
        <w:rPr>
          <w:rFonts w:ascii="Arial" w:hAnsi="Arial" w:cs="Arial"/>
          <w:b/>
        </w:rPr>
      </w:pPr>
    </w:p>
    <w:p w14:paraId="127F38E4" w14:textId="1D4CD3AF" w:rsidR="001240D4" w:rsidRDefault="001240D4" w:rsidP="00997637">
      <w:pPr>
        <w:jc w:val="left"/>
        <w:rPr>
          <w:rFonts w:ascii="Arial" w:hAnsi="Arial" w:cs="Arial"/>
          <w:b/>
        </w:rPr>
      </w:pPr>
    </w:p>
    <w:p w14:paraId="2761A3B6" w14:textId="3C0B683B" w:rsidR="001240D4" w:rsidRDefault="001240D4" w:rsidP="00997637">
      <w:pPr>
        <w:jc w:val="left"/>
        <w:rPr>
          <w:rFonts w:ascii="Arial" w:hAnsi="Arial" w:cs="Arial"/>
          <w:b/>
        </w:rPr>
      </w:pPr>
    </w:p>
    <w:p w14:paraId="1CAA6857" w14:textId="2A092DCD" w:rsidR="001240D4" w:rsidRDefault="001240D4" w:rsidP="00997637">
      <w:pPr>
        <w:jc w:val="left"/>
        <w:rPr>
          <w:rFonts w:ascii="Arial" w:hAnsi="Arial" w:cs="Arial"/>
          <w:b/>
        </w:rPr>
      </w:pPr>
    </w:p>
    <w:p w14:paraId="3D2ED7FB" w14:textId="77777777" w:rsidR="001240D4" w:rsidRDefault="001240D4" w:rsidP="00997637">
      <w:pPr>
        <w:jc w:val="left"/>
        <w:rPr>
          <w:rFonts w:ascii="Arial" w:hAnsi="Arial" w:cs="Arial"/>
          <w:b/>
        </w:rPr>
      </w:pPr>
    </w:p>
    <w:p w14:paraId="5FDD0858" w14:textId="77777777" w:rsidR="00997637" w:rsidRPr="00FC41B5" w:rsidRDefault="00997637" w:rsidP="00997637">
      <w:pPr>
        <w:jc w:val="left"/>
        <w:rPr>
          <w:rFonts w:ascii="Arial" w:hAnsi="Arial" w:cs="Arial"/>
        </w:rPr>
      </w:pPr>
      <w:r w:rsidRPr="00FC41B5">
        <w:rPr>
          <w:rFonts w:ascii="Arial" w:hAnsi="Arial" w:cs="Arial"/>
          <w:b/>
        </w:rPr>
        <w:lastRenderedPageBreak/>
        <w:t>Underlying basic earnings</w:t>
      </w:r>
      <w:r w:rsidRPr="00FC41B5">
        <w:rPr>
          <w:rFonts w:ascii="Arial" w:hAnsi="Arial" w:cs="Arial"/>
        </w:rPr>
        <w:t xml:space="preserve"> </w:t>
      </w:r>
      <w:r w:rsidRPr="00FC41B5">
        <w:rPr>
          <w:rFonts w:ascii="Arial" w:hAnsi="Arial" w:cs="Arial"/>
          <w:b/>
        </w:rPr>
        <w:t xml:space="preserve">per share </w:t>
      </w:r>
      <w:r w:rsidR="00574124" w:rsidRPr="00FC41B5">
        <w:rPr>
          <w:rFonts w:ascii="Arial" w:hAnsi="Arial" w:cs="Arial"/>
        </w:rPr>
        <w:t xml:space="preserve">decreased </w:t>
      </w:r>
      <w:r w:rsidRPr="00FC41B5">
        <w:rPr>
          <w:rFonts w:ascii="Arial" w:hAnsi="Arial" w:cs="Arial"/>
        </w:rPr>
        <w:t xml:space="preserve">by </w:t>
      </w:r>
      <w:r w:rsidR="00574124" w:rsidRPr="00FC41B5">
        <w:rPr>
          <w:rFonts w:ascii="Arial" w:hAnsi="Arial" w:cs="Arial"/>
        </w:rPr>
        <w:t>1.5</w:t>
      </w:r>
      <w:r w:rsidRPr="00FC41B5">
        <w:rPr>
          <w:rFonts w:ascii="Arial" w:hAnsi="Arial" w:cs="Arial"/>
        </w:rPr>
        <w:t>% to 25.</w:t>
      </w:r>
      <w:r w:rsidR="00574124" w:rsidRPr="00FC41B5">
        <w:rPr>
          <w:rFonts w:ascii="Arial" w:hAnsi="Arial" w:cs="Arial"/>
        </w:rPr>
        <w:t>5</w:t>
      </w:r>
      <w:r w:rsidRPr="00FC41B5">
        <w:rPr>
          <w:rFonts w:ascii="Arial" w:hAnsi="Arial" w:cs="Arial"/>
        </w:rPr>
        <w:t>p, which excludes the impact of transformation costs, exceptional items, FFVR and the effect of prior year tax items.</w:t>
      </w:r>
      <w:r w:rsidRPr="00FC41B5">
        <w:rPr>
          <w:rFonts w:ascii="Arial" w:hAnsi="Arial" w:cs="Arial"/>
          <w:b/>
        </w:rPr>
        <w:t xml:space="preserve"> Adjusted basic earnings per share</w:t>
      </w:r>
      <w:r w:rsidRPr="00FC41B5">
        <w:rPr>
          <w:rFonts w:ascii="Arial" w:hAnsi="Arial" w:cs="Arial"/>
        </w:rPr>
        <w:t xml:space="preserve"> </w:t>
      </w:r>
      <w:r w:rsidR="00574124" w:rsidRPr="00FC41B5">
        <w:rPr>
          <w:rFonts w:ascii="Arial" w:hAnsi="Arial" w:cs="Arial"/>
        </w:rPr>
        <w:t xml:space="preserve">decreased </w:t>
      </w:r>
      <w:r w:rsidRPr="00FC41B5">
        <w:rPr>
          <w:rFonts w:ascii="Arial" w:hAnsi="Arial" w:cs="Arial"/>
        </w:rPr>
        <w:t xml:space="preserve">by </w:t>
      </w:r>
      <w:r w:rsidR="00574124" w:rsidRPr="00FC41B5">
        <w:rPr>
          <w:rFonts w:ascii="Arial" w:hAnsi="Arial" w:cs="Arial"/>
        </w:rPr>
        <w:t>10.7</w:t>
      </w:r>
      <w:r w:rsidRPr="00FC41B5">
        <w:rPr>
          <w:rFonts w:ascii="Arial" w:hAnsi="Arial" w:cs="Arial"/>
        </w:rPr>
        <w:t>% to 2</w:t>
      </w:r>
      <w:r w:rsidR="00574124" w:rsidRPr="00FC41B5">
        <w:rPr>
          <w:rFonts w:ascii="Arial" w:hAnsi="Arial" w:cs="Arial"/>
        </w:rPr>
        <w:t>1</w:t>
      </w:r>
      <w:r w:rsidRPr="00FC41B5">
        <w:rPr>
          <w:rFonts w:ascii="Arial" w:hAnsi="Arial" w:cs="Arial"/>
        </w:rPr>
        <w:t>.</w:t>
      </w:r>
      <w:r w:rsidR="00574124" w:rsidRPr="00FC41B5">
        <w:rPr>
          <w:rFonts w:ascii="Arial" w:hAnsi="Arial" w:cs="Arial"/>
        </w:rPr>
        <w:t>8</w:t>
      </w:r>
      <w:r w:rsidRPr="00FC41B5">
        <w:rPr>
          <w:rFonts w:ascii="Arial" w:hAnsi="Arial" w:cs="Arial"/>
        </w:rPr>
        <w:t xml:space="preserve">p, which excludes the impact of exceptional items, FFVR and prior year tax items. </w:t>
      </w:r>
      <w:r w:rsidRPr="00FC41B5">
        <w:rPr>
          <w:rFonts w:ascii="Arial" w:hAnsi="Arial" w:cs="Arial"/>
          <w:b/>
        </w:rPr>
        <w:t>Basic earnings per share</w:t>
      </w:r>
      <w:r w:rsidR="009510E9" w:rsidRPr="00FC41B5">
        <w:rPr>
          <w:rFonts w:ascii="Arial" w:hAnsi="Arial" w:cs="Arial"/>
        </w:rPr>
        <w:t xml:space="preserve"> </w:t>
      </w:r>
      <w:r w:rsidR="00574124" w:rsidRPr="00FC41B5">
        <w:rPr>
          <w:rFonts w:ascii="Arial" w:hAnsi="Arial" w:cs="Arial"/>
        </w:rPr>
        <w:t xml:space="preserve">decreased </w:t>
      </w:r>
      <w:r w:rsidR="009510E9" w:rsidRPr="00FC41B5">
        <w:rPr>
          <w:rFonts w:ascii="Arial" w:hAnsi="Arial" w:cs="Arial"/>
        </w:rPr>
        <w:t xml:space="preserve">by </w:t>
      </w:r>
      <w:r w:rsidR="00574124" w:rsidRPr="00FC41B5">
        <w:rPr>
          <w:rFonts w:ascii="Arial" w:hAnsi="Arial" w:cs="Arial"/>
        </w:rPr>
        <w:t>1</w:t>
      </w:r>
      <w:r w:rsidR="007B566F">
        <w:rPr>
          <w:rFonts w:ascii="Arial" w:hAnsi="Arial" w:cs="Arial"/>
        </w:rPr>
        <w:t>8</w:t>
      </w:r>
      <w:r w:rsidR="009510E9" w:rsidRPr="00FC41B5">
        <w:rPr>
          <w:rFonts w:ascii="Arial" w:hAnsi="Arial" w:cs="Arial"/>
        </w:rPr>
        <w:t>.</w:t>
      </w:r>
      <w:r w:rsidR="007B566F">
        <w:rPr>
          <w:rFonts w:ascii="Arial" w:hAnsi="Arial" w:cs="Arial"/>
        </w:rPr>
        <w:t>5</w:t>
      </w:r>
      <w:r w:rsidRPr="00FC41B5">
        <w:rPr>
          <w:rFonts w:ascii="Arial" w:hAnsi="Arial" w:cs="Arial"/>
        </w:rPr>
        <w:t>% to 2</w:t>
      </w:r>
      <w:r w:rsidR="00574124" w:rsidRPr="00FC41B5">
        <w:rPr>
          <w:rFonts w:ascii="Arial" w:hAnsi="Arial" w:cs="Arial"/>
        </w:rPr>
        <w:t>2</w:t>
      </w:r>
      <w:r w:rsidRPr="00FC41B5">
        <w:rPr>
          <w:rFonts w:ascii="Arial" w:hAnsi="Arial" w:cs="Arial"/>
        </w:rPr>
        <w:t>.</w:t>
      </w:r>
      <w:r w:rsidR="005F0DAA">
        <w:rPr>
          <w:rFonts w:ascii="Arial" w:hAnsi="Arial" w:cs="Arial"/>
        </w:rPr>
        <w:t>1</w:t>
      </w:r>
      <w:r w:rsidRPr="00FC41B5">
        <w:rPr>
          <w:rFonts w:ascii="Arial" w:hAnsi="Arial" w:cs="Arial"/>
        </w:rPr>
        <w:t>p as set out below:</w:t>
      </w:r>
    </w:p>
    <w:tbl>
      <w:tblPr>
        <w:tblW w:w="5000" w:type="pct"/>
        <w:tblLook w:val="01E0" w:firstRow="1" w:lastRow="1" w:firstColumn="1" w:lastColumn="1" w:noHBand="0" w:noVBand="0"/>
      </w:tblPr>
      <w:tblGrid>
        <w:gridCol w:w="4420"/>
        <w:gridCol w:w="1359"/>
        <w:gridCol w:w="1359"/>
        <w:gridCol w:w="1248"/>
        <w:gridCol w:w="1255"/>
      </w:tblGrid>
      <w:tr w:rsidR="00997637" w:rsidRPr="00A845B7" w14:paraId="60F9F5F3" w14:textId="77777777" w:rsidTr="00D86819">
        <w:tc>
          <w:tcPr>
            <w:tcW w:w="2292" w:type="pct"/>
            <w:tcBorders>
              <w:top w:val="nil"/>
              <w:left w:val="nil"/>
              <w:bottom w:val="single" w:sz="4" w:space="0" w:color="auto"/>
              <w:right w:val="nil"/>
            </w:tcBorders>
          </w:tcPr>
          <w:p w14:paraId="3D960FA1" w14:textId="77777777" w:rsidR="00997637" w:rsidRPr="00A845B7" w:rsidRDefault="00997637" w:rsidP="00F24C8A">
            <w:pPr>
              <w:rPr>
                <w:rFonts w:ascii="Arial" w:hAnsi="Arial" w:cs="Arial"/>
              </w:rPr>
            </w:pPr>
          </w:p>
        </w:tc>
        <w:tc>
          <w:tcPr>
            <w:tcW w:w="705" w:type="pct"/>
            <w:tcBorders>
              <w:top w:val="nil"/>
              <w:left w:val="nil"/>
              <w:bottom w:val="single" w:sz="4" w:space="0" w:color="auto"/>
              <w:right w:val="nil"/>
            </w:tcBorders>
          </w:tcPr>
          <w:p w14:paraId="40E27066" w14:textId="77777777" w:rsidR="00997637" w:rsidRPr="00A845B7" w:rsidRDefault="00997637" w:rsidP="00F24C8A">
            <w:pPr>
              <w:jc w:val="right"/>
              <w:rPr>
                <w:rFonts w:ascii="Arial" w:hAnsi="Arial" w:cs="Arial"/>
                <w:b/>
              </w:rPr>
            </w:pPr>
          </w:p>
          <w:p w14:paraId="49FEDBE3" w14:textId="77777777" w:rsidR="00997637" w:rsidRPr="00A845B7" w:rsidRDefault="00997637" w:rsidP="00F24C8A">
            <w:pPr>
              <w:jc w:val="right"/>
              <w:rPr>
                <w:rFonts w:ascii="Arial" w:hAnsi="Arial" w:cs="Arial"/>
                <w:b/>
              </w:rPr>
            </w:pPr>
            <w:r w:rsidRPr="00A845B7">
              <w:rPr>
                <w:rFonts w:ascii="Arial" w:hAnsi="Arial" w:cs="Arial"/>
                <w:b/>
              </w:rPr>
              <w:t>Earnings</w:t>
            </w:r>
          </w:p>
          <w:p w14:paraId="51465D58" w14:textId="77777777" w:rsidR="00997637" w:rsidRPr="00A845B7" w:rsidRDefault="00997637" w:rsidP="00F24C8A">
            <w:pPr>
              <w:jc w:val="right"/>
              <w:rPr>
                <w:rFonts w:ascii="Arial" w:hAnsi="Arial" w:cs="Arial"/>
                <w:b/>
              </w:rPr>
            </w:pPr>
            <w:r w:rsidRPr="00A845B7">
              <w:rPr>
                <w:rFonts w:ascii="Arial" w:hAnsi="Arial" w:cs="Arial"/>
                <w:b/>
              </w:rPr>
              <w:t>£m</w:t>
            </w:r>
          </w:p>
        </w:tc>
        <w:tc>
          <w:tcPr>
            <w:tcW w:w="705" w:type="pct"/>
            <w:tcBorders>
              <w:top w:val="nil"/>
              <w:left w:val="nil"/>
              <w:bottom w:val="single" w:sz="4" w:space="0" w:color="auto"/>
              <w:right w:val="nil"/>
            </w:tcBorders>
            <w:hideMark/>
          </w:tcPr>
          <w:p w14:paraId="1377D68F" w14:textId="20675CDE" w:rsidR="00997637" w:rsidRPr="00A845B7" w:rsidRDefault="00997637" w:rsidP="00F24C8A">
            <w:pPr>
              <w:jc w:val="right"/>
              <w:rPr>
                <w:rFonts w:ascii="Arial" w:hAnsi="Arial" w:cs="Arial"/>
                <w:b/>
              </w:rPr>
            </w:pPr>
            <w:r w:rsidRPr="00A845B7">
              <w:rPr>
                <w:rFonts w:ascii="Arial" w:hAnsi="Arial" w:cs="Arial"/>
                <w:b/>
              </w:rPr>
              <w:t>201</w:t>
            </w:r>
            <w:r w:rsidR="00E40B17">
              <w:rPr>
                <w:rFonts w:ascii="Arial" w:hAnsi="Arial" w:cs="Arial"/>
                <w:b/>
              </w:rPr>
              <w:t>7</w:t>
            </w:r>
            <w:r w:rsidRPr="00A845B7">
              <w:rPr>
                <w:rFonts w:ascii="Arial" w:hAnsi="Arial" w:cs="Arial"/>
                <w:b/>
              </w:rPr>
              <w:t>/1</w:t>
            </w:r>
            <w:r w:rsidR="00E40B17">
              <w:rPr>
                <w:rFonts w:ascii="Arial" w:hAnsi="Arial" w:cs="Arial"/>
                <w:b/>
              </w:rPr>
              <w:t>8</w:t>
            </w:r>
          </w:p>
          <w:p w14:paraId="776EDA67" w14:textId="77777777" w:rsidR="00997637" w:rsidRPr="00A845B7" w:rsidRDefault="00997637" w:rsidP="00F24C8A">
            <w:pPr>
              <w:jc w:val="right"/>
              <w:rPr>
                <w:rFonts w:ascii="Arial" w:hAnsi="Arial" w:cs="Arial"/>
                <w:b/>
              </w:rPr>
            </w:pPr>
            <w:r w:rsidRPr="00A845B7">
              <w:rPr>
                <w:rFonts w:ascii="Arial" w:hAnsi="Arial" w:cs="Arial"/>
                <w:b/>
              </w:rPr>
              <w:t>EPS</w:t>
            </w:r>
          </w:p>
          <w:p w14:paraId="72BD92EE" w14:textId="77777777" w:rsidR="00997637" w:rsidRPr="00A845B7" w:rsidRDefault="00997637" w:rsidP="00F24C8A">
            <w:pPr>
              <w:jc w:val="right"/>
              <w:rPr>
                <w:rFonts w:ascii="Arial" w:hAnsi="Arial" w:cs="Arial"/>
                <w:b/>
              </w:rPr>
            </w:pPr>
            <w:r w:rsidRPr="00A845B7">
              <w:rPr>
                <w:rFonts w:ascii="Arial" w:hAnsi="Arial" w:cs="Arial"/>
                <w:b/>
              </w:rPr>
              <w:t>pence</w:t>
            </w:r>
          </w:p>
        </w:tc>
        <w:tc>
          <w:tcPr>
            <w:tcW w:w="647" w:type="pct"/>
            <w:tcBorders>
              <w:top w:val="nil"/>
              <w:left w:val="nil"/>
              <w:bottom w:val="single" w:sz="4" w:space="0" w:color="auto"/>
              <w:right w:val="nil"/>
            </w:tcBorders>
          </w:tcPr>
          <w:p w14:paraId="6DBABBDB" w14:textId="77777777" w:rsidR="00997637" w:rsidRPr="00A845B7" w:rsidRDefault="00997637" w:rsidP="00F24C8A">
            <w:pPr>
              <w:jc w:val="right"/>
              <w:rPr>
                <w:rFonts w:ascii="Arial" w:hAnsi="Arial" w:cs="Arial"/>
              </w:rPr>
            </w:pPr>
          </w:p>
          <w:p w14:paraId="2FC5A317" w14:textId="77777777" w:rsidR="00997637" w:rsidRPr="00A845B7" w:rsidRDefault="00997637" w:rsidP="00F24C8A">
            <w:pPr>
              <w:jc w:val="right"/>
              <w:rPr>
                <w:rFonts w:ascii="Arial" w:hAnsi="Arial" w:cs="Arial"/>
              </w:rPr>
            </w:pPr>
            <w:r w:rsidRPr="00A845B7">
              <w:rPr>
                <w:rFonts w:ascii="Arial" w:hAnsi="Arial" w:cs="Arial"/>
              </w:rPr>
              <w:t>Earnings</w:t>
            </w:r>
          </w:p>
          <w:p w14:paraId="4C0E7DCD" w14:textId="77777777" w:rsidR="00997637" w:rsidRPr="00A845B7" w:rsidRDefault="00997637" w:rsidP="00F24C8A">
            <w:pPr>
              <w:jc w:val="right"/>
              <w:rPr>
                <w:rFonts w:ascii="Arial" w:hAnsi="Arial" w:cs="Arial"/>
              </w:rPr>
            </w:pPr>
            <w:r w:rsidRPr="00A845B7">
              <w:rPr>
                <w:rFonts w:ascii="Arial" w:hAnsi="Arial" w:cs="Arial"/>
              </w:rPr>
              <w:t>£m</w:t>
            </w:r>
          </w:p>
        </w:tc>
        <w:tc>
          <w:tcPr>
            <w:tcW w:w="651" w:type="pct"/>
            <w:tcBorders>
              <w:top w:val="nil"/>
              <w:left w:val="nil"/>
              <w:bottom w:val="single" w:sz="4" w:space="0" w:color="auto"/>
              <w:right w:val="nil"/>
            </w:tcBorders>
            <w:hideMark/>
          </w:tcPr>
          <w:p w14:paraId="62FCF025" w14:textId="31CA6FBF" w:rsidR="00997637" w:rsidRPr="00A845B7" w:rsidRDefault="00997637" w:rsidP="00F24C8A">
            <w:pPr>
              <w:jc w:val="right"/>
              <w:rPr>
                <w:rFonts w:ascii="Arial" w:hAnsi="Arial" w:cs="Arial"/>
              </w:rPr>
            </w:pPr>
            <w:r w:rsidRPr="00A845B7">
              <w:rPr>
                <w:rFonts w:ascii="Arial" w:hAnsi="Arial" w:cs="Arial"/>
              </w:rPr>
              <w:t>201</w:t>
            </w:r>
            <w:r w:rsidR="00E40B17">
              <w:rPr>
                <w:rFonts w:ascii="Arial" w:hAnsi="Arial" w:cs="Arial"/>
              </w:rPr>
              <w:t>6</w:t>
            </w:r>
            <w:r w:rsidRPr="00A845B7">
              <w:rPr>
                <w:rFonts w:ascii="Arial" w:hAnsi="Arial" w:cs="Arial"/>
              </w:rPr>
              <w:t>/1</w:t>
            </w:r>
            <w:r w:rsidR="00E40B17">
              <w:rPr>
                <w:rFonts w:ascii="Arial" w:hAnsi="Arial" w:cs="Arial"/>
              </w:rPr>
              <w:t>7</w:t>
            </w:r>
          </w:p>
          <w:p w14:paraId="1C95B102" w14:textId="77777777" w:rsidR="00997637" w:rsidRPr="00A845B7" w:rsidRDefault="00997637" w:rsidP="00F24C8A">
            <w:pPr>
              <w:jc w:val="right"/>
              <w:rPr>
                <w:rFonts w:ascii="Arial" w:hAnsi="Arial" w:cs="Arial"/>
              </w:rPr>
            </w:pPr>
            <w:r w:rsidRPr="00A845B7">
              <w:rPr>
                <w:rFonts w:ascii="Arial" w:hAnsi="Arial" w:cs="Arial"/>
              </w:rPr>
              <w:t>EPS</w:t>
            </w:r>
          </w:p>
          <w:p w14:paraId="35B44CFA" w14:textId="77777777" w:rsidR="00997637" w:rsidRPr="00A845B7" w:rsidRDefault="00997637" w:rsidP="00F24C8A">
            <w:pPr>
              <w:jc w:val="right"/>
              <w:rPr>
                <w:rFonts w:ascii="Arial" w:hAnsi="Arial" w:cs="Arial"/>
              </w:rPr>
            </w:pPr>
            <w:r w:rsidRPr="00A845B7">
              <w:rPr>
                <w:rFonts w:ascii="Arial" w:hAnsi="Arial" w:cs="Arial"/>
              </w:rPr>
              <w:t>pence</w:t>
            </w:r>
          </w:p>
        </w:tc>
      </w:tr>
      <w:tr w:rsidR="00E40B17" w:rsidRPr="00A845B7" w14:paraId="75AAD81A" w14:textId="77777777" w:rsidTr="00D86819">
        <w:tc>
          <w:tcPr>
            <w:tcW w:w="2292" w:type="pct"/>
            <w:tcBorders>
              <w:top w:val="single" w:sz="4" w:space="0" w:color="auto"/>
              <w:left w:val="nil"/>
              <w:right w:val="nil"/>
            </w:tcBorders>
          </w:tcPr>
          <w:p w14:paraId="705D5107" w14:textId="77777777" w:rsidR="00E40B17" w:rsidRPr="00A845B7" w:rsidRDefault="00E40B17" w:rsidP="00E40B17">
            <w:pPr>
              <w:rPr>
                <w:rFonts w:ascii="Arial" w:hAnsi="Arial" w:cs="Arial"/>
                <w:b/>
              </w:rPr>
            </w:pPr>
            <w:r w:rsidRPr="00A845B7">
              <w:rPr>
                <w:rFonts w:ascii="Arial" w:hAnsi="Arial" w:cs="Arial"/>
                <w:b/>
              </w:rPr>
              <w:t>Underlying basic earnings per share</w:t>
            </w:r>
          </w:p>
        </w:tc>
        <w:tc>
          <w:tcPr>
            <w:tcW w:w="705" w:type="pct"/>
            <w:tcBorders>
              <w:top w:val="single" w:sz="4" w:space="0" w:color="auto"/>
              <w:left w:val="nil"/>
              <w:right w:val="nil"/>
            </w:tcBorders>
            <w:vAlign w:val="center"/>
          </w:tcPr>
          <w:p w14:paraId="46FA6D02" w14:textId="2A36BCFC" w:rsidR="00E40B17" w:rsidRPr="00A845B7" w:rsidRDefault="00E40B17" w:rsidP="00E40B17">
            <w:pPr>
              <w:jc w:val="right"/>
              <w:rPr>
                <w:rFonts w:ascii="Arial" w:hAnsi="Arial" w:cs="Arial"/>
                <w:b/>
              </w:rPr>
            </w:pPr>
            <w:r w:rsidRPr="00A845B7">
              <w:rPr>
                <w:rFonts w:ascii="Arial" w:hAnsi="Arial" w:cs="Arial"/>
                <w:b/>
                <w:bCs/>
                <w:color w:val="000000"/>
              </w:rPr>
              <w:t>5</w:t>
            </w:r>
            <w:r w:rsidR="00D86819">
              <w:rPr>
                <w:rFonts w:ascii="Arial" w:hAnsi="Arial" w:cs="Arial"/>
                <w:b/>
                <w:bCs/>
                <w:color w:val="000000"/>
              </w:rPr>
              <w:t>5</w:t>
            </w:r>
            <w:r w:rsidR="00A01E40">
              <w:rPr>
                <w:rFonts w:ascii="Arial" w:hAnsi="Arial" w:cs="Arial"/>
                <w:b/>
                <w:bCs/>
                <w:color w:val="000000"/>
              </w:rPr>
              <w:t>8</w:t>
            </w:r>
          </w:p>
        </w:tc>
        <w:tc>
          <w:tcPr>
            <w:tcW w:w="705" w:type="pct"/>
            <w:tcBorders>
              <w:top w:val="single" w:sz="4" w:space="0" w:color="auto"/>
              <w:left w:val="nil"/>
              <w:right w:val="nil"/>
            </w:tcBorders>
            <w:vAlign w:val="center"/>
          </w:tcPr>
          <w:p w14:paraId="1034BC1F" w14:textId="64E7BBC1" w:rsidR="00E40B17" w:rsidRPr="00A845B7" w:rsidRDefault="00E40B17" w:rsidP="00E40B17">
            <w:pPr>
              <w:jc w:val="right"/>
              <w:rPr>
                <w:rFonts w:ascii="Arial" w:hAnsi="Arial" w:cs="Arial"/>
                <w:b/>
              </w:rPr>
            </w:pPr>
            <w:r w:rsidRPr="00A845B7">
              <w:rPr>
                <w:rFonts w:ascii="Arial" w:hAnsi="Arial" w:cs="Arial"/>
                <w:b/>
                <w:bCs/>
                <w:color w:val="000000"/>
              </w:rPr>
              <w:t>25.</w:t>
            </w:r>
            <w:r w:rsidR="00D86819">
              <w:rPr>
                <w:rFonts w:ascii="Arial" w:hAnsi="Arial" w:cs="Arial"/>
                <w:b/>
                <w:bCs/>
                <w:color w:val="000000"/>
              </w:rPr>
              <w:t>5</w:t>
            </w:r>
          </w:p>
        </w:tc>
        <w:tc>
          <w:tcPr>
            <w:tcW w:w="647" w:type="pct"/>
            <w:tcBorders>
              <w:top w:val="single" w:sz="4" w:space="0" w:color="auto"/>
              <w:left w:val="nil"/>
              <w:right w:val="nil"/>
            </w:tcBorders>
            <w:vAlign w:val="center"/>
          </w:tcPr>
          <w:p w14:paraId="5221B54C" w14:textId="3E2DC0B0" w:rsidR="00E40B17" w:rsidRPr="00355EF2" w:rsidRDefault="00E40B17" w:rsidP="00E40B17">
            <w:pPr>
              <w:jc w:val="right"/>
              <w:rPr>
                <w:rFonts w:ascii="Arial" w:hAnsi="Arial" w:cs="Arial"/>
              </w:rPr>
            </w:pPr>
            <w:r w:rsidRPr="0018703F">
              <w:rPr>
                <w:rFonts w:ascii="Arial" w:hAnsi="Arial" w:cs="Arial"/>
                <w:bCs/>
                <w:color w:val="000000"/>
              </w:rPr>
              <w:t>584</w:t>
            </w:r>
          </w:p>
        </w:tc>
        <w:tc>
          <w:tcPr>
            <w:tcW w:w="651" w:type="pct"/>
            <w:tcBorders>
              <w:top w:val="single" w:sz="4" w:space="0" w:color="auto"/>
              <w:left w:val="nil"/>
              <w:right w:val="nil"/>
            </w:tcBorders>
            <w:vAlign w:val="center"/>
          </w:tcPr>
          <w:p w14:paraId="7234FBC0" w14:textId="7C45F2A8" w:rsidR="00E40B17" w:rsidRPr="00355EF2" w:rsidRDefault="00E40B17" w:rsidP="00E40B17">
            <w:pPr>
              <w:jc w:val="right"/>
              <w:rPr>
                <w:rFonts w:ascii="Arial" w:hAnsi="Arial" w:cs="Arial"/>
              </w:rPr>
            </w:pPr>
            <w:r w:rsidRPr="0018703F">
              <w:rPr>
                <w:rFonts w:ascii="Arial" w:hAnsi="Arial" w:cs="Arial"/>
                <w:bCs/>
                <w:color w:val="000000"/>
              </w:rPr>
              <w:t>25.9</w:t>
            </w:r>
          </w:p>
        </w:tc>
      </w:tr>
      <w:tr w:rsidR="00E40B17" w:rsidRPr="00A845B7" w14:paraId="408A75BC" w14:textId="77777777" w:rsidTr="00D86819">
        <w:tc>
          <w:tcPr>
            <w:tcW w:w="2292" w:type="pct"/>
            <w:tcBorders>
              <w:left w:val="nil"/>
              <w:bottom w:val="single" w:sz="4" w:space="0" w:color="auto"/>
              <w:right w:val="nil"/>
            </w:tcBorders>
          </w:tcPr>
          <w:p w14:paraId="36315841" w14:textId="77777777" w:rsidR="00E40B17" w:rsidRPr="00A845B7" w:rsidRDefault="00E40B17" w:rsidP="00E40B17">
            <w:pPr>
              <w:rPr>
                <w:rFonts w:ascii="Arial" w:hAnsi="Arial" w:cs="Arial"/>
              </w:rPr>
            </w:pPr>
            <w:r w:rsidRPr="00A845B7">
              <w:rPr>
                <w:rFonts w:ascii="Arial" w:hAnsi="Arial" w:cs="Arial"/>
              </w:rPr>
              <w:t>Transformation P&amp;L costs (net of tax)</w:t>
            </w:r>
          </w:p>
        </w:tc>
        <w:tc>
          <w:tcPr>
            <w:tcW w:w="705" w:type="pct"/>
            <w:tcBorders>
              <w:left w:val="nil"/>
              <w:bottom w:val="single" w:sz="4" w:space="0" w:color="auto"/>
              <w:right w:val="nil"/>
            </w:tcBorders>
            <w:vAlign w:val="center"/>
          </w:tcPr>
          <w:p w14:paraId="1E13845E" w14:textId="10FCD96E" w:rsidR="00E40B17" w:rsidRPr="00A845B7" w:rsidRDefault="00E40B17" w:rsidP="00E40B17">
            <w:pPr>
              <w:jc w:val="right"/>
              <w:rPr>
                <w:rFonts w:ascii="Arial" w:hAnsi="Arial" w:cs="Arial"/>
                <w:b/>
              </w:rPr>
            </w:pPr>
            <w:r w:rsidRPr="00A845B7">
              <w:rPr>
                <w:rFonts w:ascii="Arial" w:hAnsi="Arial" w:cs="Arial"/>
                <w:b/>
                <w:color w:val="000000"/>
              </w:rPr>
              <w:t>(</w:t>
            </w:r>
            <w:r w:rsidR="00A01E40">
              <w:rPr>
                <w:rFonts w:ascii="Arial" w:hAnsi="Arial" w:cs="Arial"/>
                <w:b/>
                <w:color w:val="000000"/>
              </w:rPr>
              <w:t>79</w:t>
            </w:r>
            <w:r w:rsidRPr="00A845B7">
              <w:rPr>
                <w:rFonts w:ascii="Arial" w:hAnsi="Arial" w:cs="Arial"/>
                <w:b/>
                <w:color w:val="000000"/>
              </w:rPr>
              <w:t>)</w:t>
            </w:r>
          </w:p>
        </w:tc>
        <w:tc>
          <w:tcPr>
            <w:tcW w:w="705" w:type="pct"/>
            <w:tcBorders>
              <w:left w:val="nil"/>
              <w:bottom w:val="single" w:sz="4" w:space="0" w:color="auto"/>
              <w:right w:val="nil"/>
            </w:tcBorders>
            <w:vAlign w:val="center"/>
          </w:tcPr>
          <w:p w14:paraId="6DC9B9F3" w14:textId="4A726755" w:rsidR="00E40B17" w:rsidRPr="00A845B7" w:rsidRDefault="00E40B17" w:rsidP="00E40B17">
            <w:pPr>
              <w:jc w:val="right"/>
              <w:rPr>
                <w:rFonts w:ascii="Arial" w:hAnsi="Arial" w:cs="Arial"/>
                <w:b/>
              </w:rPr>
            </w:pPr>
            <w:r w:rsidRPr="00A845B7">
              <w:rPr>
                <w:rFonts w:ascii="Arial" w:hAnsi="Arial" w:cs="Arial"/>
                <w:b/>
                <w:bCs/>
                <w:color w:val="000000"/>
              </w:rPr>
              <w:t>(</w:t>
            </w:r>
            <w:r w:rsidR="00D86819">
              <w:rPr>
                <w:rFonts w:ascii="Arial" w:hAnsi="Arial" w:cs="Arial"/>
                <w:b/>
                <w:bCs/>
                <w:color w:val="000000"/>
              </w:rPr>
              <w:t>3</w:t>
            </w:r>
            <w:r w:rsidRPr="00A845B7">
              <w:rPr>
                <w:rFonts w:ascii="Arial" w:hAnsi="Arial" w:cs="Arial"/>
                <w:b/>
                <w:bCs/>
                <w:color w:val="000000"/>
              </w:rPr>
              <w:t>.</w:t>
            </w:r>
            <w:r w:rsidR="00D86819">
              <w:rPr>
                <w:rFonts w:ascii="Arial" w:hAnsi="Arial" w:cs="Arial"/>
                <w:b/>
                <w:bCs/>
                <w:color w:val="000000"/>
              </w:rPr>
              <w:t>7</w:t>
            </w:r>
            <w:r w:rsidRPr="00A845B7">
              <w:rPr>
                <w:rFonts w:ascii="Arial" w:hAnsi="Arial" w:cs="Arial"/>
                <w:b/>
                <w:bCs/>
                <w:color w:val="000000"/>
              </w:rPr>
              <w:t>)</w:t>
            </w:r>
          </w:p>
        </w:tc>
        <w:tc>
          <w:tcPr>
            <w:tcW w:w="647" w:type="pct"/>
            <w:tcBorders>
              <w:left w:val="nil"/>
              <w:bottom w:val="single" w:sz="4" w:space="0" w:color="auto"/>
              <w:right w:val="nil"/>
            </w:tcBorders>
            <w:vAlign w:val="center"/>
          </w:tcPr>
          <w:p w14:paraId="6EEF9B22" w14:textId="227B0541" w:rsidR="00E40B17" w:rsidRPr="00355EF2" w:rsidRDefault="00E40B17" w:rsidP="00E40B17">
            <w:pPr>
              <w:jc w:val="right"/>
              <w:rPr>
                <w:rFonts w:ascii="Arial" w:hAnsi="Arial" w:cs="Arial"/>
              </w:rPr>
            </w:pPr>
            <w:r w:rsidRPr="0018703F">
              <w:rPr>
                <w:rFonts w:ascii="Arial" w:hAnsi="Arial" w:cs="Arial"/>
                <w:color w:val="000000"/>
              </w:rPr>
              <w:t>(33)</w:t>
            </w:r>
          </w:p>
        </w:tc>
        <w:tc>
          <w:tcPr>
            <w:tcW w:w="651" w:type="pct"/>
            <w:tcBorders>
              <w:left w:val="nil"/>
              <w:bottom w:val="single" w:sz="4" w:space="0" w:color="auto"/>
              <w:right w:val="nil"/>
            </w:tcBorders>
            <w:vAlign w:val="center"/>
          </w:tcPr>
          <w:p w14:paraId="791F4AEE" w14:textId="64854994" w:rsidR="00E40B17" w:rsidRPr="00355EF2" w:rsidRDefault="00E40B17" w:rsidP="00E40B17">
            <w:pPr>
              <w:jc w:val="right"/>
              <w:rPr>
                <w:rFonts w:ascii="Arial" w:hAnsi="Arial" w:cs="Arial"/>
              </w:rPr>
            </w:pPr>
            <w:r w:rsidRPr="0018703F">
              <w:rPr>
                <w:rFonts w:ascii="Arial" w:hAnsi="Arial" w:cs="Arial"/>
                <w:bCs/>
                <w:color w:val="000000"/>
              </w:rPr>
              <w:t>(1.5)</w:t>
            </w:r>
          </w:p>
        </w:tc>
      </w:tr>
      <w:tr w:rsidR="00E40B17" w:rsidRPr="00A845B7" w14:paraId="418F787E" w14:textId="77777777" w:rsidTr="00D86819">
        <w:tc>
          <w:tcPr>
            <w:tcW w:w="2292" w:type="pct"/>
            <w:tcBorders>
              <w:top w:val="single" w:sz="4" w:space="0" w:color="auto"/>
              <w:left w:val="nil"/>
              <w:bottom w:val="nil"/>
              <w:right w:val="nil"/>
            </w:tcBorders>
            <w:hideMark/>
          </w:tcPr>
          <w:p w14:paraId="1AD38F15" w14:textId="77777777" w:rsidR="00E40B17" w:rsidRPr="00A845B7" w:rsidRDefault="00E40B17" w:rsidP="00E40B17">
            <w:pPr>
              <w:rPr>
                <w:rFonts w:ascii="Arial" w:hAnsi="Arial" w:cs="Arial"/>
              </w:rPr>
            </w:pPr>
            <w:r w:rsidRPr="00A845B7">
              <w:rPr>
                <w:rFonts w:ascii="Arial" w:hAnsi="Arial" w:cs="Arial"/>
                <w:b/>
              </w:rPr>
              <w:t>Adjusted basic earnings per share</w:t>
            </w:r>
          </w:p>
        </w:tc>
        <w:tc>
          <w:tcPr>
            <w:tcW w:w="705" w:type="pct"/>
            <w:tcBorders>
              <w:top w:val="single" w:sz="4" w:space="0" w:color="auto"/>
              <w:left w:val="nil"/>
              <w:bottom w:val="nil"/>
              <w:right w:val="nil"/>
            </w:tcBorders>
          </w:tcPr>
          <w:p w14:paraId="4124CDAE" w14:textId="6D327FF6" w:rsidR="00E40B17" w:rsidRPr="00A845B7" w:rsidRDefault="00D86819" w:rsidP="00E40B17">
            <w:pPr>
              <w:jc w:val="right"/>
              <w:rPr>
                <w:rFonts w:ascii="Arial" w:hAnsi="Arial" w:cs="Arial"/>
                <w:b/>
              </w:rPr>
            </w:pPr>
            <w:r>
              <w:rPr>
                <w:rFonts w:ascii="Arial" w:hAnsi="Arial" w:cs="Arial"/>
                <w:b/>
              </w:rPr>
              <w:t>479</w:t>
            </w:r>
          </w:p>
        </w:tc>
        <w:tc>
          <w:tcPr>
            <w:tcW w:w="705" w:type="pct"/>
            <w:tcBorders>
              <w:top w:val="single" w:sz="4" w:space="0" w:color="auto"/>
              <w:left w:val="nil"/>
              <w:bottom w:val="nil"/>
              <w:right w:val="nil"/>
            </w:tcBorders>
          </w:tcPr>
          <w:p w14:paraId="3BF356C4" w14:textId="28D5A586" w:rsidR="00E40B17" w:rsidRPr="00A845B7" w:rsidRDefault="00E40B17" w:rsidP="00E40B17">
            <w:pPr>
              <w:jc w:val="right"/>
              <w:rPr>
                <w:rFonts w:ascii="Arial" w:hAnsi="Arial" w:cs="Arial"/>
                <w:b/>
              </w:rPr>
            </w:pPr>
            <w:r w:rsidRPr="00A845B7">
              <w:rPr>
                <w:rFonts w:ascii="Arial" w:hAnsi="Arial" w:cs="Arial"/>
                <w:b/>
              </w:rPr>
              <w:t>2</w:t>
            </w:r>
            <w:r w:rsidR="00D86819">
              <w:rPr>
                <w:rFonts w:ascii="Arial" w:hAnsi="Arial" w:cs="Arial"/>
                <w:b/>
              </w:rPr>
              <w:t>1</w:t>
            </w:r>
            <w:r w:rsidRPr="00A845B7">
              <w:rPr>
                <w:rFonts w:ascii="Arial" w:hAnsi="Arial" w:cs="Arial"/>
                <w:b/>
              </w:rPr>
              <w:t>.</w:t>
            </w:r>
            <w:r w:rsidR="00D86819">
              <w:rPr>
                <w:rFonts w:ascii="Arial" w:hAnsi="Arial" w:cs="Arial"/>
                <w:b/>
              </w:rPr>
              <w:t>8</w:t>
            </w:r>
          </w:p>
        </w:tc>
        <w:tc>
          <w:tcPr>
            <w:tcW w:w="647" w:type="pct"/>
            <w:tcBorders>
              <w:top w:val="single" w:sz="4" w:space="0" w:color="auto"/>
              <w:left w:val="nil"/>
              <w:bottom w:val="nil"/>
              <w:right w:val="nil"/>
            </w:tcBorders>
          </w:tcPr>
          <w:p w14:paraId="01546CC8" w14:textId="6864B118" w:rsidR="00E40B17" w:rsidRPr="00355EF2" w:rsidRDefault="00E40B17" w:rsidP="00E40B17">
            <w:pPr>
              <w:jc w:val="right"/>
              <w:rPr>
                <w:rFonts w:ascii="Arial" w:hAnsi="Arial" w:cs="Arial"/>
              </w:rPr>
            </w:pPr>
            <w:r w:rsidRPr="0018703F">
              <w:rPr>
                <w:rFonts w:ascii="Arial" w:hAnsi="Arial" w:cs="Arial"/>
              </w:rPr>
              <w:t>551</w:t>
            </w:r>
          </w:p>
        </w:tc>
        <w:tc>
          <w:tcPr>
            <w:tcW w:w="651" w:type="pct"/>
            <w:tcBorders>
              <w:top w:val="single" w:sz="4" w:space="0" w:color="auto"/>
              <w:left w:val="nil"/>
              <w:bottom w:val="nil"/>
              <w:right w:val="nil"/>
            </w:tcBorders>
          </w:tcPr>
          <w:p w14:paraId="1EDDE463" w14:textId="79EAC8FF" w:rsidR="00E40B17" w:rsidRPr="00355EF2" w:rsidRDefault="00E40B17" w:rsidP="00E40B17">
            <w:pPr>
              <w:jc w:val="right"/>
              <w:rPr>
                <w:rFonts w:ascii="Arial" w:hAnsi="Arial" w:cs="Arial"/>
              </w:rPr>
            </w:pPr>
            <w:r w:rsidRPr="0018703F">
              <w:rPr>
                <w:rFonts w:ascii="Arial" w:hAnsi="Arial" w:cs="Arial"/>
              </w:rPr>
              <w:t>24.4</w:t>
            </w:r>
          </w:p>
        </w:tc>
      </w:tr>
      <w:tr w:rsidR="00E40B17" w:rsidRPr="00A845B7" w14:paraId="7C43DEAE" w14:textId="77777777" w:rsidTr="00D86819">
        <w:tc>
          <w:tcPr>
            <w:tcW w:w="2292" w:type="pct"/>
            <w:hideMark/>
          </w:tcPr>
          <w:p w14:paraId="1447E915" w14:textId="77777777" w:rsidR="00E40B17" w:rsidRPr="00A845B7" w:rsidRDefault="00E40B17" w:rsidP="00E40B17">
            <w:pPr>
              <w:rPr>
                <w:rFonts w:ascii="Arial" w:hAnsi="Arial" w:cs="Arial"/>
              </w:rPr>
            </w:pPr>
            <w:r w:rsidRPr="00A845B7">
              <w:rPr>
                <w:rFonts w:ascii="Arial" w:hAnsi="Arial" w:cs="Arial"/>
              </w:rPr>
              <w:t>Net exceptional items</w:t>
            </w:r>
          </w:p>
        </w:tc>
        <w:tc>
          <w:tcPr>
            <w:tcW w:w="705" w:type="pct"/>
            <w:shd w:val="clear" w:color="auto" w:fill="auto"/>
          </w:tcPr>
          <w:p w14:paraId="25C57D48" w14:textId="07725169" w:rsidR="00E40B17" w:rsidRPr="00A845B7" w:rsidRDefault="000E602D" w:rsidP="00E40B17">
            <w:pPr>
              <w:jc w:val="right"/>
              <w:rPr>
                <w:rFonts w:ascii="Arial" w:hAnsi="Arial" w:cs="Arial"/>
                <w:b/>
              </w:rPr>
            </w:pPr>
            <w:r>
              <w:rPr>
                <w:rFonts w:ascii="Arial" w:hAnsi="Arial" w:cs="Arial"/>
                <w:b/>
              </w:rPr>
              <w:t>-</w:t>
            </w:r>
          </w:p>
        </w:tc>
        <w:tc>
          <w:tcPr>
            <w:tcW w:w="705" w:type="pct"/>
            <w:shd w:val="clear" w:color="auto" w:fill="auto"/>
          </w:tcPr>
          <w:p w14:paraId="246404E8" w14:textId="60FFC585" w:rsidR="00E40B17" w:rsidRPr="00A845B7" w:rsidRDefault="00D86819" w:rsidP="00E40B17">
            <w:pPr>
              <w:jc w:val="right"/>
              <w:rPr>
                <w:rFonts w:ascii="Arial" w:hAnsi="Arial" w:cs="Arial"/>
                <w:b/>
              </w:rPr>
            </w:pPr>
            <w:r>
              <w:rPr>
                <w:rFonts w:ascii="Arial" w:hAnsi="Arial" w:cs="Arial"/>
                <w:b/>
              </w:rPr>
              <w:t>-</w:t>
            </w:r>
          </w:p>
        </w:tc>
        <w:tc>
          <w:tcPr>
            <w:tcW w:w="647" w:type="pct"/>
            <w:shd w:val="clear" w:color="auto" w:fill="auto"/>
          </w:tcPr>
          <w:p w14:paraId="2C1CF247" w14:textId="53D72AF1" w:rsidR="00E40B17" w:rsidRPr="00355EF2" w:rsidRDefault="00E40B17" w:rsidP="00E40B17">
            <w:pPr>
              <w:jc w:val="right"/>
              <w:rPr>
                <w:rFonts w:ascii="Arial" w:hAnsi="Arial" w:cs="Arial"/>
              </w:rPr>
            </w:pPr>
            <w:r w:rsidRPr="0018703F">
              <w:rPr>
                <w:rFonts w:ascii="Arial" w:hAnsi="Arial" w:cs="Arial"/>
              </w:rPr>
              <w:t>11</w:t>
            </w:r>
          </w:p>
        </w:tc>
        <w:tc>
          <w:tcPr>
            <w:tcW w:w="651" w:type="pct"/>
            <w:shd w:val="clear" w:color="auto" w:fill="auto"/>
          </w:tcPr>
          <w:p w14:paraId="6D8757E5" w14:textId="00973BF1" w:rsidR="00E40B17" w:rsidRPr="00355EF2" w:rsidRDefault="00E40B17" w:rsidP="00E40B17">
            <w:pPr>
              <w:jc w:val="right"/>
              <w:rPr>
                <w:rFonts w:ascii="Arial" w:hAnsi="Arial" w:cs="Arial"/>
              </w:rPr>
            </w:pPr>
            <w:r w:rsidRPr="0018703F">
              <w:rPr>
                <w:rFonts w:ascii="Arial" w:hAnsi="Arial" w:cs="Arial"/>
              </w:rPr>
              <w:t>0.6</w:t>
            </w:r>
          </w:p>
        </w:tc>
      </w:tr>
      <w:tr w:rsidR="00E40B17" w:rsidRPr="00A845B7" w14:paraId="55CBA936" w14:textId="77777777" w:rsidTr="00D86819">
        <w:tc>
          <w:tcPr>
            <w:tcW w:w="2292" w:type="pct"/>
            <w:vAlign w:val="bottom"/>
            <w:hideMark/>
          </w:tcPr>
          <w:p w14:paraId="52C2A807" w14:textId="77777777" w:rsidR="00E40B17" w:rsidRPr="00A845B7" w:rsidRDefault="00E40B17" w:rsidP="00E40B17">
            <w:pPr>
              <w:jc w:val="left"/>
              <w:rPr>
                <w:rFonts w:ascii="Arial" w:hAnsi="Arial" w:cs="Arial"/>
              </w:rPr>
            </w:pPr>
            <w:r w:rsidRPr="00A845B7">
              <w:rPr>
                <w:rFonts w:ascii="Arial" w:hAnsi="Arial" w:cs="Arial"/>
              </w:rPr>
              <w:t>Prior year tax items</w:t>
            </w:r>
          </w:p>
        </w:tc>
        <w:tc>
          <w:tcPr>
            <w:tcW w:w="705" w:type="pct"/>
          </w:tcPr>
          <w:p w14:paraId="10B50743" w14:textId="47A9F01A" w:rsidR="00E40B17" w:rsidRPr="00A845B7" w:rsidRDefault="000E602D" w:rsidP="00E40B17">
            <w:pPr>
              <w:jc w:val="right"/>
              <w:rPr>
                <w:rFonts w:ascii="Arial" w:hAnsi="Arial" w:cs="Arial"/>
                <w:b/>
              </w:rPr>
            </w:pPr>
            <w:r>
              <w:rPr>
                <w:rFonts w:ascii="Arial" w:hAnsi="Arial" w:cs="Arial"/>
                <w:b/>
              </w:rPr>
              <w:t>7</w:t>
            </w:r>
          </w:p>
        </w:tc>
        <w:tc>
          <w:tcPr>
            <w:tcW w:w="705" w:type="pct"/>
            <w:vAlign w:val="bottom"/>
          </w:tcPr>
          <w:p w14:paraId="0BE44C57" w14:textId="5D6CEFCF" w:rsidR="00E40B17" w:rsidRPr="00A845B7" w:rsidRDefault="00D86819" w:rsidP="00E40B17">
            <w:pPr>
              <w:jc w:val="right"/>
              <w:rPr>
                <w:rFonts w:ascii="Arial" w:hAnsi="Arial" w:cs="Arial"/>
                <w:b/>
              </w:rPr>
            </w:pPr>
            <w:r>
              <w:rPr>
                <w:rFonts w:ascii="Arial" w:hAnsi="Arial" w:cs="Arial"/>
                <w:b/>
              </w:rPr>
              <w:t>0</w:t>
            </w:r>
            <w:r w:rsidR="00E40B17" w:rsidRPr="00A845B7">
              <w:rPr>
                <w:rFonts w:ascii="Arial" w:hAnsi="Arial" w:cs="Arial"/>
                <w:b/>
              </w:rPr>
              <w:t>.</w:t>
            </w:r>
            <w:r w:rsidR="000E602D">
              <w:rPr>
                <w:rFonts w:ascii="Arial" w:hAnsi="Arial" w:cs="Arial"/>
                <w:b/>
              </w:rPr>
              <w:t>3</w:t>
            </w:r>
          </w:p>
        </w:tc>
        <w:tc>
          <w:tcPr>
            <w:tcW w:w="647" w:type="pct"/>
          </w:tcPr>
          <w:p w14:paraId="50516585" w14:textId="44E33E9A" w:rsidR="00E40B17" w:rsidRPr="00355EF2" w:rsidRDefault="00E40B17" w:rsidP="00E40B17">
            <w:pPr>
              <w:jc w:val="right"/>
              <w:rPr>
                <w:rFonts w:ascii="Arial" w:hAnsi="Arial" w:cs="Arial"/>
              </w:rPr>
            </w:pPr>
            <w:r w:rsidRPr="0018703F">
              <w:rPr>
                <w:rFonts w:ascii="Arial" w:hAnsi="Arial" w:cs="Arial"/>
              </w:rPr>
              <w:t>49</w:t>
            </w:r>
          </w:p>
        </w:tc>
        <w:tc>
          <w:tcPr>
            <w:tcW w:w="651" w:type="pct"/>
            <w:vAlign w:val="bottom"/>
          </w:tcPr>
          <w:p w14:paraId="5DB076D5" w14:textId="5CE580AC" w:rsidR="00E40B17" w:rsidRPr="00355EF2" w:rsidRDefault="00E40B17" w:rsidP="00E40B17">
            <w:pPr>
              <w:jc w:val="right"/>
              <w:rPr>
                <w:rFonts w:ascii="Arial" w:hAnsi="Arial" w:cs="Arial"/>
              </w:rPr>
            </w:pPr>
            <w:r w:rsidRPr="0018703F">
              <w:rPr>
                <w:rFonts w:ascii="Arial" w:hAnsi="Arial" w:cs="Arial"/>
              </w:rPr>
              <w:t>2.2</w:t>
            </w:r>
          </w:p>
        </w:tc>
      </w:tr>
      <w:tr w:rsidR="00E40B17" w:rsidRPr="00A845B7" w14:paraId="4BFCCE6B" w14:textId="77777777" w:rsidTr="00D86819">
        <w:tc>
          <w:tcPr>
            <w:tcW w:w="2292" w:type="pct"/>
            <w:vAlign w:val="bottom"/>
            <w:hideMark/>
          </w:tcPr>
          <w:p w14:paraId="012762AC" w14:textId="77777777" w:rsidR="00E40B17" w:rsidRPr="00A845B7" w:rsidRDefault="00E40B17" w:rsidP="00E40B17">
            <w:pPr>
              <w:jc w:val="left"/>
              <w:rPr>
                <w:rFonts w:ascii="Arial" w:hAnsi="Arial" w:cs="Arial"/>
              </w:rPr>
            </w:pPr>
            <w:r w:rsidRPr="00A845B7">
              <w:rPr>
                <w:rFonts w:ascii="Arial" w:hAnsi="Arial" w:cs="Arial"/>
              </w:rPr>
              <w:t>FFVR (net of tax)</w:t>
            </w:r>
          </w:p>
        </w:tc>
        <w:tc>
          <w:tcPr>
            <w:tcW w:w="705" w:type="pct"/>
          </w:tcPr>
          <w:p w14:paraId="5F012318" w14:textId="1A91472B" w:rsidR="00E40B17" w:rsidRPr="00A845B7" w:rsidRDefault="000E602D" w:rsidP="00E40B17">
            <w:pPr>
              <w:jc w:val="right"/>
              <w:rPr>
                <w:rFonts w:ascii="Arial" w:hAnsi="Arial" w:cs="Arial"/>
                <w:b/>
              </w:rPr>
            </w:pPr>
            <w:r>
              <w:rPr>
                <w:rFonts w:ascii="Arial" w:hAnsi="Arial" w:cs="Arial"/>
                <w:b/>
              </w:rPr>
              <w:t>(</w:t>
            </w:r>
            <w:r w:rsidR="00E40B17" w:rsidRPr="00A845B7">
              <w:rPr>
                <w:rFonts w:ascii="Arial" w:hAnsi="Arial" w:cs="Arial"/>
                <w:b/>
              </w:rPr>
              <w:t>1</w:t>
            </w:r>
            <w:r>
              <w:rPr>
                <w:rFonts w:ascii="Arial" w:hAnsi="Arial" w:cs="Arial"/>
                <w:b/>
              </w:rPr>
              <w:t>)</w:t>
            </w:r>
          </w:p>
        </w:tc>
        <w:tc>
          <w:tcPr>
            <w:tcW w:w="705" w:type="pct"/>
            <w:vAlign w:val="bottom"/>
          </w:tcPr>
          <w:p w14:paraId="49AC3BEB" w14:textId="25F2985A" w:rsidR="00E40B17" w:rsidRPr="00A845B7" w:rsidRDefault="00D86819" w:rsidP="00E40B17">
            <w:pPr>
              <w:jc w:val="right"/>
              <w:rPr>
                <w:rFonts w:ascii="Arial" w:hAnsi="Arial" w:cs="Arial"/>
                <w:b/>
              </w:rPr>
            </w:pPr>
            <w:r>
              <w:rPr>
                <w:rFonts w:ascii="Arial" w:hAnsi="Arial" w:cs="Arial"/>
                <w:b/>
              </w:rPr>
              <w:t>-</w:t>
            </w:r>
          </w:p>
        </w:tc>
        <w:tc>
          <w:tcPr>
            <w:tcW w:w="647" w:type="pct"/>
          </w:tcPr>
          <w:p w14:paraId="6F837066" w14:textId="6B862CE9" w:rsidR="00E40B17" w:rsidRPr="00355EF2" w:rsidRDefault="00E40B17" w:rsidP="00E40B17">
            <w:pPr>
              <w:jc w:val="right"/>
              <w:rPr>
                <w:rFonts w:ascii="Arial" w:hAnsi="Arial" w:cs="Arial"/>
              </w:rPr>
            </w:pPr>
            <w:r w:rsidRPr="0018703F">
              <w:rPr>
                <w:rFonts w:ascii="Arial" w:hAnsi="Arial" w:cs="Arial"/>
              </w:rPr>
              <w:t>(1)</w:t>
            </w:r>
          </w:p>
        </w:tc>
        <w:tc>
          <w:tcPr>
            <w:tcW w:w="651" w:type="pct"/>
            <w:vAlign w:val="bottom"/>
          </w:tcPr>
          <w:p w14:paraId="207BE494" w14:textId="1575CC1A" w:rsidR="00E40B17" w:rsidRPr="00355EF2" w:rsidRDefault="00E40B17" w:rsidP="00E40B17">
            <w:pPr>
              <w:jc w:val="right"/>
              <w:rPr>
                <w:rFonts w:ascii="Arial" w:hAnsi="Arial" w:cs="Arial"/>
              </w:rPr>
            </w:pPr>
            <w:r w:rsidRPr="0018703F">
              <w:rPr>
                <w:rFonts w:ascii="Arial" w:hAnsi="Arial" w:cs="Arial"/>
              </w:rPr>
              <w:t>(0.1)</w:t>
            </w:r>
          </w:p>
        </w:tc>
      </w:tr>
      <w:tr w:rsidR="00E40B17" w:rsidRPr="00A845B7" w14:paraId="07354F34" w14:textId="77777777" w:rsidTr="00D86819">
        <w:trPr>
          <w:trHeight w:val="70"/>
        </w:trPr>
        <w:tc>
          <w:tcPr>
            <w:tcW w:w="2292" w:type="pct"/>
            <w:tcBorders>
              <w:top w:val="single" w:sz="4" w:space="0" w:color="auto"/>
              <w:left w:val="nil"/>
              <w:bottom w:val="single" w:sz="4" w:space="0" w:color="auto"/>
              <w:right w:val="nil"/>
            </w:tcBorders>
            <w:hideMark/>
          </w:tcPr>
          <w:p w14:paraId="3C87B1BE" w14:textId="77777777" w:rsidR="00E40B17" w:rsidRPr="00A845B7" w:rsidRDefault="00E40B17" w:rsidP="00E40B17">
            <w:pPr>
              <w:rPr>
                <w:rFonts w:ascii="Arial" w:hAnsi="Arial" w:cs="Arial"/>
                <w:b/>
              </w:rPr>
            </w:pPr>
            <w:r w:rsidRPr="00A845B7">
              <w:rPr>
                <w:rFonts w:ascii="Arial" w:hAnsi="Arial" w:cs="Arial"/>
                <w:b/>
              </w:rPr>
              <w:t>Basic earnings per share</w:t>
            </w:r>
          </w:p>
        </w:tc>
        <w:tc>
          <w:tcPr>
            <w:tcW w:w="705" w:type="pct"/>
            <w:tcBorders>
              <w:top w:val="single" w:sz="4" w:space="0" w:color="auto"/>
              <w:left w:val="nil"/>
              <w:bottom w:val="single" w:sz="4" w:space="0" w:color="auto"/>
              <w:right w:val="nil"/>
            </w:tcBorders>
          </w:tcPr>
          <w:p w14:paraId="3CBA9BD1" w14:textId="62C27BED" w:rsidR="00E40B17" w:rsidRPr="00A845B7" w:rsidRDefault="00D86819" w:rsidP="00E40B17">
            <w:pPr>
              <w:jc w:val="right"/>
              <w:rPr>
                <w:rFonts w:ascii="Arial" w:hAnsi="Arial" w:cs="Arial"/>
                <w:b/>
              </w:rPr>
            </w:pPr>
            <w:r>
              <w:rPr>
                <w:rFonts w:ascii="Arial" w:hAnsi="Arial" w:cs="Arial"/>
                <w:b/>
              </w:rPr>
              <w:t>4</w:t>
            </w:r>
            <w:r w:rsidR="00A01E40">
              <w:rPr>
                <w:rFonts w:ascii="Arial" w:hAnsi="Arial" w:cs="Arial"/>
                <w:b/>
              </w:rPr>
              <w:t>85</w:t>
            </w:r>
          </w:p>
        </w:tc>
        <w:tc>
          <w:tcPr>
            <w:tcW w:w="705" w:type="pct"/>
            <w:tcBorders>
              <w:top w:val="single" w:sz="4" w:space="0" w:color="auto"/>
              <w:left w:val="nil"/>
              <w:bottom w:val="single" w:sz="4" w:space="0" w:color="auto"/>
              <w:right w:val="nil"/>
            </w:tcBorders>
          </w:tcPr>
          <w:p w14:paraId="5DF879F0" w14:textId="3738B449" w:rsidR="00E40B17" w:rsidRPr="00A845B7" w:rsidRDefault="00E40B17" w:rsidP="00E40B17">
            <w:pPr>
              <w:jc w:val="right"/>
              <w:rPr>
                <w:rFonts w:ascii="Arial" w:hAnsi="Arial" w:cs="Arial"/>
                <w:b/>
              </w:rPr>
            </w:pPr>
            <w:r w:rsidRPr="00A845B7">
              <w:rPr>
                <w:rFonts w:ascii="Arial" w:hAnsi="Arial" w:cs="Arial"/>
                <w:b/>
              </w:rPr>
              <w:t>2</w:t>
            </w:r>
            <w:r w:rsidR="00D86819">
              <w:rPr>
                <w:rFonts w:ascii="Arial" w:hAnsi="Arial" w:cs="Arial"/>
                <w:b/>
              </w:rPr>
              <w:t>2</w:t>
            </w:r>
            <w:r w:rsidRPr="00A845B7">
              <w:rPr>
                <w:rFonts w:ascii="Arial" w:hAnsi="Arial" w:cs="Arial"/>
                <w:b/>
              </w:rPr>
              <w:t>.</w:t>
            </w:r>
            <w:r w:rsidR="000E602D">
              <w:rPr>
                <w:rFonts w:ascii="Arial" w:hAnsi="Arial" w:cs="Arial"/>
                <w:b/>
              </w:rPr>
              <w:t>1</w:t>
            </w:r>
          </w:p>
        </w:tc>
        <w:tc>
          <w:tcPr>
            <w:tcW w:w="647" w:type="pct"/>
            <w:tcBorders>
              <w:top w:val="single" w:sz="4" w:space="0" w:color="auto"/>
              <w:left w:val="nil"/>
              <w:bottom w:val="single" w:sz="4" w:space="0" w:color="auto"/>
              <w:right w:val="nil"/>
            </w:tcBorders>
          </w:tcPr>
          <w:p w14:paraId="206AE44D" w14:textId="6323B2D2" w:rsidR="00E40B17" w:rsidRPr="00355EF2" w:rsidRDefault="00E40B17" w:rsidP="00E40B17">
            <w:pPr>
              <w:jc w:val="right"/>
              <w:rPr>
                <w:rFonts w:ascii="Arial" w:hAnsi="Arial" w:cs="Arial"/>
              </w:rPr>
            </w:pPr>
            <w:r w:rsidRPr="0018703F">
              <w:rPr>
                <w:rFonts w:ascii="Arial" w:hAnsi="Arial" w:cs="Arial"/>
              </w:rPr>
              <w:t>610</w:t>
            </w:r>
          </w:p>
        </w:tc>
        <w:tc>
          <w:tcPr>
            <w:tcW w:w="651" w:type="pct"/>
            <w:tcBorders>
              <w:top w:val="single" w:sz="4" w:space="0" w:color="auto"/>
              <w:left w:val="nil"/>
              <w:bottom w:val="single" w:sz="4" w:space="0" w:color="auto"/>
              <w:right w:val="nil"/>
            </w:tcBorders>
          </w:tcPr>
          <w:p w14:paraId="3FC517F8" w14:textId="6B901706" w:rsidR="00E40B17" w:rsidRPr="00355EF2" w:rsidRDefault="00E40B17" w:rsidP="00E40B17">
            <w:pPr>
              <w:jc w:val="right"/>
              <w:rPr>
                <w:rFonts w:ascii="Arial" w:hAnsi="Arial" w:cs="Arial"/>
              </w:rPr>
            </w:pPr>
            <w:r w:rsidRPr="0018703F">
              <w:rPr>
                <w:rFonts w:ascii="Arial" w:hAnsi="Arial" w:cs="Arial"/>
              </w:rPr>
              <w:t>27.1</w:t>
            </w:r>
          </w:p>
        </w:tc>
      </w:tr>
    </w:tbl>
    <w:p w14:paraId="232C23A8" w14:textId="77777777" w:rsidR="00997637" w:rsidRPr="00A845B7" w:rsidRDefault="00997637" w:rsidP="00997637">
      <w:pPr>
        <w:jc w:val="left"/>
        <w:rPr>
          <w:rFonts w:ascii="Arial" w:hAnsi="Arial" w:cs="Arial"/>
          <w:b/>
          <w:bCs/>
          <w:highlight w:val="yellow"/>
        </w:rPr>
      </w:pPr>
    </w:p>
    <w:p w14:paraId="038CBE5E" w14:textId="2F931D1D" w:rsidR="00241E2E" w:rsidRDefault="00241E2E" w:rsidP="002146A2">
      <w:pPr>
        <w:jc w:val="left"/>
        <w:rPr>
          <w:rFonts w:ascii="Arial" w:hAnsi="Arial" w:cs="Arial"/>
        </w:rPr>
      </w:pPr>
      <w:bookmarkStart w:id="36" w:name="_Hlk507763526"/>
      <w:r w:rsidRPr="00686C6E">
        <w:rPr>
          <w:rFonts w:ascii="Arial" w:hAnsi="Arial" w:cs="Arial"/>
        </w:rPr>
        <w:t>During 2017</w:t>
      </w:r>
      <w:r>
        <w:rPr>
          <w:rFonts w:ascii="Arial" w:hAnsi="Arial" w:cs="Arial"/>
        </w:rPr>
        <w:t>/18 82</w:t>
      </w:r>
      <w:r w:rsidRPr="00686C6E">
        <w:rPr>
          <w:rFonts w:ascii="Arial" w:hAnsi="Arial" w:cs="Arial"/>
        </w:rPr>
        <w:t xml:space="preserve"> </w:t>
      </w:r>
      <w:r>
        <w:rPr>
          <w:rFonts w:ascii="Arial" w:hAnsi="Arial" w:cs="Arial"/>
        </w:rPr>
        <w:t>million shares were</w:t>
      </w:r>
      <w:r w:rsidRPr="00686C6E">
        <w:rPr>
          <w:rFonts w:ascii="Arial" w:hAnsi="Arial" w:cs="Arial"/>
        </w:rPr>
        <w:t xml:space="preserve"> returned to shareholders </w:t>
      </w:r>
      <w:r w:rsidRPr="00A845B7">
        <w:rPr>
          <w:rFonts w:ascii="Arial" w:hAnsi="Arial" w:cs="Arial"/>
        </w:rPr>
        <w:t>via share buyback</w:t>
      </w:r>
      <w:r w:rsidR="005E243F">
        <w:rPr>
          <w:rFonts w:ascii="Arial" w:hAnsi="Arial" w:cs="Arial"/>
        </w:rPr>
        <w:t>,</w:t>
      </w:r>
      <w:r w:rsidR="005E243F" w:rsidRPr="005E243F">
        <w:t xml:space="preserve"> </w:t>
      </w:r>
      <w:r w:rsidR="005E243F" w:rsidRPr="005E243F">
        <w:rPr>
          <w:rFonts w:ascii="Arial" w:hAnsi="Arial" w:cs="Arial"/>
        </w:rPr>
        <w:t xml:space="preserve">following a buyback of 58 million shares in the prior year. </w:t>
      </w:r>
    </w:p>
    <w:bookmarkEnd w:id="36"/>
    <w:bookmarkEnd w:id="30"/>
    <w:p w14:paraId="6388AC96" w14:textId="77777777" w:rsidR="00B0776C" w:rsidRDefault="00B0776C" w:rsidP="00997637">
      <w:pPr>
        <w:jc w:val="left"/>
        <w:rPr>
          <w:rFonts w:ascii="Arial" w:hAnsi="Arial" w:cs="Arial"/>
          <w:b/>
          <w:bCs/>
        </w:rPr>
      </w:pPr>
    </w:p>
    <w:p w14:paraId="6F60AC7C" w14:textId="02431BA8" w:rsidR="00997637" w:rsidRPr="00A845B7" w:rsidRDefault="00997637" w:rsidP="00997637">
      <w:pPr>
        <w:jc w:val="left"/>
        <w:rPr>
          <w:rFonts w:ascii="Arial" w:hAnsi="Arial" w:cs="Arial"/>
          <w:b/>
          <w:bCs/>
        </w:rPr>
      </w:pPr>
      <w:r w:rsidRPr="00A845B7">
        <w:rPr>
          <w:rFonts w:ascii="Arial" w:hAnsi="Arial" w:cs="Arial"/>
          <w:b/>
          <w:bCs/>
        </w:rPr>
        <w:t xml:space="preserve">Dividends and capital returns </w:t>
      </w:r>
    </w:p>
    <w:p w14:paraId="6AC603AF" w14:textId="77777777" w:rsidR="00997637" w:rsidRPr="005563A5" w:rsidRDefault="00997637" w:rsidP="00997637">
      <w:pPr>
        <w:jc w:val="left"/>
        <w:rPr>
          <w:rFonts w:ascii="Arial" w:hAnsi="Arial" w:cs="Arial"/>
          <w:b/>
          <w:bCs/>
          <w:sz w:val="24"/>
          <w:szCs w:val="24"/>
        </w:rPr>
      </w:pPr>
    </w:p>
    <w:p w14:paraId="0D1139BC" w14:textId="13DBAA71" w:rsidR="00997637" w:rsidRPr="00686C6E" w:rsidRDefault="00997637" w:rsidP="00997637">
      <w:pPr>
        <w:jc w:val="left"/>
        <w:rPr>
          <w:rFonts w:ascii="Arial" w:hAnsi="Arial" w:cs="Arial"/>
          <w:highlight w:val="yellow"/>
        </w:rPr>
      </w:pPr>
      <w:r w:rsidRPr="00E4534B">
        <w:rPr>
          <w:rFonts w:ascii="Arial" w:hAnsi="Arial" w:cs="Arial"/>
        </w:rPr>
        <w:t xml:space="preserve">The Board has proposed a final dividend </w:t>
      </w:r>
      <w:r w:rsidRPr="006B55FF">
        <w:rPr>
          <w:rFonts w:ascii="Arial" w:hAnsi="Arial" w:cs="Arial"/>
        </w:rPr>
        <w:t xml:space="preserve">of </w:t>
      </w:r>
      <w:r w:rsidR="007B3160" w:rsidRPr="00F74486">
        <w:rPr>
          <w:rFonts w:ascii="Arial" w:hAnsi="Arial" w:cs="Arial"/>
        </w:rPr>
        <w:t>7</w:t>
      </w:r>
      <w:r w:rsidR="00EB1BCF" w:rsidRPr="00F74486">
        <w:rPr>
          <w:rFonts w:ascii="Arial" w:hAnsi="Arial" w:cs="Arial"/>
        </w:rPr>
        <w:t>.</w:t>
      </w:r>
      <w:r w:rsidR="009F1FE5">
        <w:rPr>
          <w:rFonts w:ascii="Arial" w:hAnsi="Arial" w:cs="Arial"/>
        </w:rPr>
        <w:t>49</w:t>
      </w:r>
      <w:r w:rsidR="0002460F" w:rsidRPr="00F74486">
        <w:rPr>
          <w:rFonts w:ascii="Arial" w:hAnsi="Arial" w:cs="Arial"/>
        </w:rPr>
        <w:t>p</w:t>
      </w:r>
      <w:r w:rsidR="0002460F" w:rsidRPr="00E4534B">
        <w:rPr>
          <w:rFonts w:ascii="Arial" w:hAnsi="Arial" w:cs="Arial"/>
        </w:rPr>
        <w:t xml:space="preserve"> </w:t>
      </w:r>
      <w:r w:rsidRPr="00E4534B">
        <w:rPr>
          <w:rFonts w:ascii="Arial" w:hAnsi="Arial" w:cs="Arial"/>
        </w:rPr>
        <w:t xml:space="preserve">which results in a full year dividend of </w:t>
      </w:r>
      <w:r w:rsidR="00F07AFB" w:rsidRPr="00D86BB6">
        <w:rPr>
          <w:rFonts w:ascii="Arial" w:hAnsi="Arial" w:cs="Arial"/>
        </w:rPr>
        <w:t>10.8</w:t>
      </w:r>
      <w:r w:rsidR="00832149">
        <w:rPr>
          <w:rFonts w:ascii="Arial" w:hAnsi="Arial" w:cs="Arial"/>
        </w:rPr>
        <w:t>2</w:t>
      </w:r>
      <w:r w:rsidR="00F07AFB" w:rsidRPr="00D86BB6">
        <w:rPr>
          <w:rFonts w:ascii="Arial" w:hAnsi="Arial" w:cs="Arial"/>
        </w:rPr>
        <w:t>p</w:t>
      </w:r>
      <w:r w:rsidRPr="00E4534B">
        <w:rPr>
          <w:rFonts w:ascii="Arial" w:hAnsi="Arial" w:cs="Arial"/>
        </w:rPr>
        <w:t xml:space="preserve">, an increase of </w:t>
      </w:r>
      <w:r w:rsidR="00F07AFB">
        <w:rPr>
          <w:rFonts w:ascii="Arial" w:hAnsi="Arial" w:cs="Arial"/>
        </w:rPr>
        <w:t>4</w:t>
      </w:r>
      <w:r w:rsidRPr="00E4534B">
        <w:rPr>
          <w:rFonts w:ascii="Arial" w:hAnsi="Arial" w:cs="Arial"/>
        </w:rPr>
        <w:t>% (201</w:t>
      </w:r>
      <w:r w:rsidR="00E40B17" w:rsidRPr="00E4534B">
        <w:rPr>
          <w:rFonts w:ascii="Arial" w:hAnsi="Arial" w:cs="Arial"/>
        </w:rPr>
        <w:t>6</w:t>
      </w:r>
      <w:r w:rsidRPr="00E4534B">
        <w:rPr>
          <w:rFonts w:ascii="Arial" w:hAnsi="Arial" w:cs="Arial"/>
        </w:rPr>
        <w:t>/1</w:t>
      </w:r>
      <w:r w:rsidR="00E40B17" w:rsidRPr="00E4534B">
        <w:rPr>
          <w:rFonts w:ascii="Arial" w:hAnsi="Arial" w:cs="Arial"/>
        </w:rPr>
        <w:t>7</w:t>
      </w:r>
      <w:r w:rsidRPr="00E4534B">
        <w:rPr>
          <w:rFonts w:ascii="Arial" w:hAnsi="Arial" w:cs="Arial"/>
        </w:rPr>
        <w:t>: 10.</w:t>
      </w:r>
      <w:r w:rsidR="00E40B17" w:rsidRPr="00E4534B">
        <w:rPr>
          <w:rFonts w:ascii="Arial" w:hAnsi="Arial" w:cs="Arial"/>
        </w:rPr>
        <w:t>4</w:t>
      </w:r>
      <w:r w:rsidRPr="00E4534B">
        <w:rPr>
          <w:rFonts w:ascii="Arial" w:hAnsi="Arial" w:cs="Arial"/>
        </w:rPr>
        <w:t xml:space="preserve">p). The full year dividend is </w:t>
      </w:r>
      <w:r w:rsidRPr="00F07AFB">
        <w:rPr>
          <w:rFonts w:ascii="Arial" w:hAnsi="Arial" w:cs="Arial"/>
        </w:rPr>
        <w:t xml:space="preserve">covered </w:t>
      </w:r>
      <w:r w:rsidR="00990F9A" w:rsidRPr="00D86BB6">
        <w:rPr>
          <w:rFonts w:ascii="Arial" w:hAnsi="Arial" w:cs="Arial"/>
        </w:rPr>
        <w:t>2.0</w:t>
      </w:r>
      <w:r w:rsidRPr="00E4534B">
        <w:rPr>
          <w:rFonts w:ascii="Arial" w:hAnsi="Arial" w:cs="Arial"/>
        </w:rPr>
        <w:t xml:space="preserve"> times by adjusted earnings (201</w:t>
      </w:r>
      <w:r w:rsidR="00E40B17" w:rsidRPr="00E4534B">
        <w:rPr>
          <w:rFonts w:ascii="Arial" w:hAnsi="Arial" w:cs="Arial"/>
        </w:rPr>
        <w:t>6</w:t>
      </w:r>
      <w:r w:rsidRPr="00E4534B">
        <w:rPr>
          <w:rFonts w:ascii="Arial" w:hAnsi="Arial" w:cs="Arial"/>
        </w:rPr>
        <w:t>/1</w:t>
      </w:r>
      <w:r w:rsidR="00E40B17" w:rsidRPr="00E4534B">
        <w:rPr>
          <w:rFonts w:ascii="Arial" w:hAnsi="Arial" w:cs="Arial"/>
        </w:rPr>
        <w:t>7</w:t>
      </w:r>
      <w:r w:rsidRPr="00E4534B">
        <w:rPr>
          <w:rFonts w:ascii="Arial" w:hAnsi="Arial" w:cs="Arial"/>
        </w:rPr>
        <w:t>: 2.</w:t>
      </w:r>
      <w:r w:rsidR="00E40B17" w:rsidRPr="00E4534B">
        <w:rPr>
          <w:rFonts w:ascii="Arial" w:hAnsi="Arial" w:cs="Arial"/>
        </w:rPr>
        <w:t>3</w:t>
      </w:r>
      <w:r w:rsidRPr="00E4534B">
        <w:rPr>
          <w:rFonts w:ascii="Arial" w:hAnsi="Arial" w:cs="Arial"/>
        </w:rPr>
        <w:t xml:space="preserve"> times).</w:t>
      </w:r>
      <w:r w:rsidR="008B7DDF" w:rsidRPr="0018703F">
        <w:rPr>
          <w:rFonts w:ascii="Arial" w:hAnsi="Arial" w:cs="Arial"/>
        </w:rPr>
        <w:t xml:space="preserve"> Excluding the impact of the £</w:t>
      </w:r>
      <w:r w:rsidR="00990F9A">
        <w:rPr>
          <w:rFonts w:ascii="Arial" w:hAnsi="Arial" w:cs="Arial"/>
        </w:rPr>
        <w:t xml:space="preserve">20 </w:t>
      </w:r>
      <w:r w:rsidR="00990F9A" w:rsidRPr="0018703F">
        <w:rPr>
          <w:rFonts w:ascii="Arial" w:hAnsi="Arial" w:cs="Arial"/>
        </w:rPr>
        <w:t>m</w:t>
      </w:r>
      <w:r w:rsidR="00990F9A">
        <w:rPr>
          <w:rFonts w:ascii="Arial" w:hAnsi="Arial" w:cs="Arial"/>
        </w:rPr>
        <w:t>illion</w:t>
      </w:r>
      <w:r w:rsidR="00990F9A" w:rsidRPr="0018703F">
        <w:rPr>
          <w:rFonts w:ascii="Arial" w:hAnsi="Arial" w:cs="Arial"/>
        </w:rPr>
        <w:t xml:space="preserve"> </w:t>
      </w:r>
      <w:r w:rsidR="00B0776C">
        <w:rPr>
          <w:rFonts w:ascii="Arial" w:hAnsi="Arial" w:cs="Arial"/>
        </w:rPr>
        <w:t xml:space="preserve">corporate </w:t>
      </w:r>
      <w:r w:rsidR="008B7DDF" w:rsidRPr="0018703F">
        <w:rPr>
          <w:rFonts w:ascii="Arial" w:hAnsi="Arial" w:cs="Arial"/>
        </w:rPr>
        <w:t xml:space="preserve">tax surcharge in France, which is not expected to recur, </w:t>
      </w:r>
      <w:r w:rsidR="00E4534B">
        <w:rPr>
          <w:rFonts w:ascii="Arial" w:hAnsi="Arial" w:cs="Arial"/>
        </w:rPr>
        <w:t xml:space="preserve">full year </w:t>
      </w:r>
      <w:r w:rsidR="008B7DDF" w:rsidRPr="0018703F">
        <w:rPr>
          <w:rFonts w:ascii="Arial" w:hAnsi="Arial" w:cs="Arial"/>
        </w:rPr>
        <w:t xml:space="preserve">dividend cover </w:t>
      </w:r>
      <w:r w:rsidR="00E4534B">
        <w:rPr>
          <w:rFonts w:ascii="Arial" w:hAnsi="Arial" w:cs="Arial"/>
        </w:rPr>
        <w:t>i</w:t>
      </w:r>
      <w:r w:rsidR="008B7DDF" w:rsidRPr="0018703F">
        <w:rPr>
          <w:rFonts w:ascii="Arial" w:hAnsi="Arial" w:cs="Arial"/>
        </w:rPr>
        <w:t xml:space="preserve">s </w:t>
      </w:r>
      <w:r w:rsidR="00990F9A">
        <w:rPr>
          <w:rFonts w:ascii="Arial" w:hAnsi="Arial" w:cs="Arial"/>
        </w:rPr>
        <w:t>2.1 times</w:t>
      </w:r>
      <w:r w:rsidR="008B7DDF" w:rsidRPr="0018703F">
        <w:rPr>
          <w:rFonts w:ascii="Arial" w:hAnsi="Arial" w:cs="Arial"/>
        </w:rPr>
        <w:t xml:space="preserve">. </w:t>
      </w:r>
      <w:r w:rsidRPr="00E4534B">
        <w:rPr>
          <w:rFonts w:ascii="Arial" w:hAnsi="Arial" w:cs="Arial"/>
        </w:rPr>
        <w:t>We continue to be comfortable with medium term dividend cover in the range of 2.0 to 2.5 times based on adjusted basic earnings per share, a level the Board believes is consistent with the capital needs of the business.</w:t>
      </w:r>
    </w:p>
    <w:p w14:paraId="171F1505" w14:textId="77777777" w:rsidR="00832149" w:rsidRDefault="00832149" w:rsidP="00997637">
      <w:pPr>
        <w:jc w:val="left"/>
        <w:rPr>
          <w:rFonts w:ascii="Arial" w:hAnsi="Arial" w:cs="Arial"/>
        </w:rPr>
      </w:pPr>
    </w:p>
    <w:p w14:paraId="0A1FE876" w14:textId="4C4F3E8A" w:rsidR="00997637" w:rsidRDefault="00B06AE5" w:rsidP="00997637">
      <w:pPr>
        <w:jc w:val="left"/>
        <w:rPr>
          <w:rFonts w:ascii="Arial" w:hAnsi="Arial" w:cs="Arial"/>
          <w:highlight w:val="yellow"/>
        </w:rPr>
      </w:pPr>
      <w:r w:rsidRPr="00B06AE5">
        <w:rPr>
          <w:rFonts w:ascii="Arial" w:hAnsi="Arial" w:cs="Arial"/>
        </w:rPr>
        <w:t xml:space="preserve">The final dividend will be paid on 18 June 2018 to shareholders on the register at close of business on 4 May 2018. A dividend reinvestment plan (DRIP) is available to shareholders who would prefer to invest their dividends in the shares of the Company. The shares will go ex-dividend on 3 May 2018. For those shareholders electing to receive the DRIP the last date for receipt of election is 25 May 2018. </w:t>
      </w:r>
    </w:p>
    <w:p w14:paraId="1D657EAB" w14:textId="77777777" w:rsidR="0038098D" w:rsidRPr="00686C6E" w:rsidRDefault="0038098D" w:rsidP="00997637">
      <w:pPr>
        <w:jc w:val="left"/>
        <w:rPr>
          <w:rFonts w:ascii="Arial" w:hAnsi="Arial" w:cs="Arial"/>
          <w:highlight w:val="yellow"/>
        </w:rPr>
      </w:pPr>
    </w:p>
    <w:p w14:paraId="05259E22" w14:textId="6D2669B2" w:rsidR="00997637" w:rsidRPr="00A845B7" w:rsidRDefault="00BA082A" w:rsidP="00997637">
      <w:pPr>
        <w:jc w:val="left"/>
        <w:rPr>
          <w:rFonts w:ascii="Arial" w:hAnsi="Arial" w:cs="Arial"/>
        </w:rPr>
      </w:pPr>
      <w:r>
        <w:rPr>
          <w:rFonts w:ascii="Arial" w:hAnsi="Arial" w:cs="Arial"/>
        </w:rPr>
        <w:t>In</w:t>
      </w:r>
      <w:r w:rsidR="00997637" w:rsidRPr="00686C6E">
        <w:rPr>
          <w:rFonts w:ascii="Arial" w:hAnsi="Arial" w:cs="Arial"/>
        </w:rPr>
        <w:t xml:space="preserve"> January 2016 Kingfisher announced its intention to return around a further £600 million of surplus capital to shareholders during 2016/17 and the following two years. During 2017</w:t>
      </w:r>
      <w:r w:rsidR="006F175C">
        <w:rPr>
          <w:rFonts w:ascii="Arial" w:hAnsi="Arial" w:cs="Arial"/>
        </w:rPr>
        <w:t>/18</w:t>
      </w:r>
      <w:r w:rsidR="00997637" w:rsidRPr="00686C6E">
        <w:rPr>
          <w:rFonts w:ascii="Arial" w:hAnsi="Arial" w:cs="Arial"/>
        </w:rPr>
        <w:t xml:space="preserve"> £</w:t>
      </w:r>
      <w:r w:rsidR="006F175C" w:rsidRPr="00686C6E">
        <w:rPr>
          <w:rFonts w:ascii="Arial" w:hAnsi="Arial" w:cs="Arial"/>
        </w:rPr>
        <w:t>2</w:t>
      </w:r>
      <w:r w:rsidR="006F175C">
        <w:rPr>
          <w:rFonts w:ascii="Arial" w:hAnsi="Arial" w:cs="Arial"/>
        </w:rPr>
        <w:t>60</w:t>
      </w:r>
      <w:r w:rsidR="006F175C" w:rsidRPr="00686C6E">
        <w:rPr>
          <w:rFonts w:ascii="Arial" w:hAnsi="Arial" w:cs="Arial"/>
        </w:rPr>
        <w:t xml:space="preserve"> </w:t>
      </w:r>
      <w:r w:rsidR="00997637" w:rsidRPr="00686C6E">
        <w:rPr>
          <w:rFonts w:ascii="Arial" w:hAnsi="Arial" w:cs="Arial"/>
        </w:rPr>
        <w:t>million (</w:t>
      </w:r>
      <w:r w:rsidR="000552CC">
        <w:rPr>
          <w:rFonts w:ascii="Arial" w:hAnsi="Arial" w:cs="Arial"/>
        </w:rPr>
        <w:t>82</w:t>
      </w:r>
      <w:r w:rsidR="000552CC" w:rsidRPr="00686C6E">
        <w:rPr>
          <w:rFonts w:ascii="Arial" w:hAnsi="Arial" w:cs="Arial"/>
        </w:rPr>
        <w:t xml:space="preserve"> </w:t>
      </w:r>
      <w:r w:rsidR="00997637" w:rsidRPr="00686C6E">
        <w:rPr>
          <w:rFonts w:ascii="Arial" w:hAnsi="Arial" w:cs="Arial"/>
        </w:rPr>
        <w:t xml:space="preserve">million shares) was returned to shareholders </w:t>
      </w:r>
      <w:r w:rsidR="00997637" w:rsidRPr="00A845B7">
        <w:rPr>
          <w:rFonts w:ascii="Arial" w:hAnsi="Arial" w:cs="Arial"/>
        </w:rPr>
        <w:t>via share buyback</w:t>
      </w:r>
      <w:r w:rsidR="006F175C">
        <w:rPr>
          <w:rFonts w:ascii="Arial" w:hAnsi="Arial" w:cs="Arial"/>
        </w:rPr>
        <w:t xml:space="preserve"> in addition to the £200</w:t>
      </w:r>
      <w:r w:rsidR="00AD4DA7">
        <w:rPr>
          <w:rFonts w:ascii="Arial" w:hAnsi="Arial" w:cs="Arial"/>
        </w:rPr>
        <w:t xml:space="preserve"> million</w:t>
      </w:r>
      <w:r w:rsidR="006F175C">
        <w:rPr>
          <w:rFonts w:ascii="Arial" w:hAnsi="Arial" w:cs="Arial"/>
        </w:rPr>
        <w:t xml:space="preserve"> share buyback in 2016/17</w:t>
      </w:r>
      <w:r w:rsidR="00AD4DA7">
        <w:rPr>
          <w:rFonts w:ascii="Arial" w:hAnsi="Arial" w:cs="Arial"/>
        </w:rPr>
        <w:t xml:space="preserve"> (cumulatively £460 million)</w:t>
      </w:r>
      <w:r w:rsidR="00997637" w:rsidRPr="00A845B7">
        <w:rPr>
          <w:rFonts w:ascii="Arial" w:hAnsi="Arial" w:cs="Arial"/>
        </w:rPr>
        <w:t>.</w:t>
      </w:r>
      <w:r w:rsidR="00AD4DA7">
        <w:rPr>
          <w:rFonts w:ascii="Arial" w:hAnsi="Arial" w:cs="Arial"/>
        </w:rPr>
        <w:t xml:space="preserve"> </w:t>
      </w:r>
    </w:p>
    <w:p w14:paraId="0F3038B9" w14:textId="77777777" w:rsidR="00997637" w:rsidRPr="00D7124C" w:rsidRDefault="00997637" w:rsidP="00997637">
      <w:pPr>
        <w:ind w:right="-368"/>
        <w:jc w:val="left"/>
        <w:rPr>
          <w:rFonts w:ascii="Arial" w:hAnsi="Arial" w:cs="Arial"/>
          <w:b/>
        </w:rPr>
      </w:pPr>
    </w:p>
    <w:p w14:paraId="75B54E65" w14:textId="75B1B7CA" w:rsidR="00997637" w:rsidRPr="00A845B7" w:rsidRDefault="00997637" w:rsidP="00997637">
      <w:pPr>
        <w:tabs>
          <w:tab w:val="right" w:pos="9356"/>
        </w:tabs>
        <w:jc w:val="left"/>
        <w:rPr>
          <w:rFonts w:ascii="Arial" w:hAnsi="Arial" w:cs="Arial"/>
          <w:b/>
        </w:rPr>
      </w:pPr>
      <w:bookmarkStart w:id="37" w:name="_Hlk508959406"/>
      <w:r w:rsidRPr="00A845B7">
        <w:rPr>
          <w:rFonts w:ascii="Arial" w:hAnsi="Arial" w:cs="Arial"/>
          <w:b/>
        </w:rPr>
        <w:t>Lease adjusted return on capital employed (ROCE)</w:t>
      </w:r>
      <w:r w:rsidRPr="00A845B7">
        <w:rPr>
          <w:rFonts w:ascii="Arial" w:hAnsi="Arial" w:cs="Arial"/>
          <w:b/>
        </w:rPr>
        <w:tab/>
      </w:r>
    </w:p>
    <w:p w14:paraId="478D81BC" w14:textId="77777777" w:rsidR="00997637" w:rsidRDefault="00997637" w:rsidP="00997637">
      <w:pPr>
        <w:tabs>
          <w:tab w:val="left" w:pos="3823"/>
        </w:tabs>
        <w:jc w:val="left"/>
        <w:rPr>
          <w:rFonts w:ascii="Arial" w:hAnsi="Arial" w:cs="Arial"/>
          <w:b/>
          <w:sz w:val="24"/>
          <w:szCs w:val="24"/>
          <w:highlight w:val="yellow"/>
        </w:rPr>
      </w:pPr>
    </w:p>
    <w:p w14:paraId="1AB6EBAE" w14:textId="3DE4B067" w:rsidR="00997637" w:rsidRPr="00A90810" w:rsidRDefault="0071504B" w:rsidP="00997637">
      <w:pPr>
        <w:jc w:val="left"/>
        <w:rPr>
          <w:rFonts w:ascii="Arial" w:hAnsi="Arial" w:cs="Arial"/>
        </w:rPr>
      </w:pPr>
      <w:r w:rsidRPr="00F74486">
        <w:rPr>
          <w:rFonts w:ascii="Arial" w:hAnsi="Arial" w:cs="Arial"/>
        </w:rPr>
        <w:t xml:space="preserve">Our key returns metric, leased adjusted ROCE </w:t>
      </w:r>
      <w:r w:rsidR="00E4534B" w:rsidRPr="00F74486">
        <w:rPr>
          <w:rFonts w:ascii="Arial" w:hAnsi="Arial" w:cs="Arial"/>
        </w:rPr>
        <w:t xml:space="preserve">declined </w:t>
      </w:r>
      <w:r w:rsidRPr="00F74486">
        <w:rPr>
          <w:rFonts w:ascii="Arial" w:hAnsi="Arial" w:cs="Arial"/>
        </w:rPr>
        <w:t xml:space="preserve">by </w:t>
      </w:r>
      <w:r w:rsidR="00C12996" w:rsidRPr="00E46E76">
        <w:rPr>
          <w:rFonts w:ascii="Arial" w:hAnsi="Arial" w:cs="Arial"/>
        </w:rPr>
        <w:t>210</w:t>
      </w:r>
      <w:r w:rsidR="00E4534B" w:rsidRPr="00F74486">
        <w:rPr>
          <w:rFonts w:ascii="Arial" w:hAnsi="Arial" w:cs="Arial"/>
        </w:rPr>
        <w:t xml:space="preserve"> </w:t>
      </w:r>
      <w:r w:rsidRPr="00F74486">
        <w:rPr>
          <w:rFonts w:ascii="Arial" w:hAnsi="Arial" w:cs="Arial"/>
        </w:rPr>
        <w:t xml:space="preserve">basis points from </w:t>
      </w:r>
      <w:r w:rsidR="00E4534B" w:rsidRPr="00F74486">
        <w:rPr>
          <w:rFonts w:ascii="Arial" w:hAnsi="Arial" w:cs="Arial"/>
        </w:rPr>
        <w:t>12.5</w:t>
      </w:r>
      <w:r w:rsidRPr="00F74486">
        <w:rPr>
          <w:rFonts w:ascii="Arial" w:hAnsi="Arial" w:cs="Arial"/>
        </w:rPr>
        <w:t xml:space="preserve">% to </w:t>
      </w:r>
      <w:r w:rsidR="00C12996" w:rsidRPr="00E46E76">
        <w:rPr>
          <w:rFonts w:ascii="Arial" w:hAnsi="Arial" w:cs="Arial"/>
        </w:rPr>
        <w:t>10</w:t>
      </w:r>
      <w:r w:rsidRPr="00E46E76">
        <w:rPr>
          <w:rFonts w:ascii="Arial" w:hAnsi="Arial" w:cs="Arial"/>
        </w:rPr>
        <w:t>.</w:t>
      </w:r>
      <w:r w:rsidR="00C12996" w:rsidRPr="00E46E76">
        <w:rPr>
          <w:rFonts w:ascii="Arial" w:hAnsi="Arial" w:cs="Arial"/>
        </w:rPr>
        <w:t>4</w:t>
      </w:r>
      <w:r w:rsidRPr="00E46E76">
        <w:rPr>
          <w:rFonts w:ascii="Arial" w:hAnsi="Arial" w:cs="Arial"/>
        </w:rPr>
        <w:t>%</w:t>
      </w:r>
      <w:r w:rsidRPr="00F74486">
        <w:rPr>
          <w:rFonts w:ascii="Arial" w:hAnsi="Arial" w:cs="Arial"/>
        </w:rPr>
        <w:t xml:space="preserve"> this year, reflecting our profit performance</w:t>
      </w:r>
      <w:r w:rsidR="00026E0C">
        <w:rPr>
          <w:rFonts w:ascii="Arial" w:hAnsi="Arial" w:cs="Arial"/>
        </w:rPr>
        <w:t xml:space="preserve"> including</w:t>
      </w:r>
      <w:r w:rsidR="00A90810">
        <w:rPr>
          <w:rFonts w:ascii="Arial" w:hAnsi="Arial" w:cs="Arial"/>
        </w:rPr>
        <w:t xml:space="preserve"> the </w:t>
      </w:r>
      <w:r w:rsidR="00E4534B" w:rsidRPr="00F74486">
        <w:rPr>
          <w:rFonts w:ascii="Arial" w:hAnsi="Arial" w:cs="Arial"/>
        </w:rPr>
        <w:t>significant increase in</w:t>
      </w:r>
      <w:r w:rsidRPr="00F74486">
        <w:rPr>
          <w:rFonts w:ascii="Arial" w:hAnsi="Arial" w:cs="Arial"/>
        </w:rPr>
        <w:t xml:space="preserve"> transformation costs</w:t>
      </w:r>
      <w:r w:rsidR="00026E0C">
        <w:rPr>
          <w:rFonts w:ascii="Arial" w:hAnsi="Arial" w:cs="Arial"/>
        </w:rPr>
        <w:t>, the increase in the tax rate driven by a one-off tax surcharge in France and higher working capital.</w:t>
      </w:r>
      <w:r w:rsidR="00026E0C" w:rsidRPr="00F74486">
        <w:rPr>
          <w:rFonts w:ascii="Arial" w:hAnsi="Arial" w:cs="Arial"/>
        </w:rPr>
        <w:t xml:space="preserve"> </w:t>
      </w:r>
      <w:r w:rsidR="00997637" w:rsidRPr="00F74486">
        <w:rPr>
          <w:rFonts w:ascii="Arial" w:hAnsi="Arial" w:cs="Arial"/>
        </w:rPr>
        <w:t>ROCE by geographic division is analysed below:</w:t>
      </w:r>
      <w:r w:rsidR="00997637" w:rsidRPr="00A90810">
        <w:rPr>
          <w:rFonts w:ascii="Arial" w:hAnsi="Arial" w:cs="Arial"/>
        </w:rPr>
        <w:t xml:space="preserve"> </w:t>
      </w:r>
    </w:p>
    <w:p w14:paraId="767C38A4" w14:textId="77777777" w:rsidR="00997637" w:rsidRPr="00F74486" w:rsidRDefault="00997637" w:rsidP="00997637">
      <w:pPr>
        <w:jc w:val="left"/>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29"/>
        <w:gridCol w:w="891"/>
        <w:gridCol w:w="1330"/>
        <w:gridCol w:w="1489"/>
        <w:gridCol w:w="1334"/>
        <w:gridCol w:w="1184"/>
        <w:gridCol w:w="1184"/>
      </w:tblGrid>
      <w:tr w:rsidR="00C8535E" w:rsidRPr="00F07AFB" w14:paraId="4CCA51A0" w14:textId="77777777" w:rsidTr="006F78D1">
        <w:trPr>
          <w:trHeight w:val="555"/>
        </w:trPr>
        <w:tc>
          <w:tcPr>
            <w:tcW w:w="1156" w:type="pct"/>
            <w:tcBorders>
              <w:bottom w:val="single" w:sz="4" w:space="0" w:color="auto"/>
            </w:tcBorders>
            <w:vAlign w:val="bottom"/>
          </w:tcPr>
          <w:p w14:paraId="1695E1E5" w14:textId="77777777" w:rsidR="00997637" w:rsidRPr="00F07AFB" w:rsidRDefault="00997637" w:rsidP="00F24C8A">
            <w:pPr>
              <w:jc w:val="left"/>
              <w:rPr>
                <w:rFonts w:ascii="Arial" w:hAnsi="Arial" w:cs="Arial"/>
                <w:sz w:val="22"/>
                <w:szCs w:val="22"/>
              </w:rPr>
            </w:pPr>
          </w:p>
          <w:p w14:paraId="0F07BA7A" w14:textId="77777777" w:rsidR="00997637" w:rsidRPr="00F07AFB" w:rsidRDefault="00997637" w:rsidP="00F24C8A">
            <w:pPr>
              <w:jc w:val="left"/>
              <w:rPr>
                <w:rFonts w:ascii="Arial" w:hAnsi="Arial" w:cs="Arial"/>
                <w:sz w:val="22"/>
                <w:szCs w:val="22"/>
              </w:rPr>
            </w:pPr>
          </w:p>
        </w:tc>
        <w:tc>
          <w:tcPr>
            <w:tcW w:w="462" w:type="pct"/>
            <w:tcBorders>
              <w:bottom w:val="single" w:sz="4" w:space="0" w:color="auto"/>
            </w:tcBorders>
            <w:vAlign w:val="bottom"/>
          </w:tcPr>
          <w:p w14:paraId="36899B36" w14:textId="77777777" w:rsidR="00997637" w:rsidRPr="00F07AFB" w:rsidRDefault="00997637" w:rsidP="00F24C8A">
            <w:pPr>
              <w:jc w:val="right"/>
              <w:rPr>
                <w:rFonts w:ascii="Arial" w:hAnsi="Arial" w:cs="Arial"/>
                <w:sz w:val="22"/>
                <w:szCs w:val="22"/>
              </w:rPr>
            </w:pPr>
          </w:p>
          <w:p w14:paraId="581425A1" w14:textId="77777777" w:rsidR="00997637" w:rsidRPr="00F07AFB" w:rsidRDefault="00997637" w:rsidP="00F24C8A">
            <w:pPr>
              <w:jc w:val="right"/>
              <w:rPr>
                <w:rFonts w:ascii="Arial" w:hAnsi="Arial" w:cs="Arial"/>
                <w:sz w:val="22"/>
                <w:szCs w:val="22"/>
              </w:rPr>
            </w:pPr>
            <w:r w:rsidRPr="00F07AFB">
              <w:rPr>
                <w:rFonts w:ascii="Arial" w:hAnsi="Arial" w:cs="Arial"/>
              </w:rPr>
              <w:t>Sales £</w:t>
            </w:r>
            <w:proofErr w:type="spellStart"/>
            <w:r w:rsidRPr="00F07AFB">
              <w:rPr>
                <w:rFonts w:ascii="Arial" w:hAnsi="Arial" w:cs="Arial"/>
              </w:rPr>
              <w:t>bn</w:t>
            </w:r>
            <w:proofErr w:type="spellEnd"/>
          </w:p>
        </w:tc>
        <w:tc>
          <w:tcPr>
            <w:tcW w:w="690" w:type="pct"/>
            <w:tcBorders>
              <w:bottom w:val="single" w:sz="4" w:space="0" w:color="auto"/>
            </w:tcBorders>
            <w:vAlign w:val="bottom"/>
          </w:tcPr>
          <w:p w14:paraId="17F4887A" w14:textId="77777777" w:rsidR="00997637" w:rsidRPr="00F07AFB" w:rsidRDefault="00997637" w:rsidP="00F24C8A">
            <w:pPr>
              <w:jc w:val="right"/>
              <w:rPr>
                <w:rFonts w:ascii="Arial" w:hAnsi="Arial" w:cs="Arial"/>
                <w:sz w:val="22"/>
                <w:szCs w:val="22"/>
              </w:rPr>
            </w:pPr>
            <w:r w:rsidRPr="00F07AFB">
              <w:rPr>
                <w:rFonts w:ascii="Arial" w:hAnsi="Arial" w:cs="Arial"/>
              </w:rPr>
              <w:t xml:space="preserve">Proportion of Group sales </w:t>
            </w:r>
          </w:p>
        </w:tc>
        <w:tc>
          <w:tcPr>
            <w:tcW w:w="772" w:type="pct"/>
            <w:tcBorders>
              <w:bottom w:val="single" w:sz="4" w:space="0" w:color="auto"/>
            </w:tcBorders>
            <w:vAlign w:val="bottom"/>
          </w:tcPr>
          <w:p w14:paraId="1B2474E2" w14:textId="77777777" w:rsidR="00997637" w:rsidRPr="00F07AFB" w:rsidRDefault="00997637" w:rsidP="00F24C8A">
            <w:pPr>
              <w:ind w:left="-12"/>
              <w:jc w:val="right"/>
              <w:rPr>
                <w:rFonts w:ascii="Arial" w:hAnsi="Arial" w:cs="Arial"/>
                <w:sz w:val="22"/>
                <w:szCs w:val="22"/>
              </w:rPr>
            </w:pPr>
            <w:r w:rsidRPr="00F07AFB">
              <w:rPr>
                <w:rFonts w:ascii="Arial" w:hAnsi="Arial" w:cs="Arial"/>
              </w:rPr>
              <w:t>Capital Employed (CE) £</w:t>
            </w:r>
            <w:proofErr w:type="spellStart"/>
            <w:r w:rsidRPr="00F07AFB">
              <w:rPr>
                <w:rFonts w:ascii="Arial" w:hAnsi="Arial" w:cs="Arial"/>
              </w:rPr>
              <w:t>bn</w:t>
            </w:r>
            <w:proofErr w:type="spellEnd"/>
          </w:p>
        </w:tc>
        <w:tc>
          <w:tcPr>
            <w:tcW w:w="692" w:type="pct"/>
            <w:tcBorders>
              <w:bottom w:val="single" w:sz="4" w:space="0" w:color="auto"/>
            </w:tcBorders>
            <w:vAlign w:val="bottom"/>
          </w:tcPr>
          <w:p w14:paraId="60A4BD4B" w14:textId="77777777" w:rsidR="00997637" w:rsidRPr="00F07AFB" w:rsidRDefault="00997637" w:rsidP="00F24C8A">
            <w:pPr>
              <w:jc w:val="right"/>
              <w:rPr>
                <w:rFonts w:ascii="Arial" w:hAnsi="Arial" w:cs="Arial"/>
                <w:sz w:val="22"/>
                <w:szCs w:val="22"/>
              </w:rPr>
            </w:pPr>
            <w:r w:rsidRPr="00F07AFB">
              <w:rPr>
                <w:rFonts w:ascii="Arial" w:hAnsi="Arial" w:cs="Arial"/>
              </w:rPr>
              <w:t>Proportion of Group CE %</w:t>
            </w:r>
          </w:p>
        </w:tc>
        <w:tc>
          <w:tcPr>
            <w:tcW w:w="614" w:type="pct"/>
            <w:tcBorders>
              <w:bottom w:val="single" w:sz="4" w:space="0" w:color="auto"/>
            </w:tcBorders>
            <w:vAlign w:val="bottom"/>
          </w:tcPr>
          <w:p w14:paraId="2AFED31E" w14:textId="77777777" w:rsidR="00997637" w:rsidRPr="00F07AFB" w:rsidRDefault="00997637" w:rsidP="00F24C8A">
            <w:pPr>
              <w:jc w:val="right"/>
              <w:rPr>
                <w:rFonts w:ascii="Arial" w:hAnsi="Arial" w:cs="Arial"/>
                <w:b/>
                <w:sz w:val="22"/>
                <w:szCs w:val="22"/>
              </w:rPr>
            </w:pPr>
          </w:p>
          <w:p w14:paraId="0CF5FCD2" w14:textId="77777777" w:rsidR="00997637" w:rsidRPr="00F07AFB" w:rsidRDefault="00997637" w:rsidP="00F24C8A">
            <w:pPr>
              <w:jc w:val="right"/>
              <w:rPr>
                <w:rFonts w:ascii="Arial" w:hAnsi="Arial" w:cs="Arial"/>
                <w:b/>
                <w:sz w:val="22"/>
                <w:szCs w:val="22"/>
              </w:rPr>
            </w:pPr>
            <w:r w:rsidRPr="00F07AFB">
              <w:rPr>
                <w:rFonts w:ascii="Arial" w:hAnsi="Arial" w:cs="Arial"/>
                <w:b/>
              </w:rPr>
              <w:t>ROCE</w:t>
            </w:r>
          </w:p>
          <w:p w14:paraId="53F0AC60" w14:textId="24F4D67F" w:rsidR="00997637" w:rsidRPr="00F07AFB" w:rsidRDefault="00997637" w:rsidP="00F24C8A">
            <w:pPr>
              <w:jc w:val="right"/>
              <w:rPr>
                <w:rFonts w:ascii="Arial" w:hAnsi="Arial" w:cs="Arial"/>
                <w:b/>
                <w:sz w:val="22"/>
                <w:szCs w:val="22"/>
              </w:rPr>
            </w:pPr>
            <w:r w:rsidRPr="00F07AFB">
              <w:rPr>
                <w:rFonts w:ascii="Arial" w:hAnsi="Arial" w:cs="Arial"/>
                <w:b/>
              </w:rPr>
              <w:t>201</w:t>
            </w:r>
            <w:r w:rsidR="00E40B17" w:rsidRPr="00F07AFB">
              <w:rPr>
                <w:rFonts w:ascii="Arial" w:hAnsi="Arial" w:cs="Arial"/>
                <w:b/>
              </w:rPr>
              <w:t>7</w:t>
            </w:r>
            <w:r w:rsidRPr="00F07AFB">
              <w:rPr>
                <w:rFonts w:ascii="Arial" w:hAnsi="Arial" w:cs="Arial"/>
                <w:b/>
              </w:rPr>
              <w:t>/1</w:t>
            </w:r>
            <w:r w:rsidR="00E40B17" w:rsidRPr="00F07AFB">
              <w:rPr>
                <w:rFonts w:ascii="Arial" w:hAnsi="Arial" w:cs="Arial"/>
                <w:b/>
              </w:rPr>
              <w:t>8</w:t>
            </w:r>
          </w:p>
        </w:tc>
        <w:tc>
          <w:tcPr>
            <w:tcW w:w="614" w:type="pct"/>
            <w:tcBorders>
              <w:bottom w:val="single" w:sz="4" w:space="0" w:color="auto"/>
            </w:tcBorders>
            <w:vAlign w:val="bottom"/>
          </w:tcPr>
          <w:p w14:paraId="5311BF88" w14:textId="77777777" w:rsidR="00997637" w:rsidRPr="00F07AFB" w:rsidRDefault="00997637" w:rsidP="00F24C8A">
            <w:pPr>
              <w:jc w:val="right"/>
              <w:rPr>
                <w:rFonts w:ascii="Arial" w:hAnsi="Arial" w:cs="Arial"/>
                <w:sz w:val="22"/>
                <w:szCs w:val="22"/>
              </w:rPr>
            </w:pPr>
          </w:p>
          <w:p w14:paraId="6AEDAA62" w14:textId="77777777" w:rsidR="00997637" w:rsidRPr="00F07AFB" w:rsidRDefault="00997637" w:rsidP="00F24C8A">
            <w:pPr>
              <w:jc w:val="right"/>
              <w:rPr>
                <w:rFonts w:ascii="Arial" w:hAnsi="Arial" w:cs="Arial"/>
                <w:sz w:val="22"/>
                <w:szCs w:val="22"/>
              </w:rPr>
            </w:pPr>
            <w:r w:rsidRPr="00F07AFB">
              <w:rPr>
                <w:rFonts w:ascii="Arial" w:hAnsi="Arial" w:cs="Arial"/>
              </w:rPr>
              <w:t>ROCE</w:t>
            </w:r>
          </w:p>
          <w:p w14:paraId="3AAE539C" w14:textId="1FC35E60" w:rsidR="00997637" w:rsidRPr="00F07AFB" w:rsidRDefault="00997637" w:rsidP="00F24C8A">
            <w:pPr>
              <w:jc w:val="right"/>
              <w:rPr>
                <w:rFonts w:ascii="Arial" w:hAnsi="Arial" w:cs="Arial"/>
                <w:sz w:val="22"/>
                <w:szCs w:val="22"/>
              </w:rPr>
            </w:pPr>
            <w:r w:rsidRPr="00F07AFB">
              <w:rPr>
                <w:rFonts w:ascii="Arial" w:hAnsi="Arial" w:cs="Arial"/>
              </w:rPr>
              <w:t>201</w:t>
            </w:r>
            <w:r w:rsidR="00E40B17" w:rsidRPr="00F07AFB">
              <w:rPr>
                <w:rFonts w:ascii="Arial" w:hAnsi="Arial" w:cs="Arial"/>
              </w:rPr>
              <w:t>6</w:t>
            </w:r>
            <w:r w:rsidRPr="00F07AFB">
              <w:rPr>
                <w:rFonts w:ascii="Arial" w:hAnsi="Arial" w:cs="Arial"/>
              </w:rPr>
              <w:t>/1</w:t>
            </w:r>
            <w:r w:rsidR="00E40B17" w:rsidRPr="00F07AFB">
              <w:rPr>
                <w:rFonts w:ascii="Arial" w:hAnsi="Arial" w:cs="Arial"/>
              </w:rPr>
              <w:t>7</w:t>
            </w:r>
          </w:p>
        </w:tc>
      </w:tr>
      <w:tr w:rsidR="00E40B17" w:rsidRPr="00F07AFB" w14:paraId="6EC22673" w14:textId="77777777" w:rsidTr="006F78D1">
        <w:tc>
          <w:tcPr>
            <w:tcW w:w="1156" w:type="pct"/>
          </w:tcPr>
          <w:p w14:paraId="08AA4BAF" w14:textId="77777777" w:rsidR="00E40B17" w:rsidRPr="00F07AFB" w:rsidRDefault="00E40B17" w:rsidP="00E40B17">
            <w:pPr>
              <w:jc w:val="left"/>
              <w:rPr>
                <w:rFonts w:ascii="Arial" w:hAnsi="Arial" w:cs="Arial"/>
                <w:sz w:val="22"/>
                <w:szCs w:val="22"/>
              </w:rPr>
            </w:pPr>
            <w:r w:rsidRPr="00F07AFB">
              <w:rPr>
                <w:rFonts w:ascii="Arial" w:hAnsi="Arial" w:cs="Arial"/>
              </w:rPr>
              <w:t>UK &amp; Ireland</w:t>
            </w:r>
          </w:p>
        </w:tc>
        <w:tc>
          <w:tcPr>
            <w:tcW w:w="462" w:type="pct"/>
            <w:shd w:val="clear" w:color="auto" w:fill="auto"/>
          </w:tcPr>
          <w:p w14:paraId="082622EA" w14:textId="77777777" w:rsidR="00E40B17" w:rsidRPr="00F07AFB" w:rsidRDefault="00E40B17" w:rsidP="00E40B17">
            <w:pPr>
              <w:jc w:val="right"/>
              <w:rPr>
                <w:rFonts w:ascii="Arial" w:hAnsi="Arial" w:cs="Arial"/>
                <w:sz w:val="22"/>
                <w:szCs w:val="22"/>
              </w:rPr>
            </w:pPr>
            <w:r w:rsidRPr="00F07AFB">
              <w:rPr>
                <w:rFonts w:ascii="Arial" w:hAnsi="Arial" w:cs="Arial"/>
              </w:rPr>
              <w:t>5.0</w:t>
            </w:r>
          </w:p>
        </w:tc>
        <w:tc>
          <w:tcPr>
            <w:tcW w:w="690" w:type="pct"/>
            <w:shd w:val="clear" w:color="auto" w:fill="auto"/>
          </w:tcPr>
          <w:p w14:paraId="3A16102C" w14:textId="7E349923" w:rsidR="00E40B17" w:rsidRPr="00F07AFB" w:rsidRDefault="00E40B17" w:rsidP="00E40B17">
            <w:pPr>
              <w:jc w:val="right"/>
              <w:rPr>
                <w:rFonts w:ascii="Arial" w:hAnsi="Arial" w:cs="Arial"/>
                <w:sz w:val="22"/>
                <w:szCs w:val="22"/>
              </w:rPr>
            </w:pPr>
            <w:r w:rsidRPr="00F07AFB">
              <w:rPr>
                <w:rFonts w:ascii="Arial" w:hAnsi="Arial" w:cs="Arial"/>
              </w:rPr>
              <w:t>4</w:t>
            </w:r>
            <w:r w:rsidR="00D86819" w:rsidRPr="00F07AFB">
              <w:rPr>
                <w:rFonts w:ascii="Arial" w:hAnsi="Arial" w:cs="Arial"/>
              </w:rPr>
              <w:t>3</w:t>
            </w:r>
            <w:r w:rsidRPr="00F07AFB">
              <w:rPr>
                <w:rFonts w:ascii="Arial" w:hAnsi="Arial" w:cs="Arial"/>
              </w:rPr>
              <w:t>%</w:t>
            </w:r>
          </w:p>
        </w:tc>
        <w:tc>
          <w:tcPr>
            <w:tcW w:w="772" w:type="pct"/>
            <w:shd w:val="clear" w:color="auto" w:fill="auto"/>
          </w:tcPr>
          <w:p w14:paraId="7B77456B" w14:textId="33738232" w:rsidR="00E40B17" w:rsidRPr="00F07AFB" w:rsidRDefault="00C12996" w:rsidP="00E40B17">
            <w:pPr>
              <w:jc w:val="right"/>
              <w:rPr>
                <w:rFonts w:ascii="Arial" w:hAnsi="Arial" w:cs="Arial"/>
                <w:sz w:val="22"/>
                <w:szCs w:val="22"/>
              </w:rPr>
            </w:pPr>
            <w:r w:rsidRPr="00F07AFB">
              <w:rPr>
                <w:rFonts w:ascii="Arial" w:hAnsi="Arial" w:cs="Arial"/>
              </w:rPr>
              <w:t>3.8</w:t>
            </w:r>
          </w:p>
        </w:tc>
        <w:tc>
          <w:tcPr>
            <w:tcW w:w="692" w:type="pct"/>
            <w:shd w:val="clear" w:color="auto" w:fill="auto"/>
          </w:tcPr>
          <w:p w14:paraId="29AF071E" w14:textId="715681F7" w:rsidR="00E40B17" w:rsidRPr="00F07AFB" w:rsidRDefault="00C12996" w:rsidP="00E40B17">
            <w:pPr>
              <w:jc w:val="right"/>
              <w:rPr>
                <w:rFonts w:ascii="Arial" w:hAnsi="Arial" w:cs="Arial"/>
                <w:sz w:val="22"/>
                <w:szCs w:val="22"/>
              </w:rPr>
            </w:pPr>
            <w:r w:rsidRPr="00F07AFB">
              <w:rPr>
                <w:rFonts w:ascii="Arial" w:hAnsi="Arial" w:cs="Arial"/>
              </w:rPr>
              <w:t>51</w:t>
            </w:r>
            <w:r w:rsidR="00E40B17" w:rsidRPr="00F07AFB">
              <w:rPr>
                <w:rFonts w:ascii="Arial" w:hAnsi="Arial" w:cs="Arial"/>
              </w:rPr>
              <w:t>%</w:t>
            </w:r>
          </w:p>
        </w:tc>
        <w:tc>
          <w:tcPr>
            <w:tcW w:w="614" w:type="pct"/>
            <w:shd w:val="clear" w:color="auto" w:fill="auto"/>
          </w:tcPr>
          <w:p w14:paraId="3AB0DD72" w14:textId="1EC4DDB7" w:rsidR="00E40B17" w:rsidRPr="00F07AFB" w:rsidRDefault="00C12996" w:rsidP="00E40B17">
            <w:pPr>
              <w:jc w:val="right"/>
              <w:rPr>
                <w:rFonts w:ascii="Arial" w:hAnsi="Arial" w:cs="Arial"/>
                <w:b/>
                <w:sz w:val="22"/>
                <w:szCs w:val="22"/>
              </w:rPr>
            </w:pPr>
            <w:r w:rsidRPr="00F07AFB">
              <w:rPr>
                <w:rFonts w:ascii="Arial" w:hAnsi="Arial" w:cs="Arial"/>
                <w:b/>
              </w:rPr>
              <w:t>13.5</w:t>
            </w:r>
            <w:r w:rsidR="00E40B17" w:rsidRPr="00F07AFB">
              <w:rPr>
                <w:rFonts w:ascii="Arial" w:hAnsi="Arial" w:cs="Arial"/>
                <w:b/>
              </w:rPr>
              <w:t>%</w:t>
            </w:r>
          </w:p>
        </w:tc>
        <w:tc>
          <w:tcPr>
            <w:tcW w:w="614" w:type="pct"/>
          </w:tcPr>
          <w:p w14:paraId="2E2C2632" w14:textId="25085621" w:rsidR="00E40B17" w:rsidRPr="00F07AFB" w:rsidRDefault="00E40B17" w:rsidP="00E40B17">
            <w:pPr>
              <w:jc w:val="right"/>
              <w:rPr>
                <w:rFonts w:ascii="Arial" w:hAnsi="Arial" w:cs="Arial"/>
                <w:sz w:val="22"/>
                <w:szCs w:val="22"/>
              </w:rPr>
            </w:pPr>
            <w:r w:rsidRPr="00F07AFB">
              <w:rPr>
                <w:rFonts w:ascii="Arial" w:hAnsi="Arial" w:cs="Arial"/>
              </w:rPr>
              <w:t>13.3%</w:t>
            </w:r>
          </w:p>
        </w:tc>
      </w:tr>
      <w:tr w:rsidR="00E40B17" w:rsidRPr="00F07AFB" w14:paraId="4DBBE5D7" w14:textId="77777777" w:rsidTr="006F78D1">
        <w:tc>
          <w:tcPr>
            <w:tcW w:w="1156" w:type="pct"/>
          </w:tcPr>
          <w:p w14:paraId="294A0543" w14:textId="77777777" w:rsidR="00E40B17" w:rsidRPr="00F07AFB" w:rsidRDefault="00E40B17" w:rsidP="00E40B17">
            <w:pPr>
              <w:jc w:val="left"/>
              <w:rPr>
                <w:rFonts w:ascii="Arial" w:hAnsi="Arial" w:cs="Arial"/>
                <w:sz w:val="22"/>
                <w:szCs w:val="22"/>
              </w:rPr>
            </w:pPr>
            <w:r w:rsidRPr="00F07AFB">
              <w:rPr>
                <w:rFonts w:ascii="Arial" w:hAnsi="Arial" w:cs="Arial"/>
              </w:rPr>
              <w:t xml:space="preserve">France </w:t>
            </w:r>
          </w:p>
        </w:tc>
        <w:tc>
          <w:tcPr>
            <w:tcW w:w="462" w:type="pct"/>
            <w:shd w:val="clear" w:color="auto" w:fill="auto"/>
          </w:tcPr>
          <w:p w14:paraId="17B89C01" w14:textId="42E3DE42" w:rsidR="00E40B17" w:rsidRPr="00F07AFB" w:rsidRDefault="00E40B17" w:rsidP="00E40B17">
            <w:pPr>
              <w:jc w:val="right"/>
              <w:rPr>
                <w:rFonts w:ascii="Arial" w:hAnsi="Arial" w:cs="Arial"/>
                <w:sz w:val="22"/>
                <w:szCs w:val="22"/>
              </w:rPr>
            </w:pPr>
            <w:r w:rsidRPr="00F07AFB">
              <w:rPr>
                <w:rFonts w:ascii="Arial" w:hAnsi="Arial" w:cs="Arial"/>
              </w:rPr>
              <w:t>4.</w:t>
            </w:r>
            <w:r w:rsidR="00D86819" w:rsidRPr="00F07AFB">
              <w:rPr>
                <w:rFonts w:ascii="Arial" w:hAnsi="Arial" w:cs="Arial"/>
              </w:rPr>
              <w:t>4</w:t>
            </w:r>
          </w:p>
        </w:tc>
        <w:tc>
          <w:tcPr>
            <w:tcW w:w="690" w:type="pct"/>
            <w:shd w:val="clear" w:color="auto" w:fill="auto"/>
          </w:tcPr>
          <w:p w14:paraId="2045A2D7" w14:textId="77777777" w:rsidR="00E40B17" w:rsidRPr="00F07AFB" w:rsidRDefault="00E40B17" w:rsidP="00E40B17">
            <w:pPr>
              <w:jc w:val="right"/>
              <w:rPr>
                <w:rFonts w:ascii="Arial" w:hAnsi="Arial" w:cs="Arial"/>
                <w:sz w:val="22"/>
                <w:szCs w:val="22"/>
              </w:rPr>
            </w:pPr>
            <w:r w:rsidRPr="00F07AFB">
              <w:rPr>
                <w:rFonts w:ascii="Arial" w:hAnsi="Arial" w:cs="Arial"/>
              </w:rPr>
              <w:t>38%</w:t>
            </w:r>
          </w:p>
        </w:tc>
        <w:tc>
          <w:tcPr>
            <w:tcW w:w="772" w:type="pct"/>
            <w:shd w:val="clear" w:color="auto" w:fill="auto"/>
          </w:tcPr>
          <w:p w14:paraId="2A84C8BB" w14:textId="017A6810" w:rsidR="00E40B17" w:rsidRPr="00F07AFB" w:rsidRDefault="00C12996" w:rsidP="00E40B17">
            <w:pPr>
              <w:jc w:val="right"/>
              <w:rPr>
                <w:rFonts w:ascii="Arial" w:hAnsi="Arial" w:cs="Arial"/>
                <w:sz w:val="22"/>
                <w:szCs w:val="22"/>
              </w:rPr>
            </w:pPr>
            <w:r w:rsidRPr="00F07AFB">
              <w:rPr>
                <w:rFonts w:ascii="Arial" w:hAnsi="Arial" w:cs="Arial"/>
              </w:rPr>
              <w:t>2.1</w:t>
            </w:r>
          </w:p>
        </w:tc>
        <w:tc>
          <w:tcPr>
            <w:tcW w:w="692" w:type="pct"/>
            <w:shd w:val="clear" w:color="auto" w:fill="auto"/>
          </w:tcPr>
          <w:p w14:paraId="4315715F" w14:textId="4FF6D23A" w:rsidR="00E40B17" w:rsidRPr="00F07AFB" w:rsidRDefault="00C12996" w:rsidP="00E40B17">
            <w:pPr>
              <w:jc w:val="right"/>
              <w:rPr>
                <w:rFonts w:ascii="Arial" w:hAnsi="Arial" w:cs="Arial"/>
                <w:sz w:val="22"/>
                <w:szCs w:val="22"/>
              </w:rPr>
            </w:pPr>
            <w:r w:rsidRPr="00F07AFB">
              <w:rPr>
                <w:rFonts w:ascii="Arial" w:hAnsi="Arial" w:cs="Arial"/>
              </w:rPr>
              <w:t>29</w:t>
            </w:r>
            <w:r w:rsidR="00E40B17" w:rsidRPr="00F07AFB">
              <w:rPr>
                <w:rFonts w:ascii="Arial" w:hAnsi="Arial" w:cs="Arial"/>
              </w:rPr>
              <w:t>%</w:t>
            </w:r>
          </w:p>
        </w:tc>
        <w:tc>
          <w:tcPr>
            <w:tcW w:w="614" w:type="pct"/>
            <w:shd w:val="clear" w:color="auto" w:fill="auto"/>
          </w:tcPr>
          <w:p w14:paraId="28AB0F46" w14:textId="3B35611D" w:rsidR="00E40B17" w:rsidRPr="00F07AFB" w:rsidDel="00E00BDF" w:rsidRDefault="00C12996" w:rsidP="00E40B17">
            <w:pPr>
              <w:jc w:val="right"/>
              <w:rPr>
                <w:rFonts w:ascii="Arial" w:hAnsi="Arial" w:cs="Arial"/>
                <w:b/>
                <w:sz w:val="22"/>
                <w:szCs w:val="22"/>
              </w:rPr>
            </w:pPr>
            <w:r w:rsidRPr="00F07AFB">
              <w:rPr>
                <w:rFonts w:ascii="Arial" w:hAnsi="Arial" w:cs="Arial"/>
                <w:b/>
              </w:rPr>
              <w:t>1</w:t>
            </w:r>
            <w:r w:rsidR="00B9573A">
              <w:rPr>
                <w:rFonts w:ascii="Arial" w:hAnsi="Arial" w:cs="Arial"/>
                <w:b/>
              </w:rPr>
              <w:t>0</w:t>
            </w:r>
            <w:r w:rsidRPr="00F07AFB">
              <w:rPr>
                <w:rFonts w:ascii="Arial" w:hAnsi="Arial" w:cs="Arial"/>
                <w:b/>
              </w:rPr>
              <w:t>.</w:t>
            </w:r>
            <w:r w:rsidR="00B9573A">
              <w:rPr>
                <w:rFonts w:ascii="Arial" w:hAnsi="Arial" w:cs="Arial"/>
                <w:b/>
              </w:rPr>
              <w:t>1</w:t>
            </w:r>
            <w:r w:rsidR="00E40B17" w:rsidRPr="00F07AFB">
              <w:rPr>
                <w:rFonts w:ascii="Arial" w:hAnsi="Arial" w:cs="Arial"/>
                <w:b/>
              </w:rPr>
              <w:t>%</w:t>
            </w:r>
          </w:p>
        </w:tc>
        <w:tc>
          <w:tcPr>
            <w:tcW w:w="614" w:type="pct"/>
          </w:tcPr>
          <w:p w14:paraId="4575A807" w14:textId="4BDCEDE1" w:rsidR="00E40B17" w:rsidRPr="00F07AFB" w:rsidRDefault="00E40B17" w:rsidP="00E40B17">
            <w:pPr>
              <w:jc w:val="right"/>
              <w:rPr>
                <w:rFonts w:ascii="Arial" w:hAnsi="Arial" w:cs="Arial"/>
                <w:sz w:val="22"/>
                <w:szCs w:val="22"/>
              </w:rPr>
            </w:pPr>
            <w:r w:rsidRPr="00F07AFB">
              <w:rPr>
                <w:rFonts w:ascii="Arial" w:hAnsi="Arial" w:cs="Arial"/>
              </w:rPr>
              <w:t>14.8%</w:t>
            </w:r>
          </w:p>
        </w:tc>
      </w:tr>
      <w:tr w:rsidR="00E40B17" w:rsidRPr="00F07AFB" w14:paraId="4712221C" w14:textId="77777777" w:rsidTr="006F78D1">
        <w:tc>
          <w:tcPr>
            <w:tcW w:w="1156" w:type="pct"/>
          </w:tcPr>
          <w:p w14:paraId="3C6D4604" w14:textId="77777777" w:rsidR="00E40B17" w:rsidRPr="00F07AFB" w:rsidRDefault="00E40B17" w:rsidP="00E40B17">
            <w:pPr>
              <w:jc w:val="left"/>
              <w:rPr>
                <w:rFonts w:ascii="Arial" w:hAnsi="Arial" w:cs="Arial"/>
                <w:sz w:val="22"/>
                <w:szCs w:val="22"/>
              </w:rPr>
            </w:pPr>
            <w:r w:rsidRPr="00F07AFB">
              <w:rPr>
                <w:rFonts w:ascii="Arial" w:hAnsi="Arial" w:cs="Arial"/>
              </w:rPr>
              <w:t>Other International</w:t>
            </w:r>
          </w:p>
        </w:tc>
        <w:tc>
          <w:tcPr>
            <w:tcW w:w="462" w:type="pct"/>
            <w:shd w:val="clear" w:color="auto" w:fill="auto"/>
          </w:tcPr>
          <w:p w14:paraId="4723EA49" w14:textId="09DB79B8" w:rsidR="00E40B17" w:rsidRPr="00F07AFB" w:rsidRDefault="00E40B17" w:rsidP="00E40B17">
            <w:pPr>
              <w:jc w:val="right"/>
              <w:rPr>
                <w:rFonts w:ascii="Arial" w:hAnsi="Arial" w:cs="Arial"/>
                <w:sz w:val="22"/>
                <w:szCs w:val="22"/>
              </w:rPr>
            </w:pPr>
            <w:r w:rsidRPr="00F07AFB">
              <w:rPr>
                <w:rFonts w:ascii="Arial" w:hAnsi="Arial" w:cs="Arial"/>
              </w:rPr>
              <w:t>2.</w:t>
            </w:r>
            <w:r w:rsidR="00F07AFB" w:rsidRPr="00F07AFB">
              <w:rPr>
                <w:rFonts w:ascii="Arial" w:hAnsi="Arial" w:cs="Arial"/>
              </w:rPr>
              <w:t>3</w:t>
            </w:r>
          </w:p>
        </w:tc>
        <w:tc>
          <w:tcPr>
            <w:tcW w:w="690" w:type="pct"/>
            <w:shd w:val="clear" w:color="auto" w:fill="auto"/>
          </w:tcPr>
          <w:p w14:paraId="47DFBC66" w14:textId="3377642B" w:rsidR="00E40B17" w:rsidRPr="00F07AFB" w:rsidRDefault="00E40B17" w:rsidP="00E40B17">
            <w:pPr>
              <w:jc w:val="right"/>
              <w:rPr>
                <w:rFonts w:ascii="Arial" w:hAnsi="Arial" w:cs="Arial"/>
                <w:sz w:val="22"/>
                <w:szCs w:val="22"/>
              </w:rPr>
            </w:pPr>
            <w:r w:rsidRPr="00F07AFB">
              <w:rPr>
                <w:rFonts w:ascii="Arial" w:hAnsi="Arial" w:cs="Arial"/>
              </w:rPr>
              <w:t>1</w:t>
            </w:r>
            <w:r w:rsidR="00D86819" w:rsidRPr="00F07AFB">
              <w:rPr>
                <w:rFonts w:ascii="Arial" w:hAnsi="Arial" w:cs="Arial"/>
              </w:rPr>
              <w:t>9</w:t>
            </w:r>
            <w:r w:rsidRPr="00F07AFB">
              <w:rPr>
                <w:rFonts w:ascii="Arial" w:hAnsi="Arial" w:cs="Arial"/>
              </w:rPr>
              <w:t>%</w:t>
            </w:r>
          </w:p>
        </w:tc>
        <w:tc>
          <w:tcPr>
            <w:tcW w:w="772" w:type="pct"/>
            <w:shd w:val="clear" w:color="auto" w:fill="auto"/>
          </w:tcPr>
          <w:p w14:paraId="6D4B72A3" w14:textId="55EBF96A" w:rsidR="00E40B17" w:rsidRPr="00F07AFB" w:rsidRDefault="00C12996" w:rsidP="00E40B17">
            <w:pPr>
              <w:jc w:val="right"/>
              <w:rPr>
                <w:rFonts w:ascii="Arial" w:hAnsi="Arial" w:cs="Arial"/>
                <w:sz w:val="22"/>
                <w:szCs w:val="22"/>
              </w:rPr>
            </w:pPr>
            <w:r w:rsidRPr="00F07AFB">
              <w:rPr>
                <w:rFonts w:ascii="Arial" w:hAnsi="Arial" w:cs="Arial"/>
              </w:rPr>
              <w:t>1.5</w:t>
            </w:r>
          </w:p>
        </w:tc>
        <w:tc>
          <w:tcPr>
            <w:tcW w:w="692" w:type="pct"/>
            <w:shd w:val="clear" w:color="auto" w:fill="auto"/>
          </w:tcPr>
          <w:p w14:paraId="0279D267" w14:textId="58CC4580" w:rsidR="00E40B17" w:rsidRPr="00F07AFB" w:rsidRDefault="00C12996" w:rsidP="00E40B17">
            <w:pPr>
              <w:jc w:val="right"/>
              <w:rPr>
                <w:rFonts w:ascii="Arial" w:hAnsi="Arial" w:cs="Arial"/>
                <w:sz w:val="22"/>
                <w:szCs w:val="22"/>
              </w:rPr>
            </w:pPr>
            <w:r w:rsidRPr="00F07AFB">
              <w:rPr>
                <w:rFonts w:ascii="Arial" w:hAnsi="Arial" w:cs="Arial"/>
              </w:rPr>
              <w:t>20</w:t>
            </w:r>
            <w:r w:rsidR="00E40B17" w:rsidRPr="00F07AFB">
              <w:rPr>
                <w:rFonts w:ascii="Arial" w:hAnsi="Arial" w:cs="Arial"/>
              </w:rPr>
              <w:t>%</w:t>
            </w:r>
          </w:p>
        </w:tc>
        <w:tc>
          <w:tcPr>
            <w:tcW w:w="614" w:type="pct"/>
            <w:shd w:val="clear" w:color="auto" w:fill="auto"/>
          </w:tcPr>
          <w:p w14:paraId="16895E36" w14:textId="43D935B3" w:rsidR="00E40B17" w:rsidRPr="00F07AFB" w:rsidRDefault="00C12996" w:rsidP="00E40B17">
            <w:pPr>
              <w:jc w:val="right"/>
              <w:rPr>
                <w:rFonts w:ascii="Arial" w:hAnsi="Arial" w:cs="Arial"/>
                <w:b/>
                <w:sz w:val="22"/>
                <w:szCs w:val="22"/>
              </w:rPr>
            </w:pPr>
            <w:r w:rsidRPr="00F07AFB">
              <w:rPr>
                <w:rFonts w:ascii="Arial" w:hAnsi="Arial" w:cs="Arial"/>
                <w:b/>
              </w:rPr>
              <w:t>10.</w:t>
            </w:r>
            <w:r w:rsidR="00E96B80">
              <w:rPr>
                <w:rFonts w:ascii="Arial" w:hAnsi="Arial" w:cs="Arial"/>
                <w:b/>
              </w:rPr>
              <w:t>4</w:t>
            </w:r>
            <w:r w:rsidR="00E40B17" w:rsidRPr="00F07AFB">
              <w:rPr>
                <w:rFonts w:ascii="Arial" w:hAnsi="Arial" w:cs="Arial"/>
                <w:b/>
              </w:rPr>
              <w:t>%</w:t>
            </w:r>
          </w:p>
        </w:tc>
        <w:tc>
          <w:tcPr>
            <w:tcW w:w="614" w:type="pct"/>
          </w:tcPr>
          <w:p w14:paraId="2EEFF837" w14:textId="759EABEC" w:rsidR="00E40B17" w:rsidRPr="00F07AFB" w:rsidRDefault="00E40B17" w:rsidP="00E40B17">
            <w:pPr>
              <w:jc w:val="right"/>
              <w:rPr>
                <w:rFonts w:ascii="Arial" w:hAnsi="Arial" w:cs="Arial"/>
                <w:sz w:val="22"/>
                <w:szCs w:val="22"/>
              </w:rPr>
            </w:pPr>
            <w:r w:rsidRPr="00F07AFB">
              <w:rPr>
                <w:rFonts w:ascii="Arial" w:hAnsi="Arial" w:cs="Arial"/>
              </w:rPr>
              <w:t>11.1%</w:t>
            </w:r>
          </w:p>
        </w:tc>
      </w:tr>
      <w:tr w:rsidR="00E40B17" w:rsidRPr="00F07AFB" w14:paraId="1C6DC27F" w14:textId="77777777" w:rsidTr="006F78D1">
        <w:tc>
          <w:tcPr>
            <w:tcW w:w="1156" w:type="pct"/>
            <w:tcBorders>
              <w:top w:val="single" w:sz="4" w:space="0" w:color="auto"/>
              <w:bottom w:val="single" w:sz="4" w:space="0" w:color="auto"/>
            </w:tcBorders>
          </w:tcPr>
          <w:p w14:paraId="1DB354A1" w14:textId="77777777" w:rsidR="00E40B17" w:rsidRPr="00F07AFB" w:rsidRDefault="00E40B17" w:rsidP="00E40B17">
            <w:pPr>
              <w:jc w:val="left"/>
              <w:rPr>
                <w:rFonts w:ascii="Arial" w:hAnsi="Arial" w:cs="Arial"/>
                <w:sz w:val="22"/>
                <w:szCs w:val="22"/>
              </w:rPr>
            </w:pPr>
            <w:r w:rsidRPr="00F07AFB">
              <w:rPr>
                <w:rFonts w:ascii="Arial" w:hAnsi="Arial" w:cs="Arial"/>
                <w:b/>
              </w:rPr>
              <w:t>Total</w:t>
            </w:r>
          </w:p>
        </w:tc>
        <w:tc>
          <w:tcPr>
            <w:tcW w:w="462" w:type="pct"/>
            <w:tcBorders>
              <w:top w:val="single" w:sz="4" w:space="0" w:color="auto"/>
              <w:bottom w:val="single" w:sz="4" w:space="0" w:color="auto"/>
            </w:tcBorders>
            <w:shd w:val="clear" w:color="auto" w:fill="auto"/>
          </w:tcPr>
          <w:p w14:paraId="03C270C5" w14:textId="7EEDF428" w:rsidR="00E40B17" w:rsidRPr="00F07AFB" w:rsidRDefault="00E40B17" w:rsidP="00E40B17">
            <w:pPr>
              <w:jc w:val="right"/>
              <w:rPr>
                <w:rFonts w:ascii="Arial" w:hAnsi="Arial" w:cs="Arial"/>
                <w:b/>
                <w:sz w:val="22"/>
                <w:szCs w:val="22"/>
              </w:rPr>
            </w:pPr>
            <w:r w:rsidRPr="00F07AFB">
              <w:rPr>
                <w:rFonts w:ascii="Arial" w:hAnsi="Arial" w:cs="Arial"/>
                <w:b/>
              </w:rPr>
              <w:t>11.</w:t>
            </w:r>
            <w:r w:rsidR="00F07AFB" w:rsidRPr="00F07AFB">
              <w:rPr>
                <w:rFonts w:ascii="Arial" w:hAnsi="Arial" w:cs="Arial"/>
                <w:b/>
              </w:rPr>
              <w:t>7</w:t>
            </w:r>
          </w:p>
        </w:tc>
        <w:tc>
          <w:tcPr>
            <w:tcW w:w="690" w:type="pct"/>
            <w:tcBorders>
              <w:top w:val="single" w:sz="4" w:space="0" w:color="auto"/>
              <w:bottom w:val="single" w:sz="4" w:space="0" w:color="auto"/>
            </w:tcBorders>
            <w:shd w:val="clear" w:color="auto" w:fill="auto"/>
          </w:tcPr>
          <w:p w14:paraId="556CE598" w14:textId="77777777" w:rsidR="00E40B17" w:rsidRPr="00F07AFB" w:rsidRDefault="00E40B17" w:rsidP="00E40B17">
            <w:pPr>
              <w:jc w:val="right"/>
              <w:rPr>
                <w:rFonts w:ascii="Arial" w:hAnsi="Arial" w:cs="Arial"/>
                <w:b/>
                <w:sz w:val="22"/>
                <w:szCs w:val="22"/>
              </w:rPr>
            </w:pPr>
          </w:p>
        </w:tc>
        <w:tc>
          <w:tcPr>
            <w:tcW w:w="772" w:type="pct"/>
            <w:tcBorders>
              <w:top w:val="single" w:sz="4" w:space="0" w:color="auto"/>
              <w:bottom w:val="single" w:sz="4" w:space="0" w:color="auto"/>
            </w:tcBorders>
            <w:shd w:val="clear" w:color="auto" w:fill="auto"/>
          </w:tcPr>
          <w:p w14:paraId="4DB0E29E" w14:textId="3CFA4557" w:rsidR="00E40B17" w:rsidRPr="00F07AFB" w:rsidRDefault="00C12996" w:rsidP="00E40B17">
            <w:pPr>
              <w:jc w:val="right"/>
              <w:rPr>
                <w:rFonts w:ascii="Arial" w:hAnsi="Arial" w:cs="Arial"/>
                <w:b/>
                <w:sz w:val="22"/>
                <w:szCs w:val="22"/>
              </w:rPr>
            </w:pPr>
            <w:r w:rsidRPr="00F07AFB">
              <w:rPr>
                <w:rFonts w:ascii="Arial" w:hAnsi="Arial" w:cs="Arial"/>
                <w:b/>
              </w:rPr>
              <w:t>7.4</w:t>
            </w:r>
          </w:p>
        </w:tc>
        <w:tc>
          <w:tcPr>
            <w:tcW w:w="692" w:type="pct"/>
            <w:tcBorders>
              <w:top w:val="single" w:sz="4" w:space="0" w:color="auto"/>
              <w:bottom w:val="single" w:sz="4" w:space="0" w:color="auto"/>
            </w:tcBorders>
            <w:shd w:val="clear" w:color="auto" w:fill="auto"/>
          </w:tcPr>
          <w:p w14:paraId="15F29E8B" w14:textId="77777777" w:rsidR="00E40B17" w:rsidRPr="00F07AFB" w:rsidRDefault="00E40B17" w:rsidP="00E40B17">
            <w:pPr>
              <w:jc w:val="right"/>
              <w:rPr>
                <w:rFonts w:ascii="Arial" w:hAnsi="Arial" w:cs="Arial"/>
                <w:b/>
                <w:sz w:val="22"/>
                <w:szCs w:val="22"/>
              </w:rPr>
            </w:pPr>
          </w:p>
        </w:tc>
        <w:tc>
          <w:tcPr>
            <w:tcW w:w="614" w:type="pct"/>
            <w:tcBorders>
              <w:top w:val="single" w:sz="4" w:space="0" w:color="auto"/>
              <w:bottom w:val="single" w:sz="4" w:space="0" w:color="auto"/>
            </w:tcBorders>
            <w:shd w:val="clear" w:color="auto" w:fill="auto"/>
          </w:tcPr>
          <w:p w14:paraId="17B8F77E" w14:textId="684300E1" w:rsidR="00E40B17" w:rsidRPr="00F07AFB" w:rsidRDefault="00C12996" w:rsidP="00E40B17">
            <w:pPr>
              <w:jc w:val="right"/>
              <w:rPr>
                <w:rFonts w:ascii="Arial" w:hAnsi="Arial" w:cs="Arial"/>
                <w:b/>
                <w:sz w:val="22"/>
                <w:szCs w:val="22"/>
              </w:rPr>
            </w:pPr>
            <w:r w:rsidRPr="00F07AFB">
              <w:rPr>
                <w:rFonts w:ascii="Arial" w:hAnsi="Arial" w:cs="Arial"/>
                <w:b/>
              </w:rPr>
              <w:t>10.4</w:t>
            </w:r>
            <w:r w:rsidR="00E40B17" w:rsidRPr="00F07AFB">
              <w:rPr>
                <w:rFonts w:ascii="Arial" w:hAnsi="Arial" w:cs="Arial"/>
                <w:b/>
              </w:rPr>
              <w:t>%</w:t>
            </w:r>
          </w:p>
        </w:tc>
        <w:tc>
          <w:tcPr>
            <w:tcW w:w="614" w:type="pct"/>
            <w:tcBorders>
              <w:top w:val="single" w:sz="4" w:space="0" w:color="auto"/>
              <w:bottom w:val="single" w:sz="4" w:space="0" w:color="auto"/>
            </w:tcBorders>
          </w:tcPr>
          <w:p w14:paraId="2DFB4AB5" w14:textId="63367F1C" w:rsidR="00E40B17" w:rsidRPr="00F07AFB" w:rsidRDefault="00E40B17" w:rsidP="00E40B17">
            <w:pPr>
              <w:jc w:val="right"/>
              <w:rPr>
                <w:rFonts w:ascii="Arial" w:hAnsi="Arial" w:cs="Arial"/>
                <w:sz w:val="22"/>
                <w:szCs w:val="22"/>
              </w:rPr>
            </w:pPr>
            <w:r w:rsidRPr="00F07AFB">
              <w:rPr>
                <w:rFonts w:ascii="Arial" w:hAnsi="Arial" w:cs="Arial"/>
              </w:rPr>
              <w:t>12.5%</w:t>
            </w:r>
          </w:p>
        </w:tc>
      </w:tr>
      <w:bookmarkEnd w:id="37"/>
    </w:tbl>
    <w:p w14:paraId="39CB3337" w14:textId="6E2619F1" w:rsidR="00A93D96" w:rsidRDefault="00A93D96">
      <w:pPr>
        <w:jc w:val="left"/>
        <w:rPr>
          <w:rFonts w:ascii="Arial" w:hAnsi="Arial" w:cs="Arial"/>
          <w:b/>
        </w:rPr>
      </w:pPr>
    </w:p>
    <w:p w14:paraId="21453988" w14:textId="77777777" w:rsidR="00323C03" w:rsidRDefault="00323C03" w:rsidP="00997637">
      <w:pPr>
        <w:jc w:val="left"/>
        <w:rPr>
          <w:rFonts w:ascii="Arial" w:hAnsi="Arial" w:cs="Arial"/>
          <w:b/>
        </w:rPr>
      </w:pPr>
    </w:p>
    <w:p w14:paraId="45A69E86" w14:textId="77777777" w:rsidR="00323C03" w:rsidRDefault="00323C03" w:rsidP="00997637">
      <w:pPr>
        <w:jc w:val="left"/>
        <w:rPr>
          <w:rFonts w:ascii="Arial" w:hAnsi="Arial" w:cs="Arial"/>
          <w:b/>
        </w:rPr>
      </w:pPr>
    </w:p>
    <w:p w14:paraId="077E5DDA" w14:textId="77777777" w:rsidR="00323C03" w:rsidRDefault="00323C03" w:rsidP="00997637">
      <w:pPr>
        <w:jc w:val="left"/>
        <w:rPr>
          <w:rFonts w:ascii="Arial" w:hAnsi="Arial" w:cs="Arial"/>
          <w:b/>
        </w:rPr>
      </w:pPr>
    </w:p>
    <w:p w14:paraId="43789DD8" w14:textId="34893951" w:rsidR="00997637" w:rsidRPr="00A845B7" w:rsidRDefault="00997637" w:rsidP="00997637">
      <w:pPr>
        <w:jc w:val="left"/>
        <w:rPr>
          <w:rFonts w:ascii="Arial" w:hAnsi="Arial" w:cs="Arial"/>
          <w:b/>
        </w:rPr>
      </w:pPr>
      <w:r w:rsidRPr="00A845B7">
        <w:rPr>
          <w:rFonts w:ascii="Arial" w:hAnsi="Arial" w:cs="Arial"/>
          <w:b/>
        </w:rPr>
        <w:lastRenderedPageBreak/>
        <w:t xml:space="preserve">Free cash flow* </w:t>
      </w:r>
    </w:p>
    <w:p w14:paraId="5D06CF00" w14:textId="77777777" w:rsidR="0038098D" w:rsidRPr="00A845B7" w:rsidRDefault="0038098D" w:rsidP="00997637">
      <w:pPr>
        <w:jc w:val="left"/>
        <w:rPr>
          <w:rFonts w:ascii="Arial" w:hAnsi="Arial" w:cs="Arial"/>
          <w:b/>
        </w:rPr>
      </w:pPr>
    </w:p>
    <w:p w14:paraId="5BE4E92D" w14:textId="77777777" w:rsidR="00997637" w:rsidRPr="00A845B7" w:rsidRDefault="00997637" w:rsidP="00997637">
      <w:pPr>
        <w:jc w:val="left"/>
        <w:rPr>
          <w:rFonts w:ascii="Arial" w:hAnsi="Arial" w:cs="Arial"/>
        </w:rPr>
      </w:pPr>
      <w:r w:rsidRPr="00F4631D">
        <w:rPr>
          <w:rFonts w:ascii="Arial" w:hAnsi="Arial" w:cs="Arial"/>
        </w:rPr>
        <w:t>A reconciliation of free cash flow is set out below:</w:t>
      </w:r>
    </w:p>
    <w:tbl>
      <w:tblPr>
        <w:tblW w:w="5000" w:type="pct"/>
        <w:tblInd w:w="98" w:type="dxa"/>
        <w:tblLayout w:type="fixed"/>
        <w:tblLook w:val="0000" w:firstRow="0" w:lastRow="0" w:firstColumn="0" w:lastColumn="0" w:noHBand="0" w:noVBand="0"/>
      </w:tblPr>
      <w:tblGrid>
        <w:gridCol w:w="6623"/>
        <w:gridCol w:w="321"/>
        <w:gridCol w:w="1259"/>
        <w:gridCol w:w="1438"/>
      </w:tblGrid>
      <w:tr w:rsidR="00997637" w:rsidRPr="00A845B7" w14:paraId="11CAD9EB" w14:textId="77777777" w:rsidTr="00E40B17">
        <w:trPr>
          <w:trHeight w:val="555"/>
        </w:trPr>
        <w:tc>
          <w:tcPr>
            <w:tcW w:w="6623" w:type="dxa"/>
            <w:shd w:val="clear" w:color="auto" w:fill="auto"/>
            <w:vAlign w:val="bottom"/>
          </w:tcPr>
          <w:p w14:paraId="77D25310" w14:textId="77777777" w:rsidR="00997637" w:rsidRPr="00A845B7" w:rsidRDefault="00997637" w:rsidP="00F24C8A">
            <w:pPr>
              <w:jc w:val="left"/>
              <w:rPr>
                <w:rFonts w:ascii="Arial" w:hAnsi="Arial" w:cs="Arial"/>
                <w:bCs/>
              </w:rPr>
            </w:pPr>
          </w:p>
        </w:tc>
        <w:tc>
          <w:tcPr>
            <w:tcW w:w="1580" w:type="dxa"/>
            <w:gridSpan w:val="2"/>
          </w:tcPr>
          <w:p w14:paraId="5AC98658" w14:textId="5AE3D424" w:rsidR="00997637" w:rsidRPr="00A845B7" w:rsidRDefault="00997637" w:rsidP="00F24C8A">
            <w:pPr>
              <w:jc w:val="right"/>
              <w:rPr>
                <w:rFonts w:ascii="Arial" w:hAnsi="Arial" w:cs="Arial"/>
                <w:b/>
                <w:bCs/>
              </w:rPr>
            </w:pPr>
            <w:r w:rsidRPr="00A845B7">
              <w:rPr>
                <w:rFonts w:ascii="Arial" w:hAnsi="Arial" w:cs="Arial"/>
                <w:b/>
                <w:bCs/>
              </w:rPr>
              <w:t>201</w:t>
            </w:r>
            <w:r w:rsidR="00E40B17">
              <w:rPr>
                <w:rFonts w:ascii="Arial" w:hAnsi="Arial" w:cs="Arial"/>
                <w:b/>
                <w:bCs/>
              </w:rPr>
              <w:t>7</w:t>
            </w:r>
            <w:r w:rsidRPr="00A845B7">
              <w:rPr>
                <w:rFonts w:ascii="Arial" w:hAnsi="Arial" w:cs="Arial"/>
                <w:b/>
                <w:bCs/>
              </w:rPr>
              <w:t>/1</w:t>
            </w:r>
            <w:r w:rsidR="00E40B17">
              <w:rPr>
                <w:rFonts w:ascii="Arial" w:hAnsi="Arial" w:cs="Arial"/>
                <w:b/>
                <w:bCs/>
              </w:rPr>
              <w:t>8</w:t>
            </w:r>
          </w:p>
          <w:p w14:paraId="0033CFCA" w14:textId="77777777" w:rsidR="00997637" w:rsidRPr="00A845B7" w:rsidRDefault="00997637" w:rsidP="00F24C8A">
            <w:pPr>
              <w:jc w:val="right"/>
              <w:rPr>
                <w:rFonts w:ascii="Arial" w:hAnsi="Arial" w:cs="Arial"/>
                <w:b/>
                <w:bCs/>
              </w:rPr>
            </w:pPr>
            <w:r w:rsidRPr="00A845B7">
              <w:rPr>
                <w:rFonts w:ascii="Arial" w:hAnsi="Arial" w:cs="Arial"/>
                <w:b/>
                <w:bCs/>
              </w:rPr>
              <w:t>£m</w:t>
            </w:r>
          </w:p>
        </w:tc>
        <w:tc>
          <w:tcPr>
            <w:tcW w:w="1438" w:type="dxa"/>
          </w:tcPr>
          <w:p w14:paraId="5EB7287C" w14:textId="624D4456" w:rsidR="00997637" w:rsidRPr="00A845B7" w:rsidRDefault="00997637" w:rsidP="00F24C8A">
            <w:pPr>
              <w:jc w:val="right"/>
              <w:rPr>
                <w:rFonts w:ascii="Arial" w:hAnsi="Arial" w:cs="Arial"/>
                <w:bCs/>
              </w:rPr>
            </w:pPr>
            <w:r w:rsidRPr="00A845B7">
              <w:rPr>
                <w:rFonts w:ascii="Arial" w:hAnsi="Arial" w:cs="Arial"/>
                <w:bCs/>
              </w:rPr>
              <w:t>201</w:t>
            </w:r>
            <w:r w:rsidR="00E40B17">
              <w:rPr>
                <w:rFonts w:ascii="Arial" w:hAnsi="Arial" w:cs="Arial"/>
                <w:bCs/>
              </w:rPr>
              <w:t>6</w:t>
            </w:r>
            <w:r w:rsidRPr="00A845B7">
              <w:rPr>
                <w:rFonts w:ascii="Arial" w:hAnsi="Arial" w:cs="Arial"/>
                <w:bCs/>
              </w:rPr>
              <w:t>/1</w:t>
            </w:r>
            <w:r w:rsidR="00E40B17">
              <w:rPr>
                <w:rFonts w:ascii="Arial" w:hAnsi="Arial" w:cs="Arial"/>
                <w:bCs/>
              </w:rPr>
              <w:t>7</w:t>
            </w:r>
          </w:p>
          <w:p w14:paraId="33990E6A" w14:textId="77777777" w:rsidR="00997637" w:rsidRPr="00A845B7" w:rsidRDefault="00997637" w:rsidP="00F24C8A">
            <w:pPr>
              <w:jc w:val="right"/>
              <w:rPr>
                <w:rFonts w:ascii="Arial" w:hAnsi="Arial" w:cs="Arial"/>
                <w:bCs/>
              </w:rPr>
            </w:pPr>
            <w:r w:rsidRPr="00A845B7">
              <w:rPr>
                <w:rFonts w:ascii="Arial" w:hAnsi="Arial" w:cs="Arial"/>
                <w:bCs/>
              </w:rPr>
              <w:t xml:space="preserve">£m </w:t>
            </w:r>
          </w:p>
        </w:tc>
      </w:tr>
      <w:tr w:rsidR="00E40B17" w:rsidRPr="00A845B7" w14:paraId="2EA0D0A1" w14:textId="77777777" w:rsidTr="00E40B17">
        <w:trPr>
          <w:trHeight w:val="255"/>
        </w:trPr>
        <w:tc>
          <w:tcPr>
            <w:tcW w:w="6944" w:type="dxa"/>
            <w:gridSpan w:val="2"/>
            <w:tcBorders>
              <w:top w:val="single" w:sz="4" w:space="0" w:color="auto"/>
            </w:tcBorders>
            <w:shd w:val="clear" w:color="auto" w:fill="auto"/>
            <w:vAlign w:val="bottom"/>
          </w:tcPr>
          <w:p w14:paraId="2E16C4F2" w14:textId="1F729F2F" w:rsidR="00E40B17" w:rsidRPr="00A845B7" w:rsidRDefault="00E40B17" w:rsidP="00E40B17">
            <w:pPr>
              <w:rPr>
                <w:rFonts w:ascii="Arial" w:hAnsi="Arial" w:cs="Arial"/>
                <w:b/>
              </w:rPr>
            </w:pPr>
            <w:r w:rsidRPr="00A845B7">
              <w:rPr>
                <w:rFonts w:ascii="Arial" w:hAnsi="Arial" w:cs="Arial"/>
                <w:b/>
              </w:rPr>
              <w:t xml:space="preserve">Operating profit </w:t>
            </w:r>
          </w:p>
        </w:tc>
        <w:tc>
          <w:tcPr>
            <w:tcW w:w="1259" w:type="dxa"/>
            <w:tcBorders>
              <w:top w:val="single" w:sz="4" w:space="0" w:color="auto"/>
            </w:tcBorders>
            <w:vAlign w:val="bottom"/>
          </w:tcPr>
          <w:p w14:paraId="3A8E30B6" w14:textId="46BE2292" w:rsidR="00E40B17" w:rsidRPr="002146A2" w:rsidRDefault="00071D72" w:rsidP="00E40B17">
            <w:pPr>
              <w:jc w:val="right"/>
              <w:rPr>
                <w:rFonts w:ascii="Arial" w:hAnsi="Arial" w:cs="Arial"/>
                <w:b/>
              </w:rPr>
            </w:pPr>
            <w:r w:rsidRPr="002146A2">
              <w:rPr>
                <w:rFonts w:ascii="Arial" w:hAnsi="Arial" w:cs="Arial"/>
                <w:b/>
              </w:rPr>
              <w:t>685</w:t>
            </w:r>
          </w:p>
        </w:tc>
        <w:tc>
          <w:tcPr>
            <w:tcW w:w="1438" w:type="dxa"/>
            <w:tcBorders>
              <w:top w:val="single" w:sz="4" w:space="0" w:color="auto"/>
            </w:tcBorders>
            <w:vAlign w:val="bottom"/>
          </w:tcPr>
          <w:p w14:paraId="7BEF83D1" w14:textId="4943737B" w:rsidR="00E40B17" w:rsidRPr="00355EF2" w:rsidRDefault="00E40B17" w:rsidP="00E40B17">
            <w:pPr>
              <w:jc w:val="right"/>
              <w:rPr>
                <w:rFonts w:ascii="Arial" w:hAnsi="Arial" w:cs="Arial"/>
              </w:rPr>
            </w:pPr>
            <w:r w:rsidRPr="0018703F">
              <w:rPr>
                <w:rFonts w:ascii="Arial" w:hAnsi="Arial" w:cs="Arial"/>
              </w:rPr>
              <w:t>773</w:t>
            </w:r>
          </w:p>
        </w:tc>
      </w:tr>
      <w:tr w:rsidR="00E40B17" w:rsidRPr="00A845B7" w14:paraId="44ABD00D" w14:textId="77777777" w:rsidTr="00E40B17">
        <w:trPr>
          <w:trHeight w:val="270"/>
        </w:trPr>
        <w:tc>
          <w:tcPr>
            <w:tcW w:w="6944" w:type="dxa"/>
            <w:gridSpan w:val="2"/>
            <w:shd w:val="clear" w:color="auto" w:fill="auto"/>
            <w:vAlign w:val="bottom"/>
          </w:tcPr>
          <w:p w14:paraId="6A7072F3" w14:textId="77777777" w:rsidR="00E40B17" w:rsidRPr="00A845B7" w:rsidRDefault="00E40B17" w:rsidP="00E40B17">
            <w:pPr>
              <w:rPr>
                <w:rFonts w:ascii="Arial" w:hAnsi="Arial" w:cs="Arial"/>
              </w:rPr>
            </w:pPr>
            <w:r>
              <w:rPr>
                <w:rFonts w:ascii="Arial" w:hAnsi="Arial" w:cs="Arial"/>
              </w:rPr>
              <w:t>Exceptional items</w:t>
            </w:r>
          </w:p>
        </w:tc>
        <w:tc>
          <w:tcPr>
            <w:tcW w:w="1259" w:type="dxa"/>
            <w:vAlign w:val="bottom"/>
          </w:tcPr>
          <w:p w14:paraId="76F6B289" w14:textId="14A78CDD" w:rsidR="00E40B17" w:rsidRPr="002146A2" w:rsidRDefault="003831E8" w:rsidP="00E40B17">
            <w:pPr>
              <w:jc w:val="right"/>
              <w:rPr>
                <w:rFonts w:ascii="Arial" w:hAnsi="Arial" w:cs="Arial"/>
                <w:b/>
              </w:rPr>
            </w:pPr>
            <w:r>
              <w:rPr>
                <w:rFonts w:ascii="Arial" w:hAnsi="Arial" w:cs="Arial"/>
                <w:b/>
              </w:rPr>
              <w:t>-</w:t>
            </w:r>
          </w:p>
        </w:tc>
        <w:tc>
          <w:tcPr>
            <w:tcW w:w="1438" w:type="dxa"/>
            <w:vAlign w:val="bottom"/>
          </w:tcPr>
          <w:p w14:paraId="712C1EF0" w14:textId="3BB2002A" w:rsidR="00E40B17" w:rsidRPr="00355EF2" w:rsidRDefault="00E40B17" w:rsidP="00E40B17">
            <w:pPr>
              <w:jc w:val="right"/>
              <w:rPr>
                <w:rFonts w:ascii="Arial" w:hAnsi="Arial" w:cs="Arial"/>
              </w:rPr>
            </w:pPr>
            <w:r w:rsidRPr="0018703F">
              <w:rPr>
                <w:rFonts w:ascii="Arial" w:hAnsi="Arial" w:cs="Arial"/>
              </w:rPr>
              <w:t>(23)</w:t>
            </w:r>
          </w:p>
        </w:tc>
      </w:tr>
      <w:tr w:rsidR="00E40B17" w:rsidRPr="00A845B7" w14:paraId="7CADD9DB" w14:textId="77777777" w:rsidTr="00E40B17">
        <w:trPr>
          <w:trHeight w:val="247"/>
        </w:trPr>
        <w:tc>
          <w:tcPr>
            <w:tcW w:w="6944" w:type="dxa"/>
            <w:gridSpan w:val="2"/>
            <w:tcBorders>
              <w:top w:val="single" w:sz="4" w:space="0" w:color="auto"/>
            </w:tcBorders>
            <w:shd w:val="clear" w:color="auto" w:fill="auto"/>
            <w:vAlign w:val="bottom"/>
          </w:tcPr>
          <w:p w14:paraId="0E596E19" w14:textId="30013154" w:rsidR="00E40B17" w:rsidRPr="00A845B7" w:rsidRDefault="00E40B17" w:rsidP="00E40B17">
            <w:pPr>
              <w:rPr>
                <w:rFonts w:ascii="Arial" w:hAnsi="Arial" w:cs="Arial"/>
              </w:rPr>
            </w:pPr>
            <w:r>
              <w:rPr>
                <w:rFonts w:ascii="Arial" w:hAnsi="Arial" w:cs="Arial"/>
                <w:b/>
              </w:rPr>
              <w:t xml:space="preserve">Operating profit </w:t>
            </w:r>
            <w:r w:rsidR="009A426A">
              <w:rPr>
                <w:rFonts w:ascii="Arial" w:hAnsi="Arial" w:cs="Arial"/>
                <w:b/>
              </w:rPr>
              <w:t>(before exceptional items)</w:t>
            </w:r>
          </w:p>
        </w:tc>
        <w:tc>
          <w:tcPr>
            <w:tcW w:w="1259" w:type="dxa"/>
            <w:tcBorders>
              <w:top w:val="single" w:sz="4" w:space="0" w:color="auto"/>
            </w:tcBorders>
            <w:vAlign w:val="bottom"/>
          </w:tcPr>
          <w:p w14:paraId="17E173BA" w14:textId="4CAFA346" w:rsidR="00E40B17" w:rsidRPr="002146A2" w:rsidRDefault="00071D72" w:rsidP="00E40B17">
            <w:pPr>
              <w:jc w:val="right"/>
              <w:rPr>
                <w:rFonts w:ascii="Arial" w:hAnsi="Arial" w:cs="Arial"/>
                <w:b/>
              </w:rPr>
            </w:pPr>
            <w:r w:rsidRPr="002146A2">
              <w:rPr>
                <w:rFonts w:ascii="Arial" w:hAnsi="Arial" w:cs="Arial"/>
                <w:b/>
              </w:rPr>
              <w:t>68</w:t>
            </w:r>
            <w:r w:rsidR="00A01E40">
              <w:rPr>
                <w:rFonts w:ascii="Arial" w:hAnsi="Arial" w:cs="Arial"/>
                <w:b/>
              </w:rPr>
              <w:t>5</w:t>
            </w:r>
          </w:p>
        </w:tc>
        <w:tc>
          <w:tcPr>
            <w:tcW w:w="1438" w:type="dxa"/>
            <w:tcBorders>
              <w:top w:val="single" w:sz="4" w:space="0" w:color="auto"/>
            </w:tcBorders>
            <w:vAlign w:val="bottom"/>
          </w:tcPr>
          <w:p w14:paraId="3F21545A" w14:textId="36BD13DD" w:rsidR="00E40B17" w:rsidRPr="00355EF2" w:rsidRDefault="00E40B17" w:rsidP="00E40B17">
            <w:pPr>
              <w:jc w:val="right"/>
              <w:rPr>
                <w:rFonts w:ascii="Arial" w:hAnsi="Arial" w:cs="Arial"/>
              </w:rPr>
            </w:pPr>
            <w:r w:rsidRPr="0018703F">
              <w:rPr>
                <w:rFonts w:ascii="Arial" w:hAnsi="Arial" w:cs="Arial"/>
              </w:rPr>
              <w:t>750</w:t>
            </w:r>
          </w:p>
        </w:tc>
      </w:tr>
      <w:tr w:rsidR="00E40B17" w:rsidRPr="00A845B7" w14:paraId="7D6FAF1D" w14:textId="77777777" w:rsidTr="00E40B17">
        <w:trPr>
          <w:trHeight w:val="247"/>
        </w:trPr>
        <w:tc>
          <w:tcPr>
            <w:tcW w:w="6944" w:type="dxa"/>
            <w:gridSpan w:val="2"/>
            <w:shd w:val="clear" w:color="auto" w:fill="auto"/>
            <w:vAlign w:val="bottom"/>
          </w:tcPr>
          <w:p w14:paraId="348BAC9B" w14:textId="77777777" w:rsidR="00E40B17" w:rsidRPr="00A845B7" w:rsidRDefault="00E40B17" w:rsidP="00E40B17">
            <w:pPr>
              <w:rPr>
                <w:rFonts w:ascii="Arial" w:hAnsi="Arial" w:cs="Arial"/>
              </w:rPr>
            </w:pPr>
            <w:r w:rsidRPr="00A845B7">
              <w:rPr>
                <w:rFonts w:ascii="Arial" w:hAnsi="Arial" w:cs="Arial"/>
              </w:rPr>
              <w:t>Other non-cash items</w:t>
            </w:r>
            <w:r>
              <w:rPr>
                <w:rFonts w:ascii="Arial" w:hAnsi="Arial" w:cs="Arial"/>
                <w:vertAlign w:val="superscript"/>
              </w:rPr>
              <w:t xml:space="preserve"> </w:t>
            </w:r>
            <w:r w:rsidRPr="00A845B7">
              <w:rPr>
                <w:rFonts w:ascii="Arial" w:hAnsi="Arial" w:cs="Arial"/>
                <w:vertAlign w:val="superscript"/>
              </w:rPr>
              <w:t>(1)</w:t>
            </w:r>
          </w:p>
        </w:tc>
        <w:tc>
          <w:tcPr>
            <w:tcW w:w="1259" w:type="dxa"/>
            <w:vAlign w:val="bottom"/>
          </w:tcPr>
          <w:p w14:paraId="6D698E7F" w14:textId="3D954E3B" w:rsidR="00E40B17" w:rsidRPr="002146A2" w:rsidRDefault="00071D72" w:rsidP="00E40B17">
            <w:pPr>
              <w:jc w:val="right"/>
              <w:rPr>
                <w:rFonts w:ascii="Arial" w:hAnsi="Arial" w:cs="Arial"/>
                <w:b/>
              </w:rPr>
            </w:pPr>
            <w:r w:rsidRPr="002146A2">
              <w:rPr>
                <w:rFonts w:ascii="Arial" w:hAnsi="Arial" w:cs="Arial"/>
                <w:b/>
              </w:rPr>
              <w:t>2</w:t>
            </w:r>
            <w:r w:rsidR="000E602D">
              <w:rPr>
                <w:rFonts w:ascii="Arial" w:hAnsi="Arial" w:cs="Arial"/>
                <w:b/>
              </w:rPr>
              <w:t>85</w:t>
            </w:r>
          </w:p>
        </w:tc>
        <w:tc>
          <w:tcPr>
            <w:tcW w:w="1438" w:type="dxa"/>
            <w:vAlign w:val="bottom"/>
          </w:tcPr>
          <w:p w14:paraId="058C9653" w14:textId="0EAFDF81" w:rsidR="00E40B17" w:rsidRPr="00355EF2" w:rsidRDefault="00E40B17" w:rsidP="00E40B17">
            <w:pPr>
              <w:jc w:val="right"/>
              <w:rPr>
                <w:rFonts w:ascii="Arial" w:hAnsi="Arial" w:cs="Arial"/>
              </w:rPr>
            </w:pPr>
            <w:r w:rsidRPr="0018703F">
              <w:rPr>
                <w:rFonts w:ascii="Arial" w:hAnsi="Arial" w:cs="Arial"/>
              </w:rPr>
              <w:t>295</w:t>
            </w:r>
          </w:p>
        </w:tc>
      </w:tr>
      <w:tr w:rsidR="00E40B17" w:rsidRPr="00A845B7" w14:paraId="14C34C58" w14:textId="77777777" w:rsidTr="00E40B17">
        <w:trPr>
          <w:trHeight w:val="247"/>
        </w:trPr>
        <w:tc>
          <w:tcPr>
            <w:tcW w:w="6944" w:type="dxa"/>
            <w:gridSpan w:val="2"/>
            <w:shd w:val="clear" w:color="auto" w:fill="auto"/>
            <w:vAlign w:val="bottom"/>
          </w:tcPr>
          <w:p w14:paraId="409DD7E2" w14:textId="77777777" w:rsidR="00E40B17" w:rsidRPr="00A845B7" w:rsidRDefault="00E40B17" w:rsidP="00E40B17">
            <w:pPr>
              <w:rPr>
                <w:rFonts w:ascii="Arial" w:hAnsi="Arial" w:cs="Arial"/>
              </w:rPr>
            </w:pPr>
            <w:r w:rsidRPr="00A845B7">
              <w:rPr>
                <w:rFonts w:ascii="Arial" w:hAnsi="Arial" w:cs="Arial"/>
              </w:rPr>
              <w:t>Change in working capital</w:t>
            </w:r>
          </w:p>
        </w:tc>
        <w:tc>
          <w:tcPr>
            <w:tcW w:w="1259" w:type="dxa"/>
            <w:vAlign w:val="bottom"/>
          </w:tcPr>
          <w:p w14:paraId="026FC5C2" w14:textId="23E71390" w:rsidR="00E40B17" w:rsidRPr="002146A2" w:rsidRDefault="00071D72" w:rsidP="00E40B17">
            <w:pPr>
              <w:jc w:val="right"/>
              <w:rPr>
                <w:rFonts w:ascii="Arial" w:hAnsi="Arial" w:cs="Arial"/>
                <w:b/>
              </w:rPr>
            </w:pPr>
            <w:r w:rsidRPr="002146A2">
              <w:rPr>
                <w:rFonts w:ascii="Arial" w:hAnsi="Arial" w:cs="Arial"/>
                <w:b/>
              </w:rPr>
              <w:t>(37</w:t>
            </w:r>
            <w:r w:rsidR="000E602D">
              <w:rPr>
                <w:rFonts w:ascii="Arial" w:hAnsi="Arial" w:cs="Arial"/>
                <w:b/>
              </w:rPr>
              <w:t>2</w:t>
            </w:r>
            <w:r w:rsidRPr="002146A2">
              <w:rPr>
                <w:rFonts w:ascii="Arial" w:hAnsi="Arial" w:cs="Arial"/>
                <w:b/>
              </w:rPr>
              <w:t>)</w:t>
            </w:r>
          </w:p>
        </w:tc>
        <w:tc>
          <w:tcPr>
            <w:tcW w:w="1438" w:type="dxa"/>
            <w:vAlign w:val="bottom"/>
          </w:tcPr>
          <w:p w14:paraId="15024FFD" w14:textId="0C1DFFA7" w:rsidR="00E40B17" w:rsidRPr="00355EF2" w:rsidRDefault="00E40B17" w:rsidP="00E40B17">
            <w:pPr>
              <w:jc w:val="right"/>
              <w:rPr>
                <w:rFonts w:ascii="Arial" w:hAnsi="Arial" w:cs="Arial"/>
              </w:rPr>
            </w:pPr>
            <w:r w:rsidRPr="0018703F">
              <w:rPr>
                <w:rFonts w:ascii="Arial" w:hAnsi="Arial" w:cs="Arial"/>
              </w:rPr>
              <w:t>17</w:t>
            </w:r>
          </w:p>
        </w:tc>
      </w:tr>
      <w:tr w:rsidR="00E40B17" w:rsidRPr="00A845B7" w14:paraId="3D9784EC" w14:textId="77777777" w:rsidTr="00E40B17">
        <w:trPr>
          <w:trHeight w:val="255"/>
        </w:trPr>
        <w:tc>
          <w:tcPr>
            <w:tcW w:w="6944" w:type="dxa"/>
            <w:gridSpan w:val="2"/>
            <w:tcBorders>
              <w:bottom w:val="single" w:sz="4" w:space="0" w:color="auto"/>
            </w:tcBorders>
            <w:shd w:val="clear" w:color="auto" w:fill="auto"/>
            <w:vAlign w:val="bottom"/>
          </w:tcPr>
          <w:p w14:paraId="235495A0" w14:textId="77777777" w:rsidR="00E40B17" w:rsidRPr="00A845B7" w:rsidRDefault="00E40B17" w:rsidP="00E40B17">
            <w:pPr>
              <w:rPr>
                <w:rFonts w:ascii="Arial" w:hAnsi="Arial" w:cs="Arial"/>
              </w:rPr>
            </w:pPr>
            <w:r w:rsidRPr="00A845B7">
              <w:rPr>
                <w:rFonts w:ascii="Arial" w:hAnsi="Arial" w:cs="Arial"/>
              </w:rPr>
              <w:t>Pensions and provisions</w:t>
            </w:r>
          </w:p>
        </w:tc>
        <w:tc>
          <w:tcPr>
            <w:tcW w:w="1259" w:type="dxa"/>
            <w:tcBorders>
              <w:bottom w:val="single" w:sz="4" w:space="0" w:color="auto"/>
            </w:tcBorders>
            <w:vAlign w:val="bottom"/>
          </w:tcPr>
          <w:p w14:paraId="7EFCE3CD" w14:textId="72E644E4" w:rsidR="00E40B17" w:rsidRPr="002146A2" w:rsidRDefault="00071D72" w:rsidP="00E40B17">
            <w:pPr>
              <w:jc w:val="right"/>
              <w:rPr>
                <w:rFonts w:ascii="Arial" w:hAnsi="Arial" w:cs="Arial"/>
                <w:b/>
              </w:rPr>
            </w:pPr>
            <w:r w:rsidRPr="002146A2">
              <w:rPr>
                <w:rFonts w:ascii="Arial" w:hAnsi="Arial" w:cs="Arial"/>
                <w:b/>
              </w:rPr>
              <w:t>(</w:t>
            </w:r>
            <w:r w:rsidR="000E602D">
              <w:rPr>
                <w:rFonts w:ascii="Arial" w:hAnsi="Arial" w:cs="Arial"/>
                <w:b/>
              </w:rPr>
              <w:t>41</w:t>
            </w:r>
            <w:r w:rsidRPr="002146A2">
              <w:rPr>
                <w:rFonts w:ascii="Arial" w:hAnsi="Arial" w:cs="Arial"/>
                <w:b/>
              </w:rPr>
              <w:t>)</w:t>
            </w:r>
          </w:p>
        </w:tc>
        <w:tc>
          <w:tcPr>
            <w:tcW w:w="1438" w:type="dxa"/>
            <w:tcBorders>
              <w:bottom w:val="single" w:sz="4" w:space="0" w:color="auto"/>
            </w:tcBorders>
            <w:vAlign w:val="bottom"/>
          </w:tcPr>
          <w:p w14:paraId="46BC3705" w14:textId="75E56E73" w:rsidR="00E40B17" w:rsidRPr="00355EF2" w:rsidRDefault="00E40B17" w:rsidP="00E40B17">
            <w:pPr>
              <w:jc w:val="right"/>
              <w:rPr>
                <w:rFonts w:ascii="Arial" w:hAnsi="Arial" w:cs="Arial"/>
              </w:rPr>
            </w:pPr>
            <w:r w:rsidRPr="0018703F">
              <w:rPr>
                <w:rFonts w:ascii="Arial" w:hAnsi="Arial" w:cs="Arial"/>
              </w:rPr>
              <w:t>(46)</w:t>
            </w:r>
          </w:p>
        </w:tc>
      </w:tr>
      <w:tr w:rsidR="00E40B17" w:rsidRPr="00A845B7" w14:paraId="1EF6783D" w14:textId="77777777" w:rsidTr="00E40B17">
        <w:trPr>
          <w:trHeight w:val="255"/>
        </w:trPr>
        <w:tc>
          <w:tcPr>
            <w:tcW w:w="6944" w:type="dxa"/>
            <w:gridSpan w:val="2"/>
            <w:tcBorders>
              <w:top w:val="single" w:sz="4" w:space="0" w:color="auto"/>
            </w:tcBorders>
            <w:shd w:val="clear" w:color="auto" w:fill="auto"/>
            <w:vAlign w:val="bottom"/>
          </w:tcPr>
          <w:p w14:paraId="78D31DDC" w14:textId="77777777" w:rsidR="00E40B17" w:rsidRPr="00A845B7" w:rsidRDefault="00E40B17" w:rsidP="00E40B17">
            <w:pPr>
              <w:rPr>
                <w:rFonts w:ascii="Arial" w:hAnsi="Arial" w:cs="Arial"/>
              </w:rPr>
            </w:pPr>
            <w:r w:rsidRPr="00A845B7">
              <w:rPr>
                <w:rFonts w:ascii="Arial" w:hAnsi="Arial" w:cs="Arial"/>
              </w:rPr>
              <w:t>Operating cash flow</w:t>
            </w:r>
          </w:p>
        </w:tc>
        <w:tc>
          <w:tcPr>
            <w:tcW w:w="1259" w:type="dxa"/>
            <w:tcBorders>
              <w:top w:val="single" w:sz="4" w:space="0" w:color="auto"/>
            </w:tcBorders>
            <w:vAlign w:val="bottom"/>
          </w:tcPr>
          <w:p w14:paraId="562D6FBD" w14:textId="06EDC6E8" w:rsidR="00E40B17" w:rsidRPr="002146A2" w:rsidRDefault="00071D72" w:rsidP="00E40B17">
            <w:pPr>
              <w:jc w:val="right"/>
              <w:rPr>
                <w:rFonts w:ascii="Arial" w:hAnsi="Arial" w:cs="Arial"/>
                <w:b/>
              </w:rPr>
            </w:pPr>
            <w:r w:rsidRPr="002146A2">
              <w:rPr>
                <w:rFonts w:ascii="Arial" w:hAnsi="Arial" w:cs="Arial"/>
                <w:b/>
              </w:rPr>
              <w:t>55</w:t>
            </w:r>
            <w:r w:rsidR="000E602D">
              <w:rPr>
                <w:rFonts w:ascii="Arial" w:hAnsi="Arial" w:cs="Arial"/>
                <w:b/>
              </w:rPr>
              <w:t>7</w:t>
            </w:r>
          </w:p>
        </w:tc>
        <w:tc>
          <w:tcPr>
            <w:tcW w:w="1438" w:type="dxa"/>
            <w:tcBorders>
              <w:top w:val="single" w:sz="4" w:space="0" w:color="auto"/>
            </w:tcBorders>
            <w:vAlign w:val="bottom"/>
          </w:tcPr>
          <w:p w14:paraId="28249861" w14:textId="7DCB283C" w:rsidR="00E40B17" w:rsidRPr="00355EF2" w:rsidRDefault="00E40B17" w:rsidP="00E40B17">
            <w:pPr>
              <w:jc w:val="right"/>
              <w:rPr>
                <w:rFonts w:ascii="Arial" w:hAnsi="Arial" w:cs="Arial"/>
              </w:rPr>
            </w:pPr>
            <w:r w:rsidRPr="0018703F">
              <w:rPr>
                <w:rFonts w:ascii="Arial" w:hAnsi="Arial" w:cs="Arial"/>
              </w:rPr>
              <w:t>1,016</w:t>
            </w:r>
          </w:p>
        </w:tc>
      </w:tr>
      <w:tr w:rsidR="00E40B17" w:rsidRPr="00A845B7" w14:paraId="6266C384" w14:textId="77777777" w:rsidTr="00E40B17">
        <w:trPr>
          <w:trHeight w:val="311"/>
        </w:trPr>
        <w:tc>
          <w:tcPr>
            <w:tcW w:w="6944" w:type="dxa"/>
            <w:gridSpan w:val="2"/>
            <w:shd w:val="clear" w:color="auto" w:fill="auto"/>
            <w:vAlign w:val="bottom"/>
          </w:tcPr>
          <w:p w14:paraId="706F7C12" w14:textId="77777777" w:rsidR="00E40B17" w:rsidRPr="00A845B7" w:rsidRDefault="00E40B17" w:rsidP="00E40B17">
            <w:pPr>
              <w:rPr>
                <w:rFonts w:ascii="Arial" w:hAnsi="Arial" w:cs="Arial"/>
              </w:rPr>
            </w:pPr>
            <w:r w:rsidRPr="00A845B7">
              <w:rPr>
                <w:rFonts w:ascii="Arial" w:hAnsi="Arial" w:cs="Arial"/>
              </w:rPr>
              <w:t>Net interest paid</w:t>
            </w:r>
          </w:p>
        </w:tc>
        <w:tc>
          <w:tcPr>
            <w:tcW w:w="1259" w:type="dxa"/>
            <w:vAlign w:val="bottom"/>
          </w:tcPr>
          <w:p w14:paraId="7FF7BC6A" w14:textId="129FE7CF" w:rsidR="00E40B17" w:rsidRPr="002146A2" w:rsidRDefault="00071D72" w:rsidP="00E40B17">
            <w:pPr>
              <w:jc w:val="right"/>
              <w:rPr>
                <w:rFonts w:ascii="Arial" w:hAnsi="Arial" w:cs="Arial"/>
                <w:b/>
              </w:rPr>
            </w:pPr>
            <w:r w:rsidRPr="002146A2">
              <w:rPr>
                <w:rFonts w:ascii="Arial" w:hAnsi="Arial" w:cs="Arial"/>
                <w:b/>
              </w:rPr>
              <w:t>(1)</w:t>
            </w:r>
          </w:p>
        </w:tc>
        <w:tc>
          <w:tcPr>
            <w:tcW w:w="1438" w:type="dxa"/>
            <w:vAlign w:val="bottom"/>
          </w:tcPr>
          <w:p w14:paraId="5E0434B4" w14:textId="75D38CBD" w:rsidR="00E40B17" w:rsidRPr="00355EF2" w:rsidRDefault="00E40B17" w:rsidP="00E40B17">
            <w:pPr>
              <w:jc w:val="right"/>
              <w:rPr>
                <w:rFonts w:ascii="Arial" w:hAnsi="Arial" w:cs="Arial"/>
              </w:rPr>
            </w:pPr>
            <w:r w:rsidRPr="0018703F">
              <w:rPr>
                <w:rFonts w:ascii="Arial" w:hAnsi="Arial" w:cs="Arial"/>
              </w:rPr>
              <w:t>(7)</w:t>
            </w:r>
          </w:p>
        </w:tc>
      </w:tr>
      <w:tr w:rsidR="00E40B17" w:rsidRPr="00A845B7" w14:paraId="15D29B62" w14:textId="77777777" w:rsidTr="00E40B17">
        <w:trPr>
          <w:trHeight w:val="270"/>
        </w:trPr>
        <w:tc>
          <w:tcPr>
            <w:tcW w:w="6944" w:type="dxa"/>
            <w:gridSpan w:val="2"/>
            <w:shd w:val="clear" w:color="auto" w:fill="auto"/>
            <w:vAlign w:val="bottom"/>
          </w:tcPr>
          <w:p w14:paraId="1B678EE6" w14:textId="77777777" w:rsidR="00E40B17" w:rsidRPr="00A845B7" w:rsidRDefault="00E40B17" w:rsidP="00E40B17">
            <w:pPr>
              <w:rPr>
                <w:rFonts w:ascii="Arial" w:hAnsi="Arial" w:cs="Arial"/>
              </w:rPr>
            </w:pPr>
            <w:r w:rsidRPr="00A845B7">
              <w:rPr>
                <w:rFonts w:ascii="Arial" w:hAnsi="Arial" w:cs="Arial"/>
              </w:rPr>
              <w:t>Tax paid</w:t>
            </w:r>
          </w:p>
        </w:tc>
        <w:tc>
          <w:tcPr>
            <w:tcW w:w="1259" w:type="dxa"/>
            <w:vAlign w:val="bottom"/>
          </w:tcPr>
          <w:p w14:paraId="6EE1CF44" w14:textId="1B8CA28E" w:rsidR="00E40B17" w:rsidRPr="002146A2" w:rsidRDefault="00071D72" w:rsidP="00E40B17">
            <w:pPr>
              <w:jc w:val="right"/>
              <w:rPr>
                <w:rFonts w:ascii="Arial" w:hAnsi="Arial" w:cs="Arial"/>
                <w:b/>
              </w:rPr>
            </w:pPr>
            <w:r w:rsidRPr="002146A2">
              <w:rPr>
                <w:rFonts w:ascii="Arial" w:hAnsi="Arial" w:cs="Arial"/>
                <w:b/>
              </w:rPr>
              <w:t>(182)</w:t>
            </w:r>
          </w:p>
        </w:tc>
        <w:tc>
          <w:tcPr>
            <w:tcW w:w="1438" w:type="dxa"/>
            <w:vAlign w:val="bottom"/>
          </w:tcPr>
          <w:p w14:paraId="67D94901" w14:textId="4FCB341B" w:rsidR="00E40B17" w:rsidRPr="00355EF2" w:rsidRDefault="00E40B17" w:rsidP="00E40B17">
            <w:pPr>
              <w:jc w:val="right"/>
              <w:rPr>
                <w:rFonts w:ascii="Arial" w:hAnsi="Arial" w:cs="Arial"/>
              </w:rPr>
            </w:pPr>
            <w:r w:rsidRPr="0018703F">
              <w:rPr>
                <w:rFonts w:ascii="Arial" w:hAnsi="Arial" w:cs="Arial"/>
              </w:rPr>
              <w:t>(144)</w:t>
            </w:r>
          </w:p>
        </w:tc>
      </w:tr>
      <w:tr w:rsidR="00E40B17" w:rsidRPr="00A845B7" w14:paraId="6F43FF5F" w14:textId="77777777" w:rsidTr="00E40B17">
        <w:trPr>
          <w:trHeight w:val="270"/>
        </w:trPr>
        <w:tc>
          <w:tcPr>
            <w:tcW w:w="6944" w:type="dxa"/>
            <w:gridSpan w:val="2"/>
            <w:shd w:val="clear" w:color="auto" w:fill="auto"/>
            <w:vAlign w:val="bottom"/>
          </w:tcPr>
          <w:p w14:paraId="4B9FC748" w14:textId="77777777" w:rsidR="00E40B17" w:rsidRPr="00D978CF" w:rsidRDefault="00E40B17" w:rsidP="00E40B17">
            <w:pPr>
              <w:rPr>
                <w:rFonts w:ascii="Arial" w:hAnsi="Arial" w:cs="Arial"/>
                <w:highlight w:val="yellow"/>
              </w:rPr>
            </w:pPr>
            <w:r w:rsidRPr="00F4631D">
              <w:rPr>
                <w:rFonts w:ascii="Arial" w:hAnsi="Arial" w:cs="Arial"/>
              </w:rPr>
              <w:t xml:space="preserve">Gross capital expenditure </w:t>
            </w:r>
          </w:p>
        </w:tc>
        <w:tc>
          <w:tcPr>
            <w:tcW w:w="1259" w:type="dxa"/>
            <w:vAlign w:val="bottom"/>
          </w:tcPr>
          <w:p w14:paraId="4BACF656" w14:textId="7E08A7CB" w:rsidR="00E40B17" w:rsidRPr="00F4631D" w:rsidRDefault="00E40B17" w:rsidP="00E40B17">
            <w:pPr>
              <w:jc w:val="right"/>
              <w:rPr>
                <w:rFonts w:ascii="Arial" w:hAnsi="Arial" w:cs="Arial"/>
                <w:b/>
              </w:rPr>
            </w:pPr>
            <w:r w:rsidRPr="00F4631D">
              <w:rPr>
                <w:rFonts w:ascii="Arial" w:hAnsi="Arial" w:cs="Arial"/>
                <w:b/>
              </w:rPr>
              <w:t>(</w:t>
            </w:r>
            <w:r w:rsidR="00F4631D" w:rsidRPr="00F4631D">
              <w:rPr>
                <w:rFonts w:ascii="Arial" w:hAnsi="Arial" w:cs="Arial"/>
                <w:b/>
              </w:rPr>
              <w:t>36</w:t>
            </w:r>
            <w:r w:rsidR="00F4631D" w:rsidRPr="00D978CF">
              <w:rPr>
                <w:rFonts w:ascii="Arial" w:hAnsi="Arial" w:cs="Arial"/>
                <w:b/>
              </w:rPr>
              <w:t>8</w:t>
            </w:r>
            <w:r w:rsidRPr="00F4631D">
              <w:rPr>
                <w:rFonts w:ascii="Arial" w:hAnsi="Arial" w:cs="Arial"/>
                <w:b/>
              </w:rPr>
              <w:t>)</w:t>
            </w:r>
          </w:p>
        </w:tc>
        <w:tc>
          <w:tcPr>
            <w:tcW w:w="1438" w:type="dxa"/>
            <w:vAlign w:val="bottom"/>
          </w:tcPr>
          <w:p w14:paraId="457331A2" w14:textId="419ADCFB" w:rsidR="00E40B17" w:rsidRPr="00F4631D" w:rsidRDefault="00E40B17" w:rsidP="00E40B17">
            <w:pPr>
              <w:jc w:val="right"/>
              <w:rPr>
                <w:rFonts w:ascii="Arial" w:hAnsi="Arial" w:cs="Arial"/>
              </w:rPr>
            </w:pPr>
            <w:r w:rsidRPr="00F4631D">
              <w:rPr>
                <w:rFonts w:ascii="Arial" w:hAnsi="Arial" w:cs="Arial"/>
              </w:rPr>
              <w:t>(406)</w:t>
            </w:r>
          </w:p>
        </w:tc>
      </w:tr>
      <w:tr w:rsidR="00E40B17" w:rsidRPr="00A845B7" w14:paraId="6ADEF210" w14:textId="77777777" w:rsidTr="00E40B17">
        <w:trPr>
          <w:trHeight w:val="270"/>
        </w:trPr>
        <w:tc>
          <w:tcPr>
            <w:tcW w:w="6944" w:type="dxa"/>
            <w:gridSpan w:val="2"/>
            <w:tcBorders>
              <w:top w:val="single" w:sz="4" w:space="0" w:color="auto"/>
            </w:tcBorders>
            <w:shd w:val="clear" w:color="auto" w:fill="auto"/>
            <w:vAlign w:val="bottom"/>
          </w:tcPr>
          <w:p w14:paraId="1EA8D274" w14:textId="77777777" w:rsidR="00E40B17" w:rsidRPr="00A845B7" w:rsidRDefault="00E40B17" w:rsidP="00E40B17">
            <w:pPr>
              <w:rPr>
                <w:rFonts w:ascii="Arial" w:hAnsi="Arial" w:cs="Arial"/>
                <w:b/>
              </w:rPr>
            </w:pPr>
            <w:r w:rsidRPr="00A845B7">
              <w:rPr>
                <w:rFonts w:ascii="Arial" w:hAnsi="Arial" w:cs="Arial"/>
                <w:b/>
              </w:rPr>
              <w:t>Free cash flow</w:t>
            </w:r>
          </w:p>
        </w:tc>
        <w:tc>
          <w:tcPr>
            <w:tcW w:w="1259" w:type="dxa"/>
            <w:tcBorders>
              <w:top w:val="single" w:sz="4" w:space="0" w:color="auto"/>
            </w:tcBorders>
            <w:vAlign w:val="bottom"/>
          </w:tcPr>
          <w:p w14:paraId="4D9E7831" w14:textId="6AF4714B" w:rsidR="00E40B17" w:rsidRPr="002146A2" w:rsidRDefault="000E602D" w:rsidP="00E40B17">
            <w:pPr>
              <w:jc w:val="right"/>
              <w:rPr>
                <w:rFonts w:ascii="Arial" w:hAnsi="Arial" w:cs="Arial"/>
                <w:b/>
              </w:rPr>
            </w:pPr>
            <w:r>
              <w:rPr>
                <w:rFonts w:ascii="Arial" w:hAnsi="Arial" w:cs="Arial"/>
                <w:b/>
              </w:rPr>
              <w:t>6</w:t>
            </w:r>
          </w:p>
        </w:tc>
        <w:tc>
          <w:tcPr>
            <w:tcW w:w="1438" w:type="dxa"/>
            <w:tcBorders>
              <w:top w:val="single" w:sz="4" w:space="0" w:color="auto"/>
            </w:tcBorders>
            <w:vAlign w:val="bottom"/>
          </w:tcPr>
          <w:p w14:paraId="5375D7A7" w14:textId="6D1C559C" w:rsidR="00E40B17" w:rsidRPr="00355EF2" w:rsidRDefault="00E40B17" w:rsidP="00E40B17">
            <w:pPr>
              <w:jc w:val="right"/>
              <w:rPr>
                <w:rFonts w:ascii="Arial" w:hAnsi="Arial" w:cs="Arial"/>
              </w:rPr>
            </w:pPr>
            <w:r w:rsidRPr="0018703F">
              <w:rPr>
                <w:rFonts w:ascii="Arial" w:hAnsi="Arial" w:cs="Arial"/>
              </w:rPr>
              <w:t>459</w:t>
            </w:r>
          </w:p>
        </w:tc>
      </w:tr>
      <w:tr w:rsidR="00E40B17" w:rsidRPr="00A845B7" w14:paraId="35A6F157" w14:textId="77777777" w:rsidTr="0018703F">
        <w:trPr>
          <w:trHeight w:val="270"/>
        </w:trPr>
        <w:tc>
          <w:tcPr>
            <w:tcW w:w="6944" w:type="dxa"/>
            <w:gridSpan w:val="2"/>
            <w:shd w:val="clear" w:color="auto" w:fill="auto"/>
            <w:vAlign w:val="bottom"/>
          </w:tcPr>
          <w:p w14:paraId="05F94C33" w14:textId="77777777" w:rsidR="00E40B17" w:rsidRPr="00A845B7" w:rsidRDefault="00E40B17" w:rsidP="00E40B17">
            <w:pPr>
              <w:rPr>
                <w:rFonts w:ascii="Arial" w:hAnsi="Arial" w:cs="Arial"/>
              </w:rPr>
            </w:pPr>
            <w:r w:rsidRPr="00A845B7">
              <w:rPr>
                <w:rFonts w:ascii="Arial" w:hAnsi="Arial" w:cs="Arial"/>
              </w:rPr>
              <w:t>Ordinary dividends paid</w:t>
            </w:r>
          </w:p>
        </w:tc>
        <w:tc>
          <w:tcPr>
            <w:tcW w:w="1259" w:type="dxa"/>
            <w:vAlign w:val="bottom"/>
          </w:tcPr>
          <w:p w14:paraId="47ECE1B8" w14:textId="72164CDD" w:rsidR="00E40B17" w:rsidRPr="002146A2" w:rsidRDefault="00E40B17" w:rsidP="00E40B17">
            <w:pPr>
              <w:jc w:val="right"/>
              <w:rPr>
                <w:rFonts w:ascii="Arial" w:hAnsi="Arial" w:cs="Arial"/>
                <w:b/>
              </w:rPr>
            </w:pPr>
            <w:r w:rsidRPr="002146A2">
              <w:rPr>
                <w:rFonts w:ascii="Arial" w:hAnsi="Arial" w:cs="Arial"/>
                <w:b/>
              </w:rPr>
              <w:t>(</w:t>
            </w:r>
            <w:r w:rsidR="004F03F0" w:rsidRPr="002146A2">
              <w:rPr>
                <w:rFonts w:ascii="Arial" w:hAnsi="Arial" w:cs="Arial"/>
                <w:b/>
              </w:rPr>
              <w:t>231</w:t>
            </w:r>
            <w:r w:rsidRPr="002146A2">
              <w:rPr>
                <w:rFonts w:ascii="Arial" w:hAnsi="Arial" w:cs="Arial"/>
                <w:b/>
              </w:rPr>
              <w:t>)</w:t>
            </w:r>
          </w:p>
        </w:tc>
        <w:tc>
          <w:tcPr>
            <w:tcW w:w="1438" w:type="dxa"/>
            <w:vAlign w:val="bottom"/>
          </w:tcPr>
          <w:p w14:paraId="659C3B97" w14:textId="730D2600" w:rsidR="00E40B17" w:rsidRPr="00355EF2" w:rsidRDefault="00E40B17" w:rsidP="00E40B17">
            <w:pPr>
              <w:jc w:val="right"/>
              <w:rPr>
                <w:rFonts w:ascii="Arial" w:hAnsi="Arial" w:cs="Arial"/>
              </w:rPr>
            </w:pPr>
            <w:r w:rsidRPr="0018703F">
              <w:rPr>
                <w:rFonts w:ascii="Arial" w:hAnsi="Arial" w:cs="Arial"/>
              </w:rPr>
              <w:t>(230)</w:t>
            </w:r>
          </w:p>
        </w:tc>
      </w:tr>
      <w:tr w:rsidR="00E40B17" w:rsidRPr="00A845B7" w14:paraId="78F586CD" w14:textId="77777777" w:rsidTr="0018703F">
        <w:trPr>
          <w:trHeight w:val="270"/>
        </w:trPr>
        <w:tc>
          <w:tcPr>
            <w:tcW w:w="6944" w:type="dxa"/>
            <w:gridSpan w:val="2"/>
            <w:shd w:val="clear" w:color="auto" w:fill="auto"/>
            <w:vAlign w:val="bottom"/>
          </w:tcPr>
          <w:p w14:paraId="60855625" w14:textId="77777777" w:rsidR="00E40B17" w:rsidRPr="00A845B7" w:rsidRDefault="00E40B17" w:rsidP="00E40B17">
            <w:pPr>
              <w:rPr>
                <w:rFonts w:ascii="Arial" w:hAnsi="Arial" w:cs="Arial"/>
              </w:rPr>
            </w:pPr>
            <w:r w:rsidRPr="00A845B7">
              <w:rPr>
                <w:rFonts w:ascii="Arial" w:hAnsi="Arial" w:cs="Arial"/>
              </w:rPr>
              <w:t>Share buyback</w:t>
            </w:r>
          </w:p>
        </w:tc>
        <w:tc>
          <w:tcPr>
            <w:tcW w:w="1259" w:type="dxa"/>
            <w:vAlign w:val="bottom"/>
          </w:tcPr>
          <w:p w14:paraId="7646A47A" w14:textId="7DB48E33" w:rsidR="00E40B17" w:rsidRPr="002146A2" w:rsidRDefault="00E40B17" w:rsidP="00E40B17">
            <w:pPr>
              <w:jc w:val="right"/>
              <w:rPr>
                <w:rFonts w:ascii="Arial" w:hAnsi="Arial" w:cs="Arial"/>
                <w:b/>
              </w:rPr>
            </w:pPr>
            <w:r w:rsidRPr="002146A2">
              <w:rPr>
                <w:rFonts w:ascii="Arial" w:hAnsi="Arial" w:cs="Arial"/>
                <w:b/>
              </w:rPr>
              <w:t>(</w:t>
            </w:r>
            <w:r w:rsidR="004F03F0" w:rsidRPr="002146A2">
              <w:rPr>
                <w:rFonts w:ascii="Arial" w:hAnsi="Arial" w:cs="Arial"/>
                <w:b/>
              </w:rPr>
              <w:t>2</w:t>
            </w:r>
            <w:r w:rsidR="00F91FE3" w:rsidRPr="002146A2">
              <w:rPr>
                <w:rFonts w:ascii="Arial" w:hAnsi="Arial" w:cs="Arial"/>
                <w:b/>
              </w:rPr>
              <w:t>60</w:t>
            </w:r>
            <w:r w:rsidRPr="002146A2">
              <w:rPr>
                <w:rFonts w:ascii="Arial" w:hAnsi="Arial" w:cs="Arial"/>
                <w:b/>
              </w:rPr>
              <w:t>)</w:t>
            </w:r>
          </w:p>
        </w:tc>
        <w:tc>
          <w:tcPr>
            <w:tcW w:w="1438" w:type="dxa"/>
            <w:vAlign w:val="bottom"/>
          </w:tcPr>
          <w:p w14:paraId="0F20D0C3" w14:textId="5A77B03B" w:rsidR="00E40B17" w:rsidRPr="00355EF2" w:rsidRDefault="00E40B17" w:rsidP="00E40B17">
            <w:pPr>
              <w:jc w:val="right"/>
              <w:rPr>
                <w:rFonts w:ascii="Arial" w:hAnsi="Arial" w:cs="Arial"/>
              </w:rPr>
            </w:pPr>
            <w:r w:rsidRPr="0018703F">
              <w:rPr>
                <w:rFonts w:ascii="Arial" w:hAnsi="Arial" w:cs="Arial"/>
              </w:rPr>
              <w:t>(200)</w:t>
            </w:r>
          </w:p>
        </w:tc>
      </w:tr>
      <w:tr w:rsidR="00E40B17" w:rsidRPr="00A845B7" w14:paraId="6CE8DF23" w14:textId="77777777" w:rsidTr="0018703F">
        <w:trPr>
          <w:trHeight w:val="270"/>
        </w:trPr>
        <w:tc>
          <w:tcPr>
            <w:tcW w:w="6944" w:type="dxa"/>
            <w:gridSpan w:val="2"/>
            <w:shd w:val="clear" w:color="auto" w:fill="auto"/>
            <w:vAlign w:val="bottom"/>
          </w:tcPr>
          <w:p w14:paraId="7E416EFD" w14:textId="77777777" w:rsidR="00E40B17" w:rsidRPr="00A845B7" w:rsidRDefault="00E40B17" w:rsidP="00E40B17">
            <w:pPr>
              <w:rPr>
                <w:rFonts w:ascii="Arial" w:hAnsi="Arial" w:cs="Arial"/>
              </w:rPr>
            </w:pPr>
            <w:r w:rsidRPr="00A845B7">
              <w:rPr>
                <w:rFonts w:ascii="Arial" w:hAnsi="Arial" w:cs="Arial"/>
              </w:rPr>
              <w:t>Share purchase for employee incentive schemes</w:t>
            </w:r>
          </w:p>
        </w:tc>
        <w:tc>
          <w:tcPr>
            <w:tcW w:w="1259" w:type="dxa"/>
            <w:vAlign w:val="bottom"/>
          </w:tcPr>
          <w:p w14:paraId="2F4BDE51" w14:textId="550A9458" w:rsidR="00E40B17" w:rsidRPr="002146A2" w:rsidRDefault="00E40B17" w:rsidP="00E40B17">
            <w:pPr>
              <w:jc w:val="right"/>
              <w:rPr>
                <w:rFonts w:ascii="Arial" w:hAnsi="Arial" w:cs="Arial"/>
                <w:b/>
              </w:rPr>
            </w:pPr>
            <w:r w:rsidRPr="002146A2">
              <w:rPr>
                <w:rFonts w:ascii="Arial" w:hAnsi="Arial" w:cs="Arial"/>
                <w:b/>
              </w:rPr>
              <w:t>(</w:t>
            </w:r>
            <w:r w:rsidR="00071D72" w:rsidRPr="002146A2">
              <w:rPr>
                <w:rFonts w:ascii="Arial" w:hAnsi="Arial" w:cs="Arial"/>
                <w:b/>
              </w:rPr>
              <w:t>13</w:t>
            </w:r>
            <w:r w:rsidRPr="002146A2">
              <w:rPr>
                <w:rFonts w:ascii="Arial" w:hAnsi="Arial" w:cs="Arial"/>
                <w:b/>
              </w:rPr>
              <w:t>)</w:t>
            </w:r>
          </w:p>
        </w:tc>
        <w:tc>
          <w:tcPr>
            <w:tcW w:w="1438" w:type="dxa"/>
            <w:vAlign w:val="bottom"/>
          </w:tcPr>
          <w:p w14:paraId="0C9C8D64" w14:textId="3CB0A65E" w:rsidR="00E40B17" w:rsidRPr="00355EF2" w:rsidRDefault="00E40B17" w:rsidP="00E40B17">
            <w:pPr>
              <w:jc w:val="right"/>
              <w:rPr>
                <w:rFonts w:ascii="Arial" w:hAnsi="Arial" w:cs="Arial"/>
              </w:rPr>
            </w:pPr>
            <w:r w:rsidRPr="0018703F">
              <w:rPr>
                <w:rFonts w:ascii="Arial" w:hAnsi="Arial" w:cs="Arial"/>
              </w:rPr>
              <w:t>(6)</w:t>
            </w:r>
          </w:p>
        </w:tc>
      </w:tr>
      <w:tr w:rsidR="00D86819" w:rsidRPr="00A845B7" w14:paraId="759A6FBB" w14:textId="77777777" w:rsidTr="0018703F">
        <w:trPr>
          <w:trHeight w:val="270"/>
        </w:trPr>
        <w:tc>
          <w:tcPr>
            <w:tcW w:w="6944" w:type="dxa"/>
            <w:gridSpan w:val="2"/>
            <w:shd w:val="clear" w:color="auto" w:fill="auto"/>
            <w:vAlign w:val="bottom"/>
          </w:tcPr>
          <w:p w14:paraId="243A30F5" w14:textId="4D60B389" w:rsidR="00D86819" w:rsidRPr="00A845B7" w:rsidRDefault="00D86819" w:rsidP="00E40B17">
            <w:pPr>
              <w:rPr>
                <w:rFonts w:ascii="Arial" w:hAnsi="Arial" w:cs="Arial"/>
              </w:rPr>
            </w:pPr>
            <w:r>
              <w:rPr>
                <w:rFonts w:ascii="Arial" w:hAnsi="Arial" w:cs="Arial"/>
              </w:rPr>
              <w:t xml:space="preserve">Acquisition of </w:t>
            </w:r>
            <w:proofErr w:type="spellStart"/>
            <w:r>
              <w:rPr>
                <w:rFonts w:ascii="Arial" w:hAnsi="Arial" w:cs="Arial"/>
              </w:rPr>
              <w:t>Praktiker</w:t>
            </w:r>
            <w:proofErr w:type="spellEnd"/>
            <w:r>
              <w:rPr>
                <w:rFonts w:ascii="Arial" w:hAnsi="Arial" w:cs="Arial"/>
              </w:rPr>
              <w:t xml:space="preserve"> Romania (including </w:t>
            </w:r>
            <w:r w:rsidR="000E602D">
              <w:rPr>
                <w:rFonts w:ascii="Arial" w:hAnsi="Arial" w:cs="Arial"/>
              </w:rPr>
              <w:t xml:space="preserve">net </w:t>
            </w:r>
            <w:r>
              <w:rPr>
                <w:rFonts w:ascii="Arial" w:hAnsi="Arial" w:cs="Arial"/>
              </w:rPr>
              <w:t>debt</w:t>
            </w:r>
            <w:r w:rsidR="000E602D">
              <w:rPr>
                <w:rFonts w:ascii="Arial" w:hAnsi="Arial" w:cs="Arial"/>
              </w:rPr>
              <w:t xml:space="preserve"> acquired</w:t>
            </w:r>
            <w:r>
              <w:rPr>
                <w:rFonts w:ascii="Arial" w:hAnsi="Arial" w:cs="Arial"/>
              </w:rPr>
              <w:t>)</w:t>
            </w:r>
          </w:p>
        </w:tc>
        <w:tc>
          <w:tcPr>
            <w:tcW w:w="1259" w:type="dxa"/>
            <w:vAlign w:val="bottom"/>
          </w:tcPr>
          <w:p w14:paraId="6774E1D2" w14:textId="3EAB413C" w:rsidR="00D86819" w:rsidRPr="002146A2" w:rsidDel="004F03F0" w:rsidRDefault="00D86819" w:rsidP="00E40B17">
            <w:pPr>
              <w:jc w:val="right"/>
              <w:rPr>
                <w:rFonts w:ascii="Arial" w:hAnsi="Arial" w:cs="Arial"/>
                <w:b/>
              </w:rPr>
            </w:pPr>
            <w:r w:rsidRPr="002146A2">
              <w:rPr>
                <w:rFonts w:ascii="Arial" w:hAnsi="Arial" w:cs="Arial"/>
                <w:b/>
              </w:rPr>
              <w:t>(</w:t>
            </w:r>
            <w:r w:rsidR="00F4631D" w:rsidRPr="002146A2">
              <w:rPr>
                <w:rFonts w:ascii="Arial" w:hAnsi="Arial" w:cs="Arial"/>
                <w:b/>
              </w:rPr>
              <w:t>1</w:t>
            </w:r>
            <w:r w:rsidR="000E602D">
              <w:rPr>
                <w:rFonts w:ascii="Arial" w:hAnsi="Arial" w:cs="Arial"/>
                <w:b/>
              </w:rPr>
              <w:t>9</w:t>
            </w:r>
            <w:r w:rsidRPr="002146A2">
              <w:rPr>
                <w:rFonts w:ascii="Arial" w:hAnsi="Arial" w:cs="Arial"/>
                <w:b/>
              </w:rPr>
              <w:t>)</w:t>
            </w:r>
          </w:p>
        </w:tc>
        <w:tc>
          <w:tcPr>
            <w:tcW w:w="1438" w:type="dxa"/>
            <w:vAlign w:val="bottom"/>
          </w:tcPr>
          <w:p w14:paraId="0A0825AF" w14:textId="278E9D9E" w:rsidR="00D86819" w:rsidRPr="0018703F" w:rsidRDefault="00495066" w:rsidP="00E40B17">
            <w:pPr>
              <w:jc w:val="right"/>
              <w:rPr>
                <w:rFonts w:ascii="Arial" w:hAnsi="Arial" w:cs="Arial"/>
              </w:rPr>
            </w:pPr>
            <w:r>
              <w:rPr>
                <w:rFonts w:ascii="Arial" w:hAnsi="Arial" w:cs="Arial"/>
              </w:rPr>
              <w:t>-</w:t>
            </w:r>
          </w:p>
        </w:tc>
      </w:tr>
      <w:tr w:rsidR="00E40B17" w:rsidRPr="00A845B7" w14:paraId="281F242B" w14:textId="77777777" w:rsidTr="0018703F">
        <w:trPr>
          <w:trHeight w:val="270"/>
        </w:trPr>
        <w:tc>
          <w:tcPr>
            <w:tcW w:w="6944" w:type="dxa"/>
            <w:gridSpan w:val="2"/>
            <w:shd w:val="clear" w:color="auto" w:fill="auto"/>
            <w:vAlign w:val="bottom"/>
          </w:tcPr>
          <w:p w14:paraId="3CC52931" w14:textId="77777777" w:rsidR="00E40B17" w:rsidRPr="00A845B7" w:rsidRDefault="00E40B17" w:rsidP="00E40B17">
            <w:pPr>
              <w:rPr>
                <w:rFonts w:ascii="Arial" w:hAnsi="Arial" w:cs="Arial"/>
              </w:rPr>
            </w:pPr>
            <w:r w:rsidRPr="00A845B7">
              <w:rPr>
                <w:rFonts w:ascii="Arial" w:hAnsi="Arial" w:cs="Arial"/>
              </w:rPr>
              <w:t>Disposal of B&amp;Q China (net of disposal costs)</w:t>
            </w:r>
          </w:p>
        </w:tc>
        <w:tc>
          <w:tcPr>
            <w:tcW w:w="1259" w:type="dxa"/>
            <w:vAlign w:val="bottom"/>
          </w:tcPr>
          <w:p w14:paraId="72CA10CB" w14:textId="2651E572" w:rsidR="00E40B17" w:rsidRPr="002146A2" w:rsidRDefault="004F03F0" w:rsidP="00E40B17">
            <w:pPr>
              <w:jc w:val="right"/>
              <w:rPr>
                <w:rFonts w:ascii="Arial" w:hAnsi="Arial" w:cs="Arial"/>
                <w:b/>
              </w:rPr>
            </w:pPr>
            <w:r w:rsidRPr="002146A2">
              <w:rPr>
                <w:rFonts w:ascii="Arial" w:hAnsi="Arial" w:cs="Arial"/>
                <w:b/>
              </w:rPr>
              <w:t>-</w:t>
            </w:r>
          </w:p>
        </w:tc>
        <w:tc>
          <w:tcPr>
            <w:tcW w:w="1438" w:type="dxa"/>
            <w:vAlign w:val="bottom"/>
          </w:tcPr>
          <w:p w14:paraId="4CF32D56" w14:textId="5FEB434E" w:rsidR="00E40B17" w:rsidRPr="00355EF2" w:rsidRDefault="00E40B17" w:rsidP="00E40B17">
            <w:pPr>
              <w:jc w:val="right"/>
              <w:rPr>
                <w:rFonts w:ascii="Arial" w:hAnsi="Arial" w:cs="Arial"/>
              </w:rPr>
            </w:pPr>
            <w:r w:rsidRPr="0018703F">
              <w:rPr>
                <w:rFonts w:ascii="Arial" w:hAnsi="Arial" w:cs="Arial"/>
              </w:rPr>
              <w:t>63</w:t>
            </w:r>
          </w:p>
        </w:tc>
      </w:tr>
      <w:tr w:rsidR="00E40B17" w:rsidRPr="00A845B7" w14:paraId="06D5F238" w14:textId="77777777" w:rsidTr="0018703F">
        <w:trPr>
          <w:trHeight w:val="270"/>
        </w:trPr>
        <w:tc>
          <w:tcPr>
            <w:tcW w:w="6944" w:type="dxa"/>
            <w:gridSpan w:val="2"/>
            <w:shd w:val="clear" w:color="auto" w:fill="auto"/>
            <w:vAlign w:val="bottom"/>
          </w:tcPr>
          <w:p w14:paraId="4DBB5CFD" w14:textId="5BE457F0" w:rsidR="00E40B17" w:rsidRPr="00A845B7" w:rsidRDefault="00E40B17" w:rsidP="00E40B17">
            <w:pPr>
              <w:rPr>
                <w:rFonts w:ascii="Arial" w:hAnsi="Arial" w:cs="Arial"/>
              </w:rPr>
            </w:pPr>
            <w:r w:rsidRPr="00A845B7">
              <w:rPr>
                <w:rFonts w:ascii="Arial" w:hAnsi="Arial" w:cs="Arial"/>
              </w:rPr>
              <w:t>Disposal of assets</w:t>
            </w:r>
            <w:r w:rsidRPr="00A845B7">
              <w:rPr>
                <w:rFonts w:ascii="Arial" w:hAnsi="Arial" w:cs="Arial"/>
                <w:vertAlign w:val="superscript"/>
              </w:rPr>
              <w:t xml:space="preserve"> </w:t>
            </w:r>
            <w:r w:rsidRPr="00A845B7">
              <w:rPr>
                <w:rFonts w:ascii="Arial" w:hAnsi="Arial" w:cs="Arial"/>
              </w:rPr>
              <w:t>and other</w:t>
            </w:r>
            <w:r>
              <w:rPr>
                <w:rFonts w:ascii="Arial" w:hAnsi="Arial" w:cs="Arial"/>
                <w:vertAlign w:val="superscript"/>
              </w:rPr>
              <w:t xml:space="preserve"> </w:t>
            </w:r>
            <w:r w:rsidRPr="00A845B7">
              <w:rPr>
                <w:rFonts w:ascii="Arial" w:hAnsi="Arial" w:cs="Arial"/>
                <w:vertAlign w:val="superscript"/>
              </w:rPr>
              <w:t>(</w:t>
            </w:r>
            <w:r w:rsidR="00232507">
              <w:rPr>
                <w:rFonts w:ascii="Arial" w:hAnsi="Arial" w:cs="Arial"/>
                <w:vertAlign w:val="superscript"/>
              </w:rPr>
              <w:t>2</w:t>
            </w:r>
            <w:r w:rsidRPr="00A845B7">
              <w:rPr>
                <w:rFonts w:ascii="Arial" w:hAnsi="Arial" w:cs="Arial"/>
                <w:vertAlign w:val="superscript"/>
              </w:rPr>
              <w:t>)</w:t>
            </w:r>
          </w:p>
        </w:tc>
        <w:tc>
          <w:tcPr>
            <w:tcW w:w="1259" w:type="dxa"/>
            <w:vAlign w:val="bottom"/>
          </w:tcPr>
          <w:p w14:paraId="27EB27CF" w14:textId="4AF25F5B" w:rsidR="00E40B17" w:rsidRPr="002146A2" w:rsidRDefault="00071D72" w:rsidP="00E40B17">
            <w:pPr>
              <w:jc w:val="right"/>
              <w:rPr>
                <w:rFonts w:ascii="Arial" w:hAnsi="Arial" w:cs="Arial"/>
                <w:b/>
              </w:rPr>
            </w:pPr>
            <w:r w:rsidRPr="002146A2">
              <w:rPr>
                <w:rFonts w:ascii="Arial" w:hAnsi="Arial" w:cs="Arial"/>
                <w:b/>
              </w:rPr>
              <w:t>(</w:t>
            </w:r>
            <w:r w:rsidR="00F4631D">
              <w:rPr>
                <w:rFonts w:ascii="Arial" w:hAnsi="Arial" w:cs="Arial"/>
                <w:b/>
              </w:rPr>
              <w:t>6</w:t>
            </w:r>
            <w:r w:rsidR="000E602D">
              <w:rPr>
                <w:rFonts w:ascii="Arial" w:hAnsi="Arial" w:cs="Arial"/>
                <w:b/>
              </w:rPr>
              <w:t>8</w:t>
            </w:r>
            <w:r w:rsidRPr="002146A2">
              <w:rPr>
                <w:rFonts w:ascii="Arial" w:hAnsi="Arial" w:cs="Arial"/>
                <w:b/>
              </w:rPr>
              <w:t>)</w:t>
            </w:r>
          </w:p>
        </w:tc>
        <w:tc>
          <w:tcPr>
            <w:tcW w:w="1438" w:type="dxa"/>
            <w:vAlign w:val="bottom"/>
          </w:tcPr>
          <w:p w14:paraId="0362F822" w14:textId="620E7072" w:rsidR="00E40B17" w:rsidRPr="00355EF2" w:rsidRDefault="00E40B17" w:rsidP="00E40B17">
            <w:pPr>
              <w:jc w:val="right"/>
              <w:rPr>
                <w:rFonts w:ascii="Arial" w:hAnsi="Arial" w:cs="Arial"/>
              </w:rPr>
            </w:pPr>
            <w:r w:rsidRPr="0018703F">
              <w:rPr>
                <w:rFonts w:ascii="Arial" w:hAnsi="Arial" w:cs="Arial"/>
              </w:rPr>
              <w:t>(67)</w:t>
            </w:r>
          </w:p>
        </w:tc>
      </w:tr>
      <w:tr w:rsidR="00E40B17" w:rsidRPr="00A845B7" w14:paraId="00BF21A1" w14:textId="77777777" w:rsidTr="00E40B17">
        <w:trPr>
          <w:trHeight w:val="270"/>
        </w:trPr>
        <w:tc>
          <w:tcPr>
            <w:tcW w:w="6944" w:type="dxa"/>
            <w:gridSpan w:val="2"/>
            <w:tcBorders>
              <w:top w:val="single" w:sz="4" w:space="0" w:color="auto"/>
            </w:tcBorders>
            <w:shd w:val="clear" w:color="auto" w:fill="auto"/>
            <w:vAlign w:val="bottom"/>
          </w:tcPr>
          <w:p w14:paraId="58B9F4DB" w14:textId="77777777" w:rsidR="00E40B17" w:rsidRPr="00A845B7" w:rsidRDefault="00E40B17" w:rsidP="00E40B17">
            <w:pPr>
              <w:rPr>
                <w:rFonts w:ascii="Arial" w:hAnsi="Arial" w:cs="Arial"/>
                <w:b/>
              </w:rPr>
            </w:pPr>
            <w:r w:rsidRPr="00A845B7">
              <w:rPr>
                <w:rFonts w:ascii="Arial" w:hAnsi="Arial" w:cs="Arial"/>
                <w:b/>
              </w:rPr>
              <w:t>Net cash flow</w:t>
            </w:r>
          </w:p>
        </w:tc>
        <w:tc>
          <w:tcPr>
            <w:tcW w:w="1259" w:type="dxa"/>
            <w:tcBorders>
              <w:top w:val="single" w:sz="4" w:space="0" w:color="auto"/>
            </w:tcBorders>
          </w:tcPr>
          <w:p w14:paraId="70F35D55" w14:textId="4F41079D" w:rsidR="00E40B17" w:rsidRPr="002146A2" w:rsidRDefault="00071D72" w:rsidP="00E40B17">
            <w:pPr>
              <w:jc w:val="right"/>
              <w:rPr>
                <w:rFonts w:ascii="Arial" w:hAnsi="Arial" w:cs="Arial"/>
                <w:b/>
              </w:rPr>
            </w:pPr>
            <w:r w:rsidRPr="002146A2">
              <w:rPr>
                <w:rFonts w:ascii="Arial" w:hAnsi="Arial" w:cs="Arial"/>
                <w:b/>
              </w:rPr>
              <w:t>(58</w:t>
            </w:r>
            <w:r w:rsidR="000E602D">
              <w:rPr>
                <w:rFonts w:ascii="Arial" w:hAnsi="Arial" w:cs="Arial"/>
                <w:b/>
              </w:rPr>
              <w:t>5</w:t>
            </w:r>
            <w:r w:rsidRPr="002146A2">
              <w:rPr>
                <w:rFonts w:ascii="Arial" w:hAnsi="Arial" w:cs="Arial"/>
                <w:b/>
              </w:rPr>
              <w:t>)</w:t>
            </w:r>
          </w:p>
        </w:tc>
        <w:tc>
          <w:tcPr>
            <w:tcW w:w="1438" w:type="dxa"/>
            <w:tcBorders>
              <w:top w:val="single" w:sz="4" w:space="0" w:color="auto"/>
            </w:tcBorders>
          </w:tcPr>
          <w:p w14:paraId="435075AC" w14:textId="5EFCB295" w:rsidR="00E40B17" w:rsidRPr="00355EF2" w:rsidRDefault="00E40B17" w:rsidP="00E40B17">
            <w:pPr>
              <w:jc w:val="right"/>
              <w:rPr>
                <w:rFonts w:ascii="Arial" w:hAnsi="Arial" w:cs="Arial"/>
              </w:rPr>
            </w:pPr>
            <w:r w:rsidRPr="0018703F">
              <w:rPr>
                <w:rFonts w:ascii="Arial" w:hAnsi="Arial" w:cs="Arial"/>
              </w:rPr>
              <w:t>19</w:t>
            </w:r>
          </w:p>
        </w:tc>
      </w:tr>
      <w:tr w:rsidR="00E40B17" w:rsidRPr="00A845B7" w14:paraId="5AE21226" w14:textId="77777777" w:rsidTr="0018703F">
        <w:trPr>
          <w:trHeight w:val="270"/>
        </w:trPr>
        <w:tc>
          <w:tcPr>
            <w:tcW w:w="6944" w:type="dxa"/>
            <w:gridSpan w:val="2"/>
            <w:shd w:val="clear" w:color="auto" w:fill="auto"/>
            <w:vAlign w:val="bottom"/>
          </w:tcPr>
          <w:p w14:paraId="3F79BE4F" w14:textId="77777777" w:rsidR="00E40B17" w:rsidRPr="00A845B7" w:rsidRDefault="00E40B17" w:rsidP="00E40B17">
            <w:pPr>
              <w:rPr>
                <w:rFonts w:ascii="Arial" w:hAnsi="Arial" w:cs="Arial"/>
              </w:rPr>
            </w:pPr>
            <w:r w:rsidRPr="00A845B7">
              <w:rPr>
                <w:rFonts w:ascii="Arial" w:hAnsi="Arial" w:cs="Arial"/>
              </w:rPr>
              <w:t>Opening net cash</w:t>
            </w:r>
          </w:p>
        </w:tc>
        <w:tc>
          <w:tcPr>
            <w:tcW w:w="1259" w:type="dxa"/>
            <w:vAlign w:val="bottom"/>
          </w:tcPr>
          <w:p w14:paraId="3C86A59B" w14:textId="5B4C61AC" w:rsidR="00E40B17" w:rsidRPr="002146A2" w:rsidRDefault="004F03F0" w:rsidP="00E40B17">
            <w:pPr>
              <w:jc w:val="right"/>
              <w:rPr>
                <w:rFonts w:ascii="Arial" w:hAnsi="Arial" w:cs="Arial"/>
                <w:b/>
              </w:rPr>
            </w:pPr>
            <w:r w:rsidRPr="002146A2">
              <w:rPr>
                <w:rFonts w:ascii="Arial" w:hAnsi="Arial" w:cs="Arial"/>
                <w:b/>
              </w:rPr>
              <w:t>641</w:t>
            </w:r>
          </w:p>
        </w:tc>
        <w:tc>
          <w:tcPr>
            <w:tcW w:w="1438" w:type="dxa"/>
            <w:vAlign w:val="bottom"/>
          </w:tcPr>
          <w:p w14:paraId="148C0680" w14:textId="1F5BF0EC" w:rsidR="00E40B17" w:rsidRPr="00355EF2" w:rsidRDefault="00E40B17" w:rsidP="00E40B17">
            <w:pPr>
              <w:jc w:val="right"/>
              <w:rPr>
                <w:rFonts w:ascii="Arial" w:hAnsi="Arial" w:cs="Arial"/>
              </w:rPr>
            </w:pPr>
            <w:r w:rsidRPr="0018703F">
              <w:rPr>
                <w:rFonts w:ascii="Arial" w:hAnsi="Arial" w:cs="Arial"/>
              </w:rPr>
              <w:t>546</w:t>
            </w:r>
          </w:p>
        </w:tc>
      </w:tr>
      <w:tr w:rsidR="00E40B17" w:rsidRPr="00A845B7" w14:paraId="73C9557F" w14:textId="77777777" w:rsidTr="0018703F">
        <w:trPr>
          <w:trHeight w:val="270"/>
        </w:trPr>
        <w:tc>
          <w:tcPr>
            <w:tcW w:w="6944" w:type="dxa"/>
            <w:gridSpan w:val="2"/>
            <w:tcBorders>
              <w:bottom w:val="single" w:sz="4" w:space="0" w:color="auto"/>
            </w:tcBorders>
            <w:shd w:val="clear" w:color="auto" w:fill="auto"/>
            <w:vAlign w:val="bottom"/>
          </w:tcPr>
          <w:p w14:paraId="2DDF17BE" w14:textId="77777777" w:rsidR="00E40B17" w:rsidRPr="00A845B7" w:rsidRDefault="00E40B17" w:rsidP="00E40B17">
            <w:pPr>
              <w:rPr>
                <w:rFonts w:ascii="Arial" w:hAnsi="Arial" w:cs="Arial"/>
              </w:rPr>
            </w:pPr>
            <w:r w:rsidRPr="00A845B7">
              <w:rPr>
                <w:rFonts w:ascii="Arial" w:hAnsi="Arial" w:cs="Arial"/>
              </w:rPr>
              <w:t>Other movement including foreign exchange</w:t>
            </w:r>
          </w:p>
        </w:tc>
        <w:tc>
          <w:tcPr>
            <w:tcW w:w="1259" w:type="dxa"/>
            <w:tcBorders>
              <w:bottom w:val="single" w:sz="4" w:space="0" w:color="auto"/>
            </w:tcBorders>
            <w:vAlign w:val="bottom"/>
          </w:tcPr>
          <w:p w14:paraId="629EA8FE" w14:textId="0CCDFEE9" w:rsidR="00E40B17" w:rsidRPr="002146A2" w:rsidRDefault="000E602D" w:rsidP="00E40B17">
            <w:pPr>
              <w:jc w:val="right"/>
              <w:rPr>
                <w:rFonts w:ascii="Arial" w:hAnsi="Arial" w:cs="Arial"/>
                <w:b/>
              </w:rPr>
            </w:pPr>
            <w:r>
              <w:rPr>
                <w:rFonts w:ascii="Arial" w:hAnsi="Arial" w:cs="Arial"/>
                <w:b/>
              </w:rPr>
              <w:t>12</w:t>
            </w:r>
          </w:p>
        </w:tc>
        <w:tc>
          <w:tcPr>
            <w:tcW w:w="1438" w:type="dxa"/>
            <w:tcBorders>
              <w:bottom w:val="single" w:sz="4" w:space="0" w:color="auto"/>
            </w:tcBorders>
            <w:vAlign w:val="bottom"/>
          </w:tcPr>
          <w:p w14:paraId="7BC5F15C" w14:textId="25364BB4" w:rsidR="00E40B17" w:rsidRPr="00355EF2" w:rsidRDefault="00E40B17" w:rsidP="00E40B17">
            <w:pPr>
              <w:jc w:val="right"/>
              <w:rPr>
                <w:rFonts w:ascii="Arial" w:hAnsi="Arial" w:cs="Arial"/>
              </w:rPr>
            </w:pPr>
            <w:r w:rsidRPr="0018703F">
              <w:rPr>
                <w:rFonts w:ascii="Arial" w:hAnsi="Arial" w:cs="Arial"/>
              </w:rPr>
              <w:t>76</w:t>
            </w:r>
          </w:p>
        </w:tc>
      </w:tr>
      <w:tr w:rsidR="00E40B17" w:rsidRPr="00A845B7" w14:paraId="586832AD" w14:textId="77777777" w:rsidTr="0018703F">
        <w:trPr>
          <w:trHeight w:val="270"/>
        </w:trPr>
        <w:tc>
          <w:tcPr>
            <w:tcW w:w="6944" w:type="dxa"/>
            <w:gridSpan w:val="2"/>
            <w:tcBorders>
              <w:top w:val="single" w:sz="4" w:space="0" w:color="auto"/>
              <w:bottom w:val="single" w:sz="4" w:space="0" w:color="auto"/>
            </w:tcBorders>
            <w:shd w:val="clear" w:color="auto" w:fill="auto"/>
            <w:vAlign w:val="bottom"/>
          </w:tcPr>
          <w:p w14:paraId="0DE1EBBD" w14:textId="77777777" w:rsidR="00E40B17" w:rsidRPr="00A845B7" w:rsidRDefault="00E40B17" w:rsidP="00E40B17">
            <w:pPr>
              <w:rPr>
                <w:rFonts w:ascii="Arial" w:hAnsi="Arial" w:cs="Arial"/>
                <w:b/>
              </w:rPr>
            </w:pPr>
            <w:r w:rsidRPr="00A845B7">
              <w:rPr>
                <w:rFonts w:ascii="Arial" w:hAnsi="Arial" w:cs="Arial"/>
                <w:b/>
              </w:rPr>
              <w:t>Closing net cash</w:t>
            </w:r>
          </w:p>
        </w:tc>
        <w:tc>
          <w:tcPr>
            <w:tcW w:w="1259" w:type="dxa"/>
            <w:tcBorders>
              <w:top w:val="single" w:sz="4" w:space="0" w:color="auto"/>
              <w:bottom w:val="single" w:sz="4" w:space="0" w:color="auto"/>
            </w:tcBorders>
            <w:vAlign w:val="bottom"/>
          </w:tcPr>
          <w:p w14:paraId="2F1D7C37" w14:textId="785F2282" w:rsidR="00E40B17" w:rsidRPr="002146A2" w:rsidRDefault="00F6636F" w:rsidP="00E40B17">
            <w:pPr>
              <w:jc w:val="right"/>
              <w:rPr>
                <w:rFonts w:ascii="Arial" w:hAnsi="Arial" w:cs="Arial"/>
                <w:b/>
              </w:rPr>
            </w:pPr>
            <w:r>
              <w:rPr>
                <w:rFonts w:ascii="Arial" w:hAnsi="Arial" w:cs="Arial"/>
                <w:b/>
              </w:rPr>
              <w:t>68</w:t>
            </w:r>
          </w:p>
        </w:tc>
        <w:tc>
          <w:tcPr>
            <w:tcW w:w="1438" w:type="dxa"/>
            <w:tcBorders>
              <w:top w:val="single" w:sz="4" w:space="0" w:color="auto"/>
              <w:bottom w:val="single" w:sz="4" w:space="0" w:color="auto"/>
            </w:tcBorders>
            <w:vAlign w:val="bottom"/>
          </w:tcPr>
          <w:p w14:paraId="1933198F" w14:textId="2F02F42F" w:rsidR="00E40B17" w:rsidRPr="00355EF2" w:rsidRDefault="00E40B17" w:rsidP="00E40B17">
            <w:pPr>
              <w:jc w:val="right"/>
              <w:rPr>
                <w:rFonts w:ascii="Arial" w:hAnsi="Arial" w:cs="Arial"/>
              </w:rPr>
            </w:pPr>
            <w:r w:rsidRPr="0018703F">
              <w:rPr>
                <w:rFonts w:ascii="Arial" w:hAnsi="Arial" w:cs="Arial"/>
              </w:rPr>
              <w:t>641</w:t>
            </w:r>
          </w:p>
        </w:tc>
      </w:tr>
    </w:tbl>
    <w:p w14:paraId="306D0BBD" w14:textId="77777777" w:rsidR="00997637" w:rsidRPr="00A845B7" w:rsidRDefault="00997637" w:rsidP="00997637">
      <w:pPr>
        <w:jc w:val="left"/>
        <w:rPr>
          <w:rFonts w:ascii="Arial" w:hAnsi="Arial" w:cs="Arial"/>
          <w:highlight w:val="yellow"/>
          <w:vertAlign w:val="superscript"/>
        </w:rPr>
      </w:pPr>
    </w:p>
    <w:p w14:paraId="626812EC" w14:textId="77777777" w:rsidR="00997637" w:rsidRPr="00925EFB" w:rsidRDefault="00997637" w:rsidP="00997637">
      <w:pPr>
        <w:jc w:val="left"/>
        <w:rPr>
          <w:rFonts w:ascii="Arial" w:hAnsi="Arial" w:cs="Arial"/>
          <w:sz w:val="18"/>
          <w:szCs w:val="18"/>
        </w:rPr>
      </w:pPr>
      <w:r w:rsidRPr="006F78D1">
        <w:rPr>
          <w:rFonts w:ascii="Arial" w:hAnsi="Arial" w:cs="Arial"/>
          <w:vertAlign w:val="superscript"/>
        </w:rPr>
        <w:t>(1)</w:t>
      </w:r>
      <w:r w:rsidRPr="00925EFB">
        <w:rPr>
          <w:rFonts w:ascii="Arial" w:hAnsi="Arial" w:cs="Arial"/>
          <w:sz w:val="18"/>
          <w:szCs w:val="18"/>
        </w:rPr>
        <w:t xml:space="preserve"> Other non-cash items include depreciation and amortisation, share-based compensation charge, share of post-tax results of JVs and associates, pension operating cost and profit/loss on non-property disposals</w:t>
      </w:r>
    </w:p>
    <w:p w14:paraId="2C04883D" w14:textId="13785315" w:rsidR="00997637" w:rsidRPr="00925EFB" w:rsidRDefault="00232507" w:rsidP="00997637">
      <w:pPr>
        <w:ind w:right="-368"/>
        <w:rPr>
          <w:rFonts w:ascii="Arial" w:hAnsi="Arial" w:cs="Arial"/>
          <w:b/>
          <w:sz w:val="24"/>
          <w:szCs w:val="24"/>
        </w:rPr>
      </w:pPr>
      <w:r w:rsidRPr="006F78D1" w:rsidDel="00232507">
        <w:rPr>
          <w:rFonts w:ascii="Arial" w:hAnsi="Arial" w:cs="Arial"/>
          <w:vertAlign w:val="superscript"/>
        </w:rPr>
        <w:t xml:space="preserve"> </w:t>
      </w:r>
      <w:r w:rsidR="00997637" w:rsidRPr="006F78D1">
        <w:rPr>
          <w:rFonts w:ascii="Arial" w:hAnsi="Arial" w:cs="Arial"/>
          <w:vertAlign w:val="superscript"/>
        </w:rPr>
        <w:t>(</w:t>
      </w:r>
      <w:r>
        <w:rPr>
          <w:rFonts w:ascii="Arial" w:hAnsi="Arial" w:cs="Arial"/>
          <w:vertAlign w:val="superscript"/>
        </w:rPr>
        <w:t>2</w:t>
      </w:r>
      <w:r w:rsidR="00997637" w:rsidRPr="006F78D1">
        <w:rPr>
          <w:rFonts w:ascii="Arial" w:hAnsi="Arial" w:cs="Arial"/>
          <w:vertAlign w:val="superscript"/>
        </w:rPr>
        <w:t>)</w:t>
      </w:r>
      <w:r w:rsidR="00997637" w:rsidRPr="00925EFB">
        <w:rPr>
          <w:rFonts w:ascii="Arial" w:hAnsi="Arial" w:cs="Arial"/>
          <w:sz w:val="18"/>
          <w:szCs w:val="18"/>
        </w:rPr>
        <w:t xml:space="preserve"> </w:t>
      </w:r>
      <w:r w:rsidR="00997637" w:rsidRPr="003574DC">
        <w:rPr>
          <w:rFonts w:ascii="Arial" w:hAnsi="Arial" w:cs="Arial"/>
          <w:sz w:val="18"/>
          <w:szCs w:val="18"/>
        </w:rPr>
        <w:t>Includes exceptional</w:t>
      </w:r>
      <w:r w:rsidR="00F14597">
        <w:rPr>
          <w:rFonts w:ascii="Arial" w:hAnsi="Arial" w:cs="Arial"/>
          <w:sz w:val="18"/>
          <w:szCs w:val="18"/>
        </w:rPr>
        <w:t xml:space="preserve"> cash flow</w:t>
      </w:r>
      <w:r w:rsidR="00997637" w:rsidRPr="003574DC">
        <w:rPr>
          <w:rFonts w:ascii="Arial" w:hAnsi="Arial" w:cs="Arial"/>
          <w:sz w:val="18"/>
          <w:szCs w:val="18"/>
        </w:rPr>
        <w:t xml:space="preserve"> items (excluding property disposals), principally </w:t>
      </w:r>
      <w:r w:rsidR="00997637">
        <w:rPr>
          <w:rFonts w:ascii="Arial" w:hAnsi="Arial" w:cs="Arial"/>
          <w:sz w:val="18"/>
          <w:szCs w:val="18"/>
        </w:rPr>
        <w:t xml:space="preserve">relating to </w:t>
      </w:r>
      <w:r w:rsidR="00997637" w:rsidRPr="003574DC">
        <w:rPr>
          <w:rFonts w:ascii="Arial" w:hAnsi="Arial" w:cs="Arial"/>
          <w:sz w:val="18"/>
          <w:szCs w:val="18"/>
        </w:rPr>
        <w:t>B&amp;Q closures</w:t>
      </w:r>
      <w:r w:rsidR="00997637" w:rsidRPr="003574DC" w:rsidDel="003574DC">
        <w:rPr>
          <w:rFonts w:ascii="Arial" w:hAnsi="Arial" w:cs="Arial"/>
          <w:sz w:val="18"/>
          <w:szCs w:val="18"/>
        </w:rPr>
        <w:t xml:space="preserve"> </w:t>
      </w:r>
    </w:p>
    <w:p w14:paraId="1E068EA0" w14:textId="77777777" w:rsidR="00F4631D" w:rsidRPr="00A03549" w:rsidRDefault="00F4631D" w:rsidP="00997637">
      <w:pPr>
        <w:ind w:right="-368"/>
        <w:rPr>
          <w:rFonts w:ascii="Arial" w:hAnsi="Arial" w:cs="Arial"/>
          <w:b/>
          <w:sz w:val="24"/>
          <w:szCs w:val="24"/>
          <w:highlight w:val="yellow"/>
        </w:rPr>
      </w:pPr>
    </w:p>
    <w:p w14:paraId="779D2F7C" w14:textId="77777777" w:rsidR="0038098D" w:rsidRPr="00232507" w:rsidRDefault="0038098D" w:rsidP="0038098D">
      <w:pPr>
        <w:jc w:val="left"/>
        <w:rPr>
          <w:rFonts w:ascii="Arial" w:hAnsi="Arial" w:cs="Arial"/>
          <w:highlight w:val="yellow"/>
        </w:rPr>
      </w:pPr>
      <w:r w:rsidRPr="00FC41B5">
        <w:rPr>
          <w:rFonts w:ascii="Arial" w:hAnsi="Arial" w:cs="Arial"/>
        </w:rPr>
        <w:t>Net cash at the end of the period was £</w:t>
      </w:r>
      <w:r>
        <w:rPr>
          <w:rFonts w:ascii="Arial" w:hAnsi="Arial" w:cs="Arial"/>
        </w:rPr>
        <w:t>68</w:t>
      </w:r>
      <w:r w:rsidRPr="00FC41B5">
        <w:rPr>
          <w:rFonts w:ascii="Arial" w:hAnsi="Arial" w:cs="Arial"/>
        </w:rPr>
        <w:t xml:space="preserve"> million (2016/17: £641</w:t>
      </w:r>
      <w:r w:rsidRPr="00FC41B5" w:rsidDel="00F44930">
        <w:rPr>
          <w:rFonts w:ascii="Arial" w:hAnsi="Arial" w:cs="Arial"/>
        </w:rPr>
        <w:t xml:space="preserve"> </w:t>
      </w:r>
      <w:r w:rsidRPr="00FC41B5">
        <w:rPr>
          <w:rFonts w:ascii="Arial" w:hAnsi="Arial" w:cs="Arial"/>
        </w:rPr>
        <w:t xml:space="preserve">million). </w:t>
      </w:r>
    </w:p>
    <w:p w14:paraId="7A992CC6" w14:textId="77777777" w:rsidR="0038098D" w:rsidRDefault="0038098D" w:rsidP="000B7DFF">
      <w:pPr>
        <w:jc w:val="left"/>
        <w:rPr>
          <w:rFonts w:ascii="Arial" w:hAnsi="Arial" w:cs="Arial"/>
        </w:rPr>
      </w:pPr>
    </w:p>
    <w:p w14:paraId="0A5DA331" w14:textId="77777777" w:rsidR="00EF5C03" w:rsidRDefault="000B7DFF" w:rsidP="000B7DFF">
      <w:pPr>
        <w:jc w:val="left"/>
        <w:rPr>
          <w:rFonts w:ascii="Arial" w:hAnsi="Arial" w:cs="Arial"/>
        </w:rPr>
      </w:pPr>
      <w:r>
        <w:rPr>
          <w:rFonts w:ascii="Arial" w:hAnsi="Arial" w:cs="Arial"/>
        </w:rPr>
        <w:t xml:space="preserve">Operating profit after exceptional items was £88 million lower than last year </w:t>
      </w:r>
      <w:r w:rsidR="00F4631D">
        <w:rPr>
          <w:rFonts w:ascii="Arial" w:hAnsi="Arial" w:cs="Arial"/>
        </w:rPr>
        <w:t>reflecting</w:t>
      </w:r>
      <w:r>
        <w:rPr>
          <w:rFonts w:ascii="Arial" w:hAnsi="Arial" w:cs="Arial"/>
        </w:rPr>
        <w:t xml:space="preserve"> higher transformation costs.</w:t>
      </w:r>
      <w:r w:rsidR="00EF5C03">
        <w:rPr>
          <w:rFonts w:ascii="Arial" w:hAnsi="Arial" w:cs="Arial"/>
        </w:rPr>
        <w:t xml:space="preserve"> </w:t>
      </w:r>
    </w:p>
    <w:p w14:paraId="4F69F21B" w14:textId="77777777" w:rsidR="00EF5C03" w:rsidRDefault="00EF5C03" w:rsidP="000B7DFF">
      <w:pPr>
        <w:jc w:val="left"/>
        <w:rPr>
          <w:rFonts w:ascii="Arial" w:hAnsi="Arial" w:cs="Arial"/>
        </w:rPr>
      </w:pPr>
    </w:p>
    <w:p w14:paraId="08D89C26" w14:textId="79CA8053" w:rsidR="00EF5C03" w:rsidRDefault="00EF5C03" w:rsidP="000B7DFF">
      <w:pPr>
        <w:jc w:val="left"/>
        <w:rPr>
          <w:rFonts w:ascii="Arial" w:hAnsi="Arial" w:cs="Arial"/>
        </w:rPr>
      </w:pPr>
      <w:bookmarkStart w:id="38" w:name="_Hlk508799152"/>
      <w:r>
        <w:rPr>
          <w:rFonts w:ascii="Arial" w:hAnsi="Arial" w:cs="Arial"/>
        </w:rPr>
        <w:t>The</w:t>
      </w:r>
      <w:r w:rsidR="000B7DFF">
        <w:rPr>
          <w:rFonts w:ascii="Arial" w:hAnsi="Arial" w:cs="Arial"/>
        </w:rPr>
        <w:t xml:space="preserve"> </w:t>
      </w:r>
      <w:r w:rsidR="000B7DFF" w:rsidRPr="00E020E7">
        <w:rPr>
          <w:rFonts w:ascii="Arial" w:hAnsi="Arial" w:cs="Arial"/>
        </w:rPr>
        <w:t>working capital</w:t>
      </w:r>
      <w:r w:rsidR="00F4631D">
        <w:rPr>
          <w:rFonts w:ascii="Arial" w:hAnsi="Arial" w:cs="Arial"/>
        </w:rPr>
        <w:t xml:space="preserve"> outflow</w:t>
      </w:r>
      <w:r w:rsidR="000B7DFF">
        <w:rPr>
          <w:rFonts w:ascii="Arial" w:hAnsi="Arial" w:cs="Arial"/>
        </w:rPr>
        <w:t xml:space="preserve"> of £37</w:t>
      </w:r>
      <w:r w:rsidR="000E602D">
        <w:rPr>
          <w:rFonts w:ascii="Arial" w:hAnsi="Arial" w:cs="Arial"/>
        </w:rPr>
        <w:t>2</w:t>
      </w:r>
      <w:r w:rsidR="000B7DFF">
        <w:rPr>
          <w:rFonts w:ascii="Arial" w:hAnsi="Arial" w:cs="Arial"/>
        </w:rPr>
        <w:t xml:space="preserve"> million was </w:t>
      </w:r>
      <w:r w:rsidR="00F4631D">
        <w:rPr>
          <w:rFonts w:ascii="Arial" w:hAnsi="Arial" w:cs="Arial"/>
        </w:rPr>
        <w:t>driven</w:t>
      </w:r>
      <w:r w:rsidR="000B7DFF">
        <w:rPr>
          <w:rFonts w:ascii="Arial" w:hAnsi="Arial" w:cs="Arial"/>
        </w:rPr>
        <w:t xml:space="preserve"> by higher stock </w:t>
      </w:r>
      <w:r w:rsidR="000B7DFF" w:rsidRPr="000B7DFF">
        <w:rPr>
          <w:rFonts w:ascii="Arial" w:hAnsi="Arial" w:cs="Arial"/>
        </w:rPr>
        <w:t>levels</w:t>
      </w:r>
      <w:r>
        <w:rPr>
          <w:rFonts w:ascii="Arial" w:hAnsi="Arial" w:cs="Arial"/>
        </w:rPr>
        <w:t xml:space="preserve">. This reflects growth in new stores; changes to our operating model </w:t>
      </w:r>
      <w:r w:rsidR="00AD4DA7">
        <w:rPr>
          <w:rFonts w:ascii="Arial" w:hAnsi="Arial" w:cs="Arial"/>
        </w:rPr>
        <w:t>(</w:t>
      </w:r>
      <w:r w:rsidR="0098152D">
        <w:rPr>
          <w:rFonts w:ascii="Arial" w:hAnsi="Arial" w:cs="Arial"/>
        </w:rPr>
        <w:t>as we start</w:t>
      </w:r>
      <w:r>
        <w:rPr>
          <w:rFonts w:ascii="Arial" w:hAnsi="Arial" w:cs="Arial"/>
        </w:rPr>
        <w:t xml:space="preserve"> to</w:t>
      </w:r>
      <w:r w:rsidR="0098152D">
        <w:rPr>
          <w:rFonts w:ascii="Arial" w:hAnsi="Arial" w:cs="Arial"/>
        </w:rPr>
        <w:t xml:space="preserve"> control</w:t>
      </w:r>
      <w:r>
        <w:rPr>
          <w:rFonts w:ascii="Arial" w:hAnsi="Arial" w:cs="Arial"/>
        </w:rPr>
        <w:t xml:space="preserve"> </w:t>
      </w:r>
      <w:r w:rsidR="0098152D">
        <w:rPr>
          <w:rFonts w:ascii="Arial" w:hAnsi="Arial" w:cs="Arial"/>
        </w:rPr>
        <w:t xml:space="preserve">more of </w:t>
      </w:r>
      <w:r>
        <w:rPr>
          <w:rFonts w:ascii="Arial" w:hAnsi="Arial" w:cs="Arial"/>
        </w:rPr>
        <w:t xml:space="preserve">our end to end </w:t>
      </w:r>
      <w:r w:rsidR="00AD4DA7">
        <w:rPr>
          <w:rFonts w:ascii="Arial" w:hAnsi="Arial" w:cs="Arial"/>
        </w:rPr>
        <w:t>supply chain)</w:t>
      </w:r>
      <w:r>
        <w:rPr>
          <w:rFonts w:ascii="Arial" w:hAnsi="Arial" w:cs="Arial"/>
        </w:rPr>
        <w:t xml:space="preserve">; </w:t>
      </w:r>
      <w:r w:rsidR="00F03A4A">
        <w:rPr>
          <w:rFonts w:ascii="Arial" w:hAnsi="Arial" w:cs="Arial"/>
        </w:rPr>
        <w:t>the impact of foreign exchange movements</w:t>
      </w:r>
      <w:bookmarkStart w:id="39" w:name="_Hlk508810650"/>
      <w:r w:rsidR="00CB14FC">
        <w:rPr>
          <w:rFonts w:ascii="Arial" w:hAnsi="Arial" w:cs="Arial"/>
        </w:rPr>
        <w:t>; new unified and unique ranges including first time buy quantities and;</w:t>
      </w:r>
      <w:r>
        <w:rPr>
          <w:rFonts w:ascii="Arial" w:hAnsi="Arial" w:cs="Arial"/>
        </w:rPr>
        <w:t xml:space="preserve"> </w:t>
      </w:r>
      <w:r w:rsidR="00CB14FC">
        <w:rPr>
          <w:rFonts w:ascii="Arial" w:hAnsi="Arial" w:cs="Arial"/>
        </w:rPr>
        <w:t>new</w:t>
      </w:r>
      <w:r w:rsidR="0031499B">
        <w:rPr>
          <w:rFonts w:ascii="Arial" w:hAnsi="Arial" w:cs="Arial"/>
        </w:rPr>
        <w:t xml:space="preserve"> </w:t>
      </w:r>
      <w:r w:rsidR="00CB14FC">
        <w:rPr>
          <w:rFonts w:ascii="Arial" w:hAnsi="Arial" w:cs="Arial"/>
        </w:rPr>
        <w:t xml:space="preserve">non-unified </w:t>
      </w:r>
      <w:r w:rsidR="00ED28D9">
        <w:rPr>
          <w:rFonts w:ascii="Arial" w:hAnsi="Arial" w:cs="Arial"/>
        </w:rPr>
        <w:t>mitigation</w:t>
      </w:r>
      <w:r w:rsidR="000B7DFF" w:rsidRPr="000B7DFF">
        <w:rPr>
          <w:rFonts w:ascii="Arial" w:hAnsi="Arial" w:cs="Arial"/>
        </w:rPr>
        <w:t xml:space="preserve"> </w:t>
      </w:r>
      <w:bookmarkEnd w:id="39"/>
      <w:r w:rsidR="000B7DFF" w:rsidRPr="000B7DFF">
        <w:rPr>
          <w:rFonts w:ascii="Arial" w:hAnsi="Arial" w:cs="Arial"/>
        </w:rPr>
        <w:t xml:space="preserve">stock </w:t>
      </w:r>
      <w:r w:rsidR="0031499B">
        <w:rPr>
          <w:rFonts w:ascii="Arial" w:hAnsi="Arial" w:cs="Arial"/>
        </w:rPr>
        <w:t xml:space="preserve">aimed at </w:t>
      </w:r>
      <w:r w:rsidR="00AD4DA7">
        <w:rPr>
          <w:rFonts w:ascii="Arial" w:hAnsi="Arial" w:cs="Arial"/>
        </w:rPr>
        <w:t xml:space="preserve">improving </w:t>
      </w:r>
      <w:r w:rsidR="0031499B">
        <w:rPr>
          <w:rFonts w:ascii="Arial" w:hAnsi="Arial" w:cs="Arial"/>
        </w:rPr>
        <w:t>product availability</w:t>
      </w:r>
      <w:r>
        <w:rPr>
          <w:rFonts w:ascii="Arial" w:hAnsi="Arial" w:cs="Arial"/>
        </w:rPr>
        <w:t xml:space="preserve"> </w:t>
      </w:r>
      <w:r w:rsidR="0031499B">
        <w:rPr>
          <w:rFonts w:ascii="Arial" w:hAnsi="Arial" w:cs="Arial"/>
        </w:rPr>
        <w:t>for customers</w:t>
      </w:r>
      <w:r w:rsidR="00CB14FC">
        <w:rPr>
          <w:rFonts w:ascii="Arial" w:hAnsi="Arial" w:cs="Arial"/>
        </w:rPr>
        <w:t>.</w:t>
      </w:r>
      <w:r w:rsidR="000B7DFF" w:rsidRPr="000B7DFF">
        <w:rPr>
          <w:rFonts w:ascii="Arial" w:hAnsi="Arial" w:cs="Arial"/>
        </w:rPr>
        <w:t xml:space="preserve"> </w:t>
      </w:r>
      <w:r>
        <w:rPr>
          <w:rFonts w:ascii="Arial" w:hAnsi="Arial" w:cs="Arial"/>
        </w:rPr>
        <w:t xml:space="preserve">Stock reduction plans are in place for FY 18/19 to reduce this </w:t>
      </w:r>
      <w:r w:rsidR="00CB14FC">
        <w:rPr>
          <w:rFonts w:ascii="Arial" w:hAnsi="Arial" w:cs="Arial"/>
        </w:rPr>
        <w:t>mitigation</w:t>
      </w:r>
      <w:r>
        <w:rPr>
          <w:rFonts w:ascii="Arial" w:hAnsi="Arial" w:cs="Arial"/>
        </w:rPr>
        <w:t xml:space="preserve"> stock</w:t>
      </w:r>
      <w:r w:rsidR="00ED28D9">
        <w:rPr>
          <w:rFonts w:ascii="Arial" w:hAnsi="Arial" w:cs="Arial"/>
        </w:rPr>
        <w:t xml:space="preserve">. </w:t>
      </w:r>
      <w:r>
        <w:rPr>
          <w:rFonts w:ascii="Arial" w:hAnsi="Arial" w:cs="Arial"/>
        </w:rPr>
        <w:t xml:space="preserve"> </w:t>
      </w:r>
    </w:p>
    <w:bookmarkEnd w:id="38"/>
    <w:p w14:paraId="1348765B" w14:textId="77777777" w:rsidR="000B7DFF" w:rsidRDefault="000B7DFF" w:rsidP="000B7DFF">
      <w:pPr>
        <w:jc w:val="left"/>
        <w:rPr>
          <w:rFonts w:ascii="Arial" w:hAnsi="Arial" w:cs="Arial"/>
        </w:rPr>
      </w:pPr>
    </w:p>
    <w:p w14:paraId="26382A31" w14:textId="293D497A" w:rsidR="000B7DFF" w:rsidRPr="0018703F" w:rsidRDefault="000B7DFF" w:rsidP="000B7DFF">
      <w:pPr>
        <w:jc w:val="left"/>
        <w:rPr>
          <w:rFonts w:ascii="Arial" w:hAnsi="Arial" w:cs="Arial"/>
          <w:highlight w:val="yellow"/>
        </w:rPr>
      </w:pPr>
      <w:r w:rsidRPr="00FC41B5">
        <w:rPr>
          <w:rFonts w:ascii="Arial" w:hAnsi="Arial" w:cs="Arial"/>
        </w:rPr>
        <w:t>Gross capital expenditure for the year was £36</w:t>
      </w:r>
      <w:r>
        <w:rPr>
          <w:rFonts w:ascii="Arial" w:hAnsi="Arial" w:cs="Arial"/>
        </w:rPr>
        <w:t>8</w:t>
      </w:r>
      <w:r w:rsidRPr="00FC41B5">
        <w:rPr>
          <w:rFonts w:ascii="Arial" w:hAnsi="Arial" w:cs="Arial"/>
        </w:rPr>
        <w:t xml:space="preserve"> million (2016/17: £406 million). </w:t>
      </w:r>
      <w:r w:rsidRPr="002146A2">
        <w:rPr>
          <w:rFonts w:ascii="Arial" w:hAnsi="Arial" w:cs="Arial"/>
        </w:rPr>
        <w:t>Of this around 3</w:t>
      </w:r>
      <w:r>
        <w:rPr>
          <w:rFonts w:ascii="Arial" w:hAnsi="Arial" w:cs="Arial"/>
        </w:rPr>
        <w:t>0</w:t>
      </w:r>
      <w:r w:rsidRPr="002146A2">
        <w:rPr>
          <w:rFonts w:ascii="Arial" w:hAnsi="Arial" w:cs="Arial"/>
        </w:rPr>
        <w:t xml:space="preserve">% was invested on refreshing and maintaining existing stores, 21% on new stores, 23% on IT, </w:t>
      </w:r>
      <w:r w:rsidRPr="00AD4DA7">
        <w:rPr>
          <w:rFonts w:ascii="Arial" w:hAnsi="Arial" w:cs="Arial"/>
        </w:rPr>
        <w:t>18% on the transformation</w:t>
      </w:r>
      <w:r w:rsidRPr="002146A2">
        <w:rPr>
          <w:rFonts w:ascii="Arial" w:hAnsi="Arial" w:cs="Arial"/>
        </w:rPr>
        <w:t xml:space="preserve"> and 8% on other </w:t>
      </w:r>
      <w:r w:rsidR="00AD4DA7">
        <w:rPr>
          <w:rFonts w:ascii="Arial" w:hAnsi="Arial" w:cs="Arial"/>
        </w:rPr>
        <w:t xml:space="preserve">areas </w:t>
      </w:r>
      <w:r w:rsidRPr="002146A2">
        <w:rPr>
          <w:rFonts w:ascii="Arial" w:hAnsi="Arial" w:cs="Arial"/>
        </w:rPr>
        <w:t>includ</w:t>
      </w:r>
      <w:r w:rsidR="00AD4DA7">
        <w:rPr>
          <w:rFonts w:ascii="Arial" w:hAnsi="Arial" w:cs="Arial"/>
        </w:rPr>
        <w:t>ing</w:t>
      </w:r>
      <w:r w:rsidRPr="002146A2">
        <w:rPr>
          <w:rFonts w:ascii="Arial" w:hAnsi="Arial" w:cs="Arial"/>
        </w:rPr>
        <w:t xml:space="preserve"> supply chain</w:t>
      </w:r>
      <w:r w:rsidR="00AD4DA7">
        <w:rPr>
          <w:rFonts w:ascii="Arial" w:hAnsi="Arial" w:cs="Arial"/>
        </w:rPr>
        <w:t xml:space="preserve"> investment</w:t>
      </w:r>
      <w:r w:rsidRPr="002146A2">
        <w:rPr>
          <w:rFonts w:ascii="Arial" w:hAnsi="Arial" w:cs="Arial"/>
        </w:rPr>
        <w:t xml:space="preserve">. </w:t>
      </w:r>
    </w:p>
    <w:p w14:paraId="27CFFAD0" w14:textId="77777777" w:rsidR="00A4154E" w:rsidRDefault="00A4154E" w:rsidP="00997637">
      <w:pPr>
        <w:jc w:val="left"/>
        <w:rPr>
          <w:rFonts w:ascii="Arial" w:hAnsi="Arial" w:cs="Arial"/>
        </w:rPr>
      </w:pPr>
    </w:p>
    <w:p w14:paraId="34DD9853" w14:textId="2F3890AF" w:rsidR="00997637" w:rsidRDefault="000B7DFF" w:rsidP="00997637">
      <w:pPr>
        <w:jc w:val="left"/>
        <w:rPr>
          <w:rFonts w:ascii="Arial" w:hAnsi="Arial" w:cs="Arial"/>
          <w:b/>
          <w:sz w:val="24"/>
          <w:szCs w:val="24"/>
        </w:rPr>
      </w:pPr>
      <w:r>
        <w:rPr>
          <w:rFonts w:ascii="Arial" w:hAnsi="Arial" w:cs="Arial"/>
        </w:rPr>
        <w:t>This resulted in f</w:t>
      </w:r>
      <w:r w:rsidR="00997637" w:rsidRPr="00D978CF">
        <w:rPr>
          <w:rFonts w:ascii="Arial" w:hAnsi="Arial" w:cs="Arial"/>
        </w:rPr>
        <w:t>ree cash flow of £</w:t>
      </w:r>
      <w:r w:rsidR="000E602D">
        <w:rPr>
          <w:rFonts w:ascii="Arial" w:hAnsi="Arial" w:cs="Arial"/>
        </w:rPr>
        <w:t>6</w:t>
      </w:r>
      <w:r w:rsidR="00071D72" w:rsidRPr="00D978CF" w:rsidDel="00F44930">
        <w:rPr>
          <w:rFonts w:ascii="Arial" w:hAnsi="Arial" w:cs="Arial"/>
        </w:rPr>
        <w:t xml:space="preserve"> </w:t>
      </w:r>
      <w:r w:rsidR="00997637" w:rsidRPr="00D978CF">
        <w:rPr>
          <w:rFonts w:ascii="Arial" w:hAnsi="Arial" w:cs="Arial"/>
        </w:rPr>
        <w:t>million.</w:t>
      </w:r>
      <w:r>
        <w:rPr>
          <w:rFonts w:ascii="Arial" w:hAnsi="Arial" w:cs="Arial"/>
        </w:rPr>
        <w:t xml:space="preserve"> </w:t>
      </w:r>
      <w:r w:rsidR="00997637" w:rsidRPr="002146A2">
        <w:rPr>
          <w:rFonts w:ascii="Arial" w:hAnsi="Arial" w:cs="Arial"/>
        </w:rPr>
        <w:t>£</w:t>
      </w:r>
      <w:r w:rsidR="009165EA" w:rsidRPr="002146A2">
        <w:rPr>
          <w:rFonts w:ascii="Arial" w:hAnsi="Arial" w:cs="Arial"/>
        </w:rPr>
        <w:t>49</w:t>
      </w:r>
      <w:r w:rsidR="00071D72">
        <w:rPr>
          <w:rFonts w:ascii="Arial" w:hAnsi="Arial" w:cs="Arial"/>
        </w:rPr>
        <w:t>1</w:t>
      </w:r>
      <w:r w:rsidR="009165EA" w:rsidRPr="002146A2">
        <w:rPr>
          <w:rFonts w:ascii="Arial" w:hAnsi="Arial" w:cs="Arial"/>
        </w:rPr>
        <w:t xml:space="preserve"> </w:t>
      </w:r>
      <w:r w:rsidR="00997637" w:rsidRPr="002146A2">
        <w:rPr>
          <w:rFonts w:ascii="Arial" w:hAnsi="Arial" w:cs="Arial"/>
        </w:rPr>
        <w:t>million was returned to shareholders in the form of the ordinary dividend and share buybacks</w:t>
      </w:r>
      <w:r w:rsidR="00F4631D">
        <w:rPr>
          <w:rFonts w:ascii="Arial" w:hAnsi="Arial" w:cs="Arial"/>
        </w:rPr>
        <w:t>, an increase of £61 million on last year.</w:t>
      </w:r>
      <w:r w:rsidR="00997637" w:rsidRPr="00686C6E">
        <w:rPr>
          <w:rFonts w:ascii="Arial" w:hAnsi="Arial" w:cs="Arial"/>
        </w:rPr>
        <w:t xml:space="preserve"> </w:t>
      </w:r>
    </w:p>
    <w:p w14:paraId="34296CCA" w14:textId="77777777" w:rsidR="00997637" w:rsidRPr="00D978CF" w:rsidRDefault="00997637" w:rsidP="00D978CF">
      <w:pPr>
        <w:jc w:val="left"/>
        <w:rPr>
          <w:rFonts w:ascii="Arial" w:hAnsi="Arial" w:cs="Arial"/>
          <w:sz w:val="24"/>
          <w:szCs w:val="24"/>
        </w:rPr>
      </w:pPr>
    </w:p>
    <w:p w14:paraId="40B89FF8" w14:textId="5A3D8A92" w:rsidR="004C6511" w:rsidRDefault="004C6511" w:rsidP="004C6511">
      <w:pPr>
        <w:jc w:val="left"/>
        <w:rPr>
          <w:rFonts w:ascii="Arial" w:hAnsi="Arial" w:cs="Arial"/>
          <w:szCs w:val="24"/>
        </w:rPr>
      </w:pPr>
      <w:bookmarkStart w:id="40" w:name="_Hlk506474968"/>
      <w:r w:rsidRPr="00633BE2">
        <w:rPr>
          <w:rFonts w:ascii="Arial" w:hAnsi="Arial" w:cs="Arial"/>
          <w:szCs w:val="24"/>
        </w:rPr>
        <w:t xml:space="preserve">On 1 August 2017, the Group signed an agreement to purchase 100% of the shares in </w:t>
      </w:r>
      <w:proofErr w:type="spellStart"/>
      <w:r w:rsidRPr="00633BE2">
        <w:rPr>
          <w:rFonts w:ascii="Arial" w:hAnsi="Arial" w:cs="Arial"/>
          <w:szCs w:val="24"/>
        </w:rPr>
        <w:t>Praktiker</w:t>
      </w:r>
      <w:proofErr w:type="spellEnd"/>
      <w:r w:rsidRPr="00633BE2">
        <w:rPr>
          <w:rFonts w:ascii="Arial" w:hAnsi="Arial" w:cs="Arial"/>
          <w:szCs w:val="24"/>
        </w:rPr>
        <w:t xml:space="preserve"> Romania S</w:t>
      </w:r>
      <w:r w:rsidR="00DA2A00">
        <w:rPr>
          <w:rFonts w:ascii="Arial" w:hAnsi="Arial" w:cs="Arial"/>
          <w:szCs w:val="24"/>
        </w:rPr>
        <w:t>.</w:t>
      </w:r>
      <w:r w:rsidR="004368FD">
        <w:rPr>
          <w:rFonts w:ascii="Arial" w:hAnsi="Arial" w:cs="Arial"/>
          <w:szCs w:val="24"/>
        </w:rPr>
        <w:t>A</w:t>
      </w:r>
      <w:r w:rsidR="00DA2A00">
        <w:rPr>
          <w:rFonts w:ascii="Arial" w:hAnsi="Arial" w:cs="Arial"/>
          <w:szCs w:val="24"/>
        </w:rPr>
        <w:t>.</w:t>
      </w:r>
      <w:r w:rsidRPr="00633BE2">
        <w:rPr>
          <w:rFonts w:ascii="Arial" w:hAnsi="Arial" w:cs="Arial"/>
          <w:szCs w:val="24"/>
        </w:rPr>
        <w:t>, a Romanian home improvement</w:t>
      </w:r>
      <w:r>
        <w:rPr>
          <w:rFonts w:ascii="Arial" w:hAnsi="Arial" w:cs="Arial"/>
          <w:szCs w:val="24"/>
        </w:rPr>
        <w:t xml:space="preserve"> company</w:t>
      </w:r>
      <w:r w:rsidRPr="00633BE2">
        <w:rPr>
          <w:rFonts w:ascii="Arial" w:hAnsi="Arial" w:cs="Arial"/>
          <w:szCs w:val="24"/>
        </w:rPr>
        <w:t xml:space="preserve">. </w:t>
      </w:r>
      <w:r>
        <w:rPr>
          <w:rFonts w:ascii="Arial" w:hAnsi="Arial" w:cs="Arial"/>
          <w:szCs w:val="24"/>
        </w:rPr>
        <w:t xml:space="preserve">Following </w:t>
      </w:r>
      <w:r w:rsidRPr="00633BE2">
        <w:rPr>
          <w:rFonts w:ascii="Arial" w:hAnsi="Arial" w:cs="Arial"/>
          <w:szCs w:val="24"/>
        </w:rPr>
        <w:t>regulatory approval, the transaction complete</w:t>
      </w:r>
      <w:r>
        <w:rPr>
          <w:rFonts w:ascii="Arial" w:hAnsi="Arial" w:cs="Arial"/>
          <w:szCs w:val="24"/>
        </w:rPr>
        <w:t>d</w:t>
      </w:r>
      <w:r w:rsidRPr="00633BE2">
        <w:rPr>
          <w:rFonts w:ascii="Arial" w:hAnsi="Arial" w:cs="Arial"/>
          <w:szCs w:val="24"/>
        </w:rPr>
        <w:t xml:space="preserve"> </w:t>
      </w:r>
      <w:r w:rsidR="00AB0F78">
        <w:rPr>
          <w:rFonts w:ascii="Arial" w:hAnsi="Arial" w:cs="Arial"/>
          <w:szCs w:val="24"/>
        </w:rPr>
        <w:t>on 30 November</w:t>
      </w:r>
      <w:r w:rsidRPr="00633BE2">
        <w:rPr>
          <w:rFonts w:ascii="Arial" w:hAnsi="Arial" w:cs="Arial"/>
          <w:szCs w:val="24"/>
        </w:rPr>
        <w:t xml:space="preserve"> </w:t>
      </w:r>
      <w:r>
        <w:rPr>
          <w:rFonts w:ascii="Arial" w:hAnsi="Arial" w:cs="Arial"/>
          <w:szCs w:val="24"/>
        </w:rPr>
        <w:t>2017 for net consideration (including</w:t>
      </w:r>
      <w:r w:rsidR="000E602D">
        <w:rPr>
          <w:rFonts w:ascii="Arial" w:hAnsi="Arial" w:cs="Arial"/>
          <w:szCs w:val="24"/>
        </w:rPr>
        <w:t xml:space="preserve"> net</w:t>
      </w:r>
      <w:r>
        <w:rPr>
          <w:rFonts w:ascii="Arial" w:hAnsi="Arial" w:cs="Arial"/>
          <w:szCs w:val="24"/>
        </w:rPr>
        <w:t xml:space="preserve"> debt) of £19 million. </w:t>
      </w:r>
    </w:p>
    <w:p w14:paraId="2A8B6544" w14:textId="33224E48" w:rsidR="004C6511" w:rsidRPr="00D978CF" w:rsidRDefault="004C6511" w:rsidP="00997637">
      <w:pPr>
        <w:jc w:val="left"/>
        <w:rPr>
          <w:rFonts w:ascii="Arial" w:hAnsi="Arial" w:cs="Arial"/>
        </w:rPr>
      </w:pPr>
    </w:p>
    <w:p w14:paraId="02884AE9" w14:textId="77777777" w:rsidR="00831D15" w:rsidRDefault="00831D15" w:rsidP="00997637">
      <w:pPr>
        <w:jc w:val="left"/>
        <w:rPr>
          <w:rFonts w:ascii="Arial" w:hAnsi="Arial" w:cs="Arial"/>
          <w:b/>
        </w:rPr>
      </w:pPr>
    </w:p>
    <w:p w14:paraId="343F438C" w14:textId="1D23D3FD" w:rsidR="00997637" w:rsidRPr="00A845B7" w:rsidRDefault="00997637" w:rsidP="00997637">
      <w:pPr>
        <w:jc w:val="left"/>
        <w:rPr>
          <w:rFonts w:ascii="Arial" w:hAnsi="Arial" w:cs="Arial"/>
          <w:b/>
        </w:rPr>
      </w:pPr>
      <w:r w:rsidRPr="00A845B7">
        <w:rPr>
          <w:rFonts w:ascii="Arial" w:hAnsi="Arial" w:cs="Arial"/>
          <w:b/>
        </w:rPr>
        <w:lastRenderedPageBreak/>
        <w:t>Management of balance sheet and liquidity risk and financing</w:t>
      </w:r>
    </w:p>
    <w:p w14:paraId="7A0F143E" w14:textId="77777777" w:rsidR="00997637" w:rsidRPr="00A03549" w:rsidRDefault="00997637" w:rsidP="00997637">
      <w:pPr>
        <w:jc w:val="left"/>
        <w:rPr>
          <w:rFonts w:ascii="Arial" w:hAnsi="Arial" w:cs="Arial"/>
          <w:b/>
          <w:sz w:val="24"/>
        </w:rPr>
      </w:pPr>
    </w:p>
    <w:p w14:paraId="2F888C2E" w14:textId="56E759FC" w:rsidR="00997637" w:rsidRPr="00686C6E" w:rsidRDefault="00997637" w:rsidP="00997637">
      <w:pPr>
        <w:jc w:val="left"/>
        <w:rPr>
          <w:rFonts w:ascii="Arial" w:hAnsi="Arial" w:cs="Arial"/>
        </w:rPr>
      </w:pPr>
      <w:r w:rsidRPr="00FC41B5">
        <w:rPr>
          <w:rFonts w:ascii="Arial" w:hAnsi="Arial" w:cs="Arial"/>
        </w:rPr>
        <w:t>The Group finished the year with £</w:t>
      </w:r>
      <w:r w:rsidR="004F03F0" w:rsidRPr="00FC41B5">
        <w:rPr>
          <w:rFonts w:ascii="Arial" w:hAnsi="Arial" w:cs="Arial"/>
        </w:rPr>
        <w:t xml:space="preserve">68 </w:t>
      </w:r>
      <w:r w:rsidRPr="00FC41B5">
        <w:rPr>
          <w:rFonts w:ascii="Arial" w:hAnsi="Arial" w:cs="Arial"/>
        </w:rPr>
        <w:t>million of net cash on the balance sheet. However, the Group’s overall leverage is more significant when including capitalised lease debt that</w:t>
      </w:r>
      <w:r w:rsidR="00AD4DA7">
        <w:rPr>
          <w:rFonts w:ascii="Arial" w:hAnsi="Arial" w:cs="Arial"/>
        </w:rPr>
        <w:t>,</w:t>
      </w:r>
      <w:r w:rsidRPr="00FC41B5">
        <w:rPr>
          <w:rFonts w:ascii="Arial" w:hAnsi="Arial" w:cs="Arial"/>
        </w:rPr>
        <w:t xml:space="preserve"> in accordanc</w:t>
      </w:r>
      <w:r w:rsidR="00B019FB" w:rsidRPr="00FC41B5">
        <w:rPr>
          <w:rFonts w:ascii="Arial" w:hAnsi="Arial" w:cs="Arial"/>
        </w:rPr>
        <w:t>e with accounting standards do</w:t>
      </w:r>
      <w:r w:rsidR="004754EE" w:rsidRPr="00FC41B5">
        <w:rPr>
          <w:rFonts w:ascii="Arial" w:hAnsi="Arial" w:cs="Arial"/>
        </w:rPr>
        <w:t>es</w:t>
      </w:r>
      <w:r w:rsidRPr="00FC41B5">
        <w:rPr>
          <w:rFonts w:ascii="Arial" w:hAnsi="Arial" w:cs="Arial"/>
        </w:rPr>
        <w:t xml:space="preserve"> not appear on the balance sheet. The ratio of the Group’s lease adjusted net debt (capitalising leases at 8 times annual rent) to EBITDAR* is </w:t>
      </w:r>
      <w:r w:rsidR="00E4534B" w:rsidRPr="00FC41B5">
        <w:rPr>
          <w:rFonts w:ascii="Arial" w:hAnsi="Arial" w:cs="Arial"/>
        </w:rPr>
        <w:t>2</w:t>
      </w:r>
      <w:r w:rsidRPr="00FC41B5">
        <w:rPr>
          <w:rFonts w:ascii="Arial" w:hAnsi="Arial" w:cs="Arial"/>
        </w:rPr>
        <w:t>.</w:t>
      </w:r>
      <w:r w:rsidR="00E4534B" w:rsidRPr="00FC41B5">
        <w:rPr>
          <w:rFonts w:ascii="Arial" w:hAnsi="Arial" w:cs="Arial"/>
        </w:rPr>
        <w:t xml:space="preserve">4 </w:t>
      </w:r>
      <w:r w:rsidRPr="00FC41B5">
        <w:rPr>
          <w:rFonts w:ascii="Arial" w:hAnsi="Arial" w:cs="Arial"/>
        </w:rPr>
        <w:t>times as at 31 January 201</w:t>
      </w:r>
      <w:r w:rsidR="004A1C1F" w:rsidRPr="00FC41B5">
        <w:rPr>
          <w:rFonts w:ascii="Arial" w:hAnsi="Arial" w:cs="Arial"/>
        </w:rPr>
        <w:t>8</w:t>
      </w:r>
      <w:r w:rsidR="00FA08D9" w:rsidRPr="00FC41B5">
        <w:rPr>
          <w:rFonts w:ascii="Arial" w:hAnsi="Arial" w:cs="Arial"/>
        </w:rPr>
        <w:t xml:space="preserve"> (</w:t>
      </w:r>
      <w:r w:rsidR="00355EF2" w:rsidRPr="00FC41B5">
        <w:rPr>
          <w:rFonts w:ascii="Arial" w:hAnsi="Arial" w:cs="Arial"/>
        </w:rPr>
        <w:t>1</w:t>
      </w:r>
      <w:r w:rsidR="00FA08D9" w:rsidRPr="00FC41B5">
        <w:rPr>
          <w:rFonts w:ascii="Arial" w:hAnsi="Arial" w:cs="Arial"/>
        </w:rPr>
        <w:t>.</w:t>
      </w:r>
      <w:r w:rsidR="00355EF2" w:rsidRPr="00FC41B5">
        <w:rPr>
          <w:rFonts w:ascii="Arial" w:hAnsi="Arial" w:cs="Arial"/>
        </w:rPr>
        <w:t>8</w:t>
      </w:r>
      <w:r w:rsidR="00FA08D9" w:rsidRPr="00FC41B5">
        <w:rPr>
          <w:rFonts w:ascii="Arial" w:hAnsi="Arial" w:cs="Arial"/>
        </w:rPr>
        <w:t xml:space="preserve">x at </w:t>
      </w:r>
      <w:r w:rsidR="00355EF2" w:rsidRPr="00FC41B5">
        <w:rPr>
          <w:rFonts w:ascii="Arial" w:hAnsi="Arial" w:cs="Arial"/>
        </w:rPr>
        <w:t xml:space="preserve">31 </w:t>
      </w:r>
      <w:r w:rsidR="00FA08D9" w:rsidRPr="00FC41B5">
        <w:rPr>
          <w:rFonts w:ascii="Arial" w:hAnsi="Arial" w:cs="Arial"/>
        </w:rPr>
        <w:t>January 201</w:t>
      </w:r>
      <w:r w:rsidR="00355EF2" w:rsidRPr="00FC41B5">
        <w:rPr>
          <w:rFonts w:ascii="Arial" w:hAnsi="Arial" w:cs="Arial"/>
        </w:rPr>
        <w:t>7</w:t>
      </w:r>
      <w:r w:rsidR="00FA08D9" w:rsidRPr="00FC41B5">
        <w:rPr>
          <w:rFonts w:ascii="Arial" w:hAnsi="Arial" w:cs="Arial"/>
        </w:rPr>
        <w:t>)</w:t>
      </w:r>
      <w:r w:rsidRPr="00FC41B5">
        <w:rPr>
          <w:rFonts w:ascii="Arial" w:hAnsi="Arial" w:cs="Arial"/>
        </w:rPr>
        <w:t>. At this level the Group has financial flexibility whilst retaining an efficient cost of capital.</w:t>
      </w:r>
    </w:p>
    <w:p w14:paraId="20D40E7F" w14:textId="77777777" w:rsidR="004C6511" w:rsidRDefault="004C6511">
      <w:pPr>
        <w:jc w:val="left"/>
        <w:rPr>
          <w:rFonts w:ascii="Arial" w:hAnsi="Arial" w:cs="Arial"/>
          <w:sz w:val="24"/>
          <w:szCs w:val="24"/>
        </w:rPr>
      </w:pPr>
    </w:p>
    <w:p w14:paraId="72DABE80" w14:textId="77777777" w:rsidR="00997637" w:rsidRPr="00686C6E" w:rsidRDefault="00997637" w:rsidP="00997637">
      <w:pPr>
        <w:jc w:val="left"/>
        <w:rPr>
          <w:rFonts w:ascii="Arial" w:hAnsi="Arial" w:cs="Arial"/>
        </w:rPr>
      </w:pPr>
      <w:r w:rsidRPr="00686C6E">
        <w:rPr>
          <w:rFonts w:ascii="Arial" w:hAnsi="Arial" w:cs="Arial"/>
        </w:rPr>
        <w:t>A reconciliation of lease adjusted net debt to EBITDAR is set out below:</w:t>
      </w:r>
    </w:p>
    <w:p w14:paraId="4CCB183B" w14:textId="77777777" w:rsidR="00997637" w:rsidRPr="00A03549" w:rsidRDefault="00997637" w:rsidP="00997637">
      <w:pPr>
        <w:jc w:val="left"/>
        <w:rPr>
          <w:rFonts w:ascii="Arial" w:hAnsi="Arial" w:cs="Arial"/>
          <w:sz w:val="24"/>
          <w:szCs w:val="24"/>
          <w:highlight w:val="lightGray"/>
        </w:rPr>
      </w:pPr>
    </w:p>
    <w:tbl>
      <w:tblPr>
        <w:tblW w:w="5000" w:type="pct"/>
        <w:tblInd w:w="98" w:type="dxa"/>
        <w:tblLayout w:type="fixed"/>
        <w:tblLook w:val="04A0" w:firstRow="1" w:lastRow="0" w:firstColumn="1" w:lastColumn="0" w:noHBand="0" w:noVBand="1"/>
      </w:tblPr>
      <w:tblGrid>
        <w:gridCol w:w="5154"/>
        <w:gridCol w:w="2785"/>
        <w:gridCol w:w="1702"/>
      </w:tblGrid>
      <w:tr w:rsidR="00997637" w:rsidRPr="00A845B7" w14:paraId="2D9A818A" w14:textId="77777777" w:rsidTr="00355EF2">
        <w:trPr>
          <w:trHeight w:val="555"/>
        </w:trPr>
        <w:tc>
          <w:tcPr>
            <w:tcW w:w="5154" w:type="dxa"/>
            <w:vAlign w:val="bottom"/>
          </w:tcPr>
          <w:p w14:paraId="266D6048" w14:textId="77777777" w:rsidR="00997637" w:rsidRPr="00A845B7" w:rsidRDefault="00997637" w:rsidP="00F24C8A">
            <w:pPr>
              <w:jc w:val="left"/>
              <w:rPr>
                <w:rFonts w:ascii="Arial" w:hAnsi="Arial" w:cs="Arial"/>
                <w:bCs/>
              </w:rPr>
            </w:pPr>
            <w:bookmarkStart w:id="41" w:name="_Hlk508973311"/>
          </w:p>
        </w:tc>
        <w:tc>
          <w:tcPr>
            <w:tcW w:w="2785" w:type="dxa"/>
            <w:vAlign w:val="bottom"/>
            <w:hideMark/>
          </w:tcPr>
          <w:p w14:paraId="4D13839F" w14:textId="14C6A296" w:rsidR="00997637" w:rsidRPr="00A845B7" w:rsidRDefault="00997637" w:rsidP="00F24C8A">
            <w:pPr>
              <w:jc w:val="right"/>
              <w:rPr>
                <w:rFonts w:ascii="Arial" w:hAnsi="Arial" w:cs="Arial"/>
                <w:b/>
                <w:bCs/>
              </w:rPr>
            </w:pPr>
            <w:r w:rsidRPr="00A845B7">
              <w:rPr>
                <w:rFonts w:ascii="Arial" w:hAnsi="Arial" w:cs="Arial"/>
                <w:b/>
                <w:bCs/>
              </w:rPr>
              <w:t>201</w:t>
            </w:r>
            <w:r w:rsidR="00355EF2">
              <w:rPr>
                <w:rFonts w:ascii="Arial" w:hAnsi="Arial" w:cs="Arial"/>
                <w:b/>
                <w:bCs/>
              </w:rPr>
              <w:t>7</w:t>
            </w:r>
            <w:r w:rsidRPr="00A845B7">
              <w:rPr>
                <w:rFonts w:ascii="Arial" w:hAnsi="Arial" w:cs="Arial"/>
                <w:b/>
                <w:bCs/>
              </w:rPr>
              <w:t>/1</w:t>
            </w:r>
            <w:r w:rsidR="00355EF2">
              <w:rPr>
                <w:rFonts w:ascii="Arial" w:hAnsi="Arial" w:cs="Arial"/>
                <w:b/>
                <w:bCs/>
              </w:rPr>
              <w:t>8</w:t>
            </w:r>
          </w:p>
          <w:p w14:paraId="00AD3FF6" w14:textId="77777777" w:rsidR="00997637" w:rsidRPr="00A845B7" w:rsidRDefault="00997637" w:rsidP="00F24C8A">
            <w:pPr>
              <w:jc w:val="right"/>
              <w:rPr>
                <w:rFonts w:ascii="Arial" w:hAnsi="Arial" w:cs="Arial"/>
                <w:b/>
                <w:bCs/>
              </w:rPr>
            </w:pPr>
            <w:r w:rsidRPr="00A845B7">
              <w:rPr>
                <w:rFonts w:ascii="Arial" w:hAnsi="Arial" w:cs="Arial"/>
                <w:b/>
                <w:bCs/>
              </w:rPr>
              <w:t>£m</w:t>
            </w:r>
          </w:p>
        </w:tc>
        <w:tc>
          <w:tcPr>
            <w:tcW w:w="1702" w:type="dxa"/>
            <w:vAlign w:val="bottom"/>
            <w:hideMark/>
          </w:tcPr>
          <w:p w14:paraId="117B61A3" w14:textId="33C125EF" w:rsidR="00997637" w:rsidRPr="00A845B7" w:rsidRDefault="00997637" w:rsidP="00F24C8A">
            <w:pPr>
              <w:jc w:val="right"/>
              <w:rPr>
                <w:rFonts w:ascii="Arial" w:hAnsi="Arial" w:cs="Arial"/>
                <w:bCs/>
                <w:vertAlign w:val="superscript"/>
              </w:rPr>
            </w:pPr>
            <w:r w:rsidRPr="00A845B7">
              <w:rPr>
                <w:rFonts w:ascii="Arial" w:hAnsi="Arial" w:cs="Arial"/>
                <w:bCs/>
              </w:rPr>
              <w:t>201</w:t>
            </w:r>
            <w:r w:rsidR="00355EF2">
              <w:rPr>
                <w:rFonts w:ascii="Arial" w:hAnsi="Arial" w:cs="Arial"/>
                <w:bCs/>
              </w:rPr>
              <w:t>6</w:t>
            </w:r>
            <w:r w:rsidRPr="00A845B7">
              <w:rPr>
                <w:rFonts w:ascii="Arial" w:hAnsi="Arial" w:cs="Arial"/>
                <w:bCs/>
              </w:rPr>
              <w:t>/1</w:t>
            </w:r>
            <w:r w:rsidR="00355EF2">
              <w:rPr>
                <w:rFonts w:ascii="Arial" w:hAnsi="Arial" w:cs="Arial"/>
                <w:bCs/>
              </w:rPr>
              <w:t>7</w:t>
            </w:r>
          </w:p>
          <w:p w14:paraId="455D7691" w14:textId="77777777" w:rsidR="00997637" w:rsidRPr="00A845B7" w:rsidRDefault="00997637" w:rsidP="00F24C8A">
            <w:pPr>
              <w:jc w:val="right"/>
              <w:rPr>
                <w:rFonts w:ascii="Arial" w:hAnsi="Arial" w:cs="Arial"/>
                <w:bCs/>
              </w:rPr>
            </w:pPr>
            <w:r w:rsidRPr="00A845B7">
              <w:rPr>
                <w:rFonts w:ascii="Arial" w:hAnsi="Arial" w:cs="Arial"/>
                <w:bCs/>
              </w:rPr>
              <w:t>£m</w:t>
            </w:r>
          </w:p>
        </w:tc>
      </w:tr>
      <w:tr w:rsidR="00610532" w:rsidRPr="00A845B7" w14:paraId="19CDB372" w14:textId="77777777" w:rsidTr="00BF593B">
        <w:trPr>
          <w:trHeight w:val="255"/>
        </w:trPr>
        <w:tc>
          <w:tcPr>
            <w:tcW w:w="5154" w:type="dxa"/>
            <w:tcBorders>
              <w:top w:val="single" w:sz="4" w:space="0" w:color="auto"/>
              <w:left w:val="nil"/>
              <w:right w:val="nil"/>
            </w:tcBorders>
            <w:shd w:val="clear" w:color="auto" w:fill="auto"/>
            <w:vAlign w:val="bottom"/>
          </w:tcPr>
          <w:p w14:paraId="2D8F8EA9" w14:textId="63FC5FD5" w:rsidR="00610532" w:rsidRPr="00574124" w:rsidRDefault="00610532" w:rsidP="00355EF2">
            <w:pPr>
              <w:rPr>
                <w:rFonts w:ascii="Arial" w:hAnsi="Arial" w:cs="Arial"/>
              </w:rPr>
            </w:pPr>
            <w:r>
              <w:rPr>
                <w:rFonts w:ascii="Arial" w:hAnsi="Arial" w:cs="Arial"/>
              </w:rPr>
              <w:t>Retail Profit</w:t>
            </w:r>
          </w:p>
        </w:tc>
        <w:tc>
          <w:tcPr>
            <w:tcW w:w="2785" w:type="dxa"/>
            <w:tcBorders>
              <w:top w:val="single" w:sz="4" w:space="0" w:color="auto"/>
              <w:left w:val="nil"/>
              <w:right w:val="nil"/>
            </w:tcBorders>
            <w:vAlign w:val="bottom"/>
          </w:tcPr>
          <w:p w14:paraId="7760BD89" w14:textId="1CEC2969" w:rsidR="00610532" w:rsidRPr="00FC41B5" w:rsidRDefault="00610532" w:rsidP="00355EF2">
            <w:pPr>
              <w:jc w:val="right"/>
              <w:rPr>
                <w:rFonts w:ascii="Arial" w:hAnsi="Arial" w:cs="Arial"/>
                <w:b/>
              </w:rPr>
            </w:pPr>
            <w:r>
              <w:rPr>
                <w:rFonts w:ascii="Arial" w:hAnsi="Arial" w:cs="Arial"/>
                <w:b/>
              </w:rPr>
              <w:t>849</w:t>
            </w:r>
          </w:p>
        </w:tc>
        <w:tc>
          <w:tcPr>
            <w:tcW w:w="1702" w:type="dxa"/>
            <w:tcBorders>
              <w:top w:val="single" w:sz="4" w:space="0" w:color="auto"/>
              <w:left w:val="nil"/>
              <w:right w:val="nil"/>
            </w:tcBorders>
            <w:vAlign w:val="bottom"/>
          </w:tcPr>
          <w:p w14:paraId="5554304C" w14:textId="0820BB50" w:rsidR="00610532" w:rsidRPr="0018703F" w:rsidRDefault="00610532" w:rsidP="00355EF2">
            <w:pPr>
              <w:jc w:val="right"/>
              <w:rPr>
                <w:rFonts w:ascii="Arial" w:hAnsi="Arial" w:cs="Arial"/>
              </w:rPr>
            </w:pPr>
            <w:r>
              <w:rPr>
                <w:rFonts w:ascii="Arial" w:hAnsi="Arial" w:cs="Arial"/>
              </w:rPr>
              <w:t>847</w:t>
            </w:r>
          </w:p>
        </w:tc>
      </w:tr>
      <w:tr w:rsidR="00852D54" w:rsidRPr="00A845B7" w14:paraId="325A7253" w14:textId="77777777" w:rsidTr="00BF593B">
        <w:trPr>
          <w:trHeight w:val="255"/>
        </w:trPr>
        <w:tc>
          <w:tcPr>
            <w:tcW w:w="5154" w:type="dxa"/>
            <w:tcBorders>
              <w:left w:val="nil"/>
              <w:bottom w:val="nil"/>
              <w:right w:val="nil"/>
            </w:tcBorders>
            <w:shd w:val="clear" w:color="auto" w:fill="auto"/>
            <w:vAlign w:val="bottom"/>
          </w:tcPr>
          <w:p w14:paraId="297DBCE5" w14:textId="53A44172" w:rsidR="00852D54" w:rsidRPr="00610532" w:rsidRDefault="00852D54" w:rsidP="00355EF2">
            <w:pPr>
              <w:rPr>
                <w:rFonts w:ascii="Arial" w:hAnsi="Arial" w:cs="Arial"/>
              </w:rPr>
            </w:pPr>
            <w:r>
              <w:rPr>
                <w:rFonts w:ascii="Arial" w:hAnsi="Arial" w:cs="Arial"/>
              </w:rPr>
              <w:t>Central costs</w:t>
            </w:r>
          </w:p>
        </w:tc>
        <w:tc>
          <w:tcPr>
            <w:tcW w:w="2785" w:type="dxa"/>
            <w:tcBorders>
              <w:left w:val="nil"/>
              <w:bottom w:val="nil"/>
              <w:right w:val="nil"/>
            </w:tcBorders>
            <w:vAlign w:val="bottom"/>
          </w:tcPr>
          <w:p w14:paraId="57C47010" w14:textId="302ED8BE" w:rsidR="00852D54" w:rsidRDefault="00852D54" w:rsidP="00355EF2">
            <w:pPr>
              <w:jc w:val="right"/>
              <w:rPr>
                <w:rFonts w:ascii="Arial" w:hAnsi="Arial" w:cs="Arial"/>
                <w:b/>
              </w:rPr>
            </w:pPr>
            <w:r>
              <w:rPr>
                <w:rFonts w:ascii="Arial" w:hAnsi="Arial" w:cs="Arial"/>
                <w:b/>
              </w:rPr>
              <w:t>(46)</w:t>
            </w:r>
          </w:p>
        </w:tc>
        <w:tc>
          <w:tcPr>
            <w:tcW w:w="1702" w:type="dxa"/>
            <w:tcBorders>
              <w:left w:val="nil"/>
              <w:bottom w:val="nil"/>
              <w:right w:val="nil"/>
            </w:tcBorders>
            <w:vAlign w:val="bottom"/>
          </w:tcPr>
          <w:p w14:paraId="260BEB9B" w14:textId="389290DC" w:rsidR="00852D54" w:rsidRDefault="00852D54" w:rsidP="00355EF2">
            <w:pPr>
              <w:jc w:val="right"/>
              <w:rPr>
                <w:rFonts w:ascii="Arial" w:hAnsi="Arial" w:cs="Arial"/>
              </w:rPr>
            </w:pPr>
            <w:r>
              <w:rPr>
                <w:rFonts w:ascii="Arial" w:hAnsi="Arial" w:cs="Arial"/>
              </w:rPr>
              <w:t>(48)</w:t>
            </w:r>
          </w:p>
        </w:tc>
      </w:tr>
      <w:tr w:rsidR="00610532" w:rsidRPr="00A845B7" w14:paraId="342B7C1B" w14:textId="77777777" w:rsidTr="00BF593B">
        <w:trPr>
          <w:trHeight w:val="255"/>
        </w:trPr>
        <w:tc>
          <w:tcPr>
            <w:tcW w:w="5154" w:type="dxa"/>
            <w:tcBorders>
              <w:left w:val="nil"/>
              <w:bottom w:val="nil"/>
              <w:right w:val="nil"/>
            </w:tcBorders>
            <w:shd w:val="clear" w:color="auto" w:fill="auto"/>
            <w:vAlign w:val="bottom"/>
          </w:tcPr>
          <w:p w14:paraId="0369DC1B" w14:textId="78A70CC4" w:rsidR="00610532" w:rsidRPr="00574124" w:rsidRDefault="00610532" w:rsidP="00355EF2">
            <w:pPr>
              <w:rPr>
                <w:rFonts w:ascii="Arial" w:hAnsi="Arial" w:cs="Arial"/>
              </w:rPr>
            </w:pPr>
            <w:r w:rsidRPr="00610532">
              <w:rPr>
                <w:rFonts w:ascii="Arial" w:hAnsi="Arial" w:cs="Arial"/>
              </w:rPr>
              <w:t xml:space="preserve">Transformation </w:t>
            </w:r>
            <w:r w:rsidR="00805A1F">
              <w:rPr>
                <w:rFonts w:ascii="Arial" w:hAnsi="Arial" w:cs="Arial"/>
              </w:rPr>
              <w:t xml:space="preserve">P&amp;L </w:t>
            </w:r>
            <w:r w:rsidRPr="00610532">
              <w:rPr>
                <w:rFonts w:ascii="Arial" w:hAnsi="Arial" w:cs="Arial"/>
              </w:rPr>
              <w:t>costs</w:t>
            </w:r>
          </w:p>
        </w:tc>
        <w:tc>
          <w:tcPr>
            <w:tcW w:w="2785" w:type="dxa"/>
            <w:tcBorders>
              <w:left w:val="nil"/>
              <w:bottom w:val="nil"/>
              <w:right w:val="nil"/>
            </w:tcBorders>
            <w:vAlign w:val="bottom"/>
          </w:tcPr>
          <w:p w14:paraId="0F2DBA6C" w14:textId="3EFF5133" w:rsidR="00610532" w:rsidRPr="00FC41B5" w:rsidRDefault="00610532" w:rsidP="00355EF2">
            <w:pPr>
              <w:jc w:val="right"/>
              <w:rPr>
                <w:rFonts w:ascii="Arial" w:hAnsi="Arial" w:cs="Arial"/>
                <w:b/>
              </w:rPr>
            </w:pPr>
            <w:r>
              <w:rPr>
                <w:rFonts w:ascii="Arial" w:hAnsi="Arial" w:cs="Arial"/>
                <w:b/>
              </w:rPr>
              <w:t>(1</w:t>
            </w:r>
            <w:r w:rsidR="00852D54">
              <w:rPr>
                <w:rFonts w:ascii="Arial" w:hAnsi="Arial" w:cs="Arial"/>
                <w:b/>
              </w:rPr>
              <w:t>14</w:t>
            </w:r>
            <w:r>
              <w:rPr>
                <w:rFonts w:ascii="Arial" w:hAnsi="Arial" w:cs="Arial"/>
                <w:b/>
              </w:rPr>
              <w:t>)</w:t>
            </w:r>
          </w:p>
        </w:tc>
        <w:tc>
          <w:tcPr>
            <w:tcW w:w="1702" w:type="dxa"/>
            <w:tcBorders>
              <w:left w:val="nil"/>
              <w:bottom w:val="nil"/>
              <w:right w:val="nil"/>
            </w:tcBorders>
            <w:vAlign w:val="bottom"/>
          </w:tcPr>
          <w:p w14:paraId="68558711" w14:textId="7B2FE289" w:rsidR="00610532" w:rsidRPr="0018703F" w:rsidRDefault="00610532" w:rsidP="00355EF2">
            <w:pPr>
              <w:jc w:val="right"/>
              <w:rPr>
                <w:rFonts w:ascii="Arial" w:hAnsi="Arial" w:cs="Arial"/>
              </w:rPr>
            </w:pPr>
            <w:r>
              <w:rPr>
                <w:rFonts w:ascii="Arial" w:hAnsi="Arial" w:cs="Arial"/>
              </w:rPr>
              <w:t>(</w:t>
            </w:r>
            <w:r w:rsidR="00852D54">
              <w:rPr>
                <w:rFonts w:ascii="Arial" w:hAnsi="Arial" w:cs="Arial"/>
              </w:rPr>
              <w:t>44</w:t>
            </w:r>
            <w:r>
              <w:rPr>
                <w:rFonts w:ascii="Arial" w:hAnsi="Arial" w:cs="Arial"/>
              </w:rPr>
              <w:t>)</w:t>
            </w:r>
          </w:p>
        </w:tc>
      </w:tr>
      <w:tr w:rsidR="00610532" w:rsidRPr="00A845B7" w14:paraId="44F9F8CE" w14:textId="77777777" w:rsidTr="00BF593B">
        <w:trPr>
          <w:trHeight w:val="255"/>
        </w:trPr>
        <w:tc>
          <w:tcPr>
            <w:tcW w:w="5154" w:type="dxa"/>
            <w:tcBorders>
              <w:left w:val="nil"/>
              <w:bottom w:val="nil"/>
              <w:right w:val="nil"/>
            </w:tcBorders>
            <w:shd w:val="clear" w:color="auto" w:fill="auto"/>
            <w:vAlign w:val="bottom"/>
          </w:tcPr>
          <w:p w14:paraId="432C6348" w14:textId="35716549" w:rsidR="00610532" w:rsidRPr="00574124" w:rsidRDefault="00610532" w:rsidP="00355EF2">
            <w:pPr>
              <w:rPr>
                <w:rFonts w:ascii="Arial" w:hAnsi="Arial" w:cs="Arial"/>
              </w:rPr>
            </w:pPr>
            <w:r w:rsidRPr="00610532">
              <w:rPr>
                <w:rFonts w:ascii="Arial" w:hAnsi="Arial" w:cs="Arial"/>
              </w:rPr>
              <w:t>Depreciation and Amortisation</w:t>
            </w:r>
          </w:p>
        </w:tc>
        <w:tc>
          <w:tcPr>
            <w:tcW w:w="2785" w:type="dxa"/>
            <w:tcBorders>
              <w:left w:val="nil"/>
              <w:bottom w:val="nil"/>
              <w:right w:val="nil"/>
            </w:tcBorders>
            <w:vAlign w:val="bottom"/>
          </w:tcPr>
          <w:p w14:paraId="18E993A8" w14:textId="46C66D66" w:rsidR="00610532" w:rsidRPr="00FC41B5" w:rsidRDefault="00610532" w:rsidP="00355EF2">
            <w:pPr>
              <w:jc w:val="right"/>
              <w:rPr>
                <w:rFonts w:ascii="Arial" w:hAnsi="Arial" w:cs="Arial"/>
                <w:b/>
              </w:rPr>
            </w:pPr>
            <w:r>
              <w:rPr>
                <w:rFonts w:ascii="Arial" w:hAnsi="Arial" w:cs="Arial"/>
                <w:b/>
              </w:rPr>
              <w:t>254</w:t>
            </w:r>
          </w:p>
        </w:tc>
        <w:tc>
          <w:tcPr>
            <w:tcW w:w="1702" w:type="dxa"/>
            <w:tcBorders>
              <w:left w:val="nil"/>
              <w:bottom w:val="nil"/>
              <w:right w:val="nil"/>
            </w:tcBorders>
            <w:vAlign w:val="bottom"/>
          </w:tcPr>
          <w:p w14:paraId="53D246FB" w14:textId="3B6BB120" w:rsidR="00610532" w:rsidRPr="0018703F" w:rsidRDefault="00610532" w:rsidP="00355EF2">
            <w:pPr>
              <w:jc w:val="right"/>
              <w:rPr>
                <w:rFonts w:ascii="Arial" w:hAnsi="Arial" w:cs="Arial"/>
              </w:rPr>
            </w:pPr>
            <w:r>
              <w:rPr>
                <w:rFonts w:ascii="Arial" w:hAnsi="Arial" w:cs="Arial"/>
              </w:rPr>
              <w:t>253</w:t>
            </w:r>
          </w:p>
        </w:tc>
      </w:tr>
      <w:tr w:rsidR="00355EF2" w:rsidRPr="00A845B7" w14:paraId="61516DD8" w14:textId="77777777" w:rsidTr="00355EF2">
        <w:trPr>
          <w:trHeight w:val="255"/>
        </w:trPr>
        <w:tc>
          <w:tcPr>
            <w:tcW w:w="5154" w:type="dxa"/>
            <w:tcBorders>
              <w:top w:val="single" w:sz="4" w:space="0" w:color="auto"/>
              <w:left w:val="nil"/>
              <w:bottom w:val="nil"/>
              <w:right w:val="nil"/>
            </w:tcBorders>
            <w:shd w:val="clear" w:color="auto" w:fill="auto"/>
            <w:vAlign w:val="bottom"/>
            <w:hideMark/>
          </w:tcPr>
          <w:p w14:paraId="1B6859A9" w14:textId="77777777" w:rsidR="00355EF2" w:rsidRPr="00BF593B" w:rsidRDefault="00355EF2" w:rsidP="00355EF2">
            <w:pPr>
              <w:rPr>
                <w:rFonts w:ascii="Arial" w:hAnsi="Arial" w:cs="Arial"/>
                <w:b/>
              </w:rPr>
            </w:pPr>
            <w:r w:rsidRPr="00BF593B">
              <w:rPr>
                <w:rFonts w:ascii="Arial" w:hAnsi="Arial" w:cs="Arial"/>
                <w:b/>
              </w:rPr>
              <w:t>EBITDA*</w:t>
            </w:r>
          </w:p>
        </w:tc>
        <w:tc>
          <w:tcPr>
            <w:tcW w:w="2785" w:type="dxa"/>
            <w:tcBorders>
              <w:top w:val="single" w:sz="4" w:space="0" w:color="auto"/>
              <w:left w:val="nil"/>
              <w:bottom w:val="nil"/>
              <w:right w:val="nil"/>
            </w:tcBorders>
            <w:vAlign w:val="bottom"/>
          </w:tcPr>
          <w:p w14:paraId="0D4469A9" w14:textId="05F9E37A" w:rsidR="00355EF2" w:rsidRPr="00FC41B5" w:rsidRDefault="00574124" w:rsidP="00355EF2">
            <w:pPr>
              <w:jc w:val="right"/>
              <w:rPr>
                <w:rFonts w:ascii="Arial" w:hAnsi="Arial" w:cs="Arial"/>
                <w:b/>
              </w:rPr>
            </w:pPr>
            <w:r w:rsidRPr="00FC41B5">
              <w:rPr>
                <w:rFonts w:ascii="Arial" w:hAnsi="Arial" w:cs="Arial"/>
                <w:b/>
              </w:rPr>
              <w:t>94</w:t>
            </w:r>
            <w:r w:rsidR="006766EB">
              <w:rPr>
                <w:rFonts w:ascii="Arial" w:hAnsi="Arial" w:cs="Arial"/>
                <w:b/>
              </w:rPr>
              <w:t>3</w:t>
            </w:r>
          </w:p>
        </w:tc>
        <w:tc>
          <w:tcPr>
            <w:tcW w:w="1702" w:type="dxa"/>
            <w:tcBorders>
              <w:top w:val="single" w:sz="4" w:space="0" w:color="auto"/>
              <w:left w:val="nil"/>
              <w:bottom w:val="nil"/>
              <w:right w:val="nil"/>
            </w:tcBorders>
            <w:vAlign w:val="bottom"/>
          </w:tcPr>
          <w:p w14:paraId="149633E4" w14:textId="20EC35ED" w:rsidR="00355EF2" w:rsidRPr="00355EF2" w:rsidRDefault="00355EF2" w:rsidP="00355EF2">
            <w:pPr>
              <w:jc w:val="right"/>
              <w:rPr>
                <w:rFonts w:ascii="Arial" w:hAnsi="Arial" w:cs="Arial"/>
              </w:rPr>
            </w:pPr>
            <w:r w:rsidRPr="0018703F">
              <w:rPr>
                <w:rFonts w:ascii="Arial" w:hAnsi="Arial" w:cs="Arial"/>
              </w:rPr>
              <w:t>1,008</w:t>
            </w:r>
          </w:p>
        </w:tc>
      </w:tr>
      <w:tr w:rsidR="00355EF2" w:rsidRPr="00A845B7" w14:paraId="67EA4D71" w14:textId="77777777" w:rsidTr="00355EF2">
        <w:trPr>
          <w:trHeight w:val="255"/>
        </w:trPr>
        <w:tc>
          <w:tcPr>
            <w:tcW w:w="5154" w:type="dxa"/>
            <w:tcBorders>
              <w:top w:val="nil"/>
              <w:left w:val="nil"/>
              <w:bottom w:val="single" w:sz="4" w:space="0" w:color="auto"/>
              <w:right w:val="nil"/>
            </w:tcBorders>
            <w:shd w:val="clear" w:color="auto" w:fill="auto"/>
            <w:vAlign w:val="bottom"/>
            <w:hideMark/>
          </w:tcPr>
          <w:p w14:paraId="0BEFE445" w14:textId="77777777" w:rsidR="00355EF2" w:rsidRPr="00574124" w:rsidRDefault="00355EF2" w:rsidP="00355EF2">
            <w:pPr>
              <w:rPr>
                <w:rFonts w:ascii="Arial" w:hAnsi="Arial" w:cs="Arial"/>
              </w:rPr>
            </w:pPr>
            <w:r w:rsidRPr="00574124">
              <w:rPr>
                <w:rFonts w:ascii="Arial" w:hAnsi="Arial" w:cs="Arial"/>
              </w:rPr>
              <w:t>Property operating lease rentals</w:t>
            </w:r>
          </w:p>
        </w:tc>
        <w:tc>
          <w:tcPr>
            <w:tcW w:w="2785" w:type="dxa"/>
            <w:tcBorders>
              <w:top w:val="nil"/>
              <w:left w:val="nil"/>
              <w:bottom w:val="single" w:sz="4" w:space="0" w:color="auto"/>
              <w:right w:val="nil"/>
            </w:tcBorders>
            <w:vAlign w:val="bottom"/>
          </w:tcPr>
          <w:p w14:paraId="0D14D4A8" w14:textId="0AA537FD" w:rsidR="00355EF2" w:rsidRPr="00FC41B5" w:rsidRDefault="00574124" w:rsidP="00355EF2">
            <w:pPr>
              <w:jc w:val="right"/>
              <w:rPr>
                <w:rFonts w:ascii="Arial" w:hAnsi="Arial" w:cs="Arial"/>
                <w:b/>
              </w:rPr>
            </w:pPr>
            <w:r w:rsidRPr="00FC41B5">
              <w:rPr>
                <w:rFonts w:ascii="Arial" w:hAnsi="Arial" w:cs="Arial"/>
                <w:b/>
              </w:rPr>
              <w:t>408</w:t>
            </w:r>
          </w:p>
        </w:tc>
        <w:tc>
          <w:tcPr>
            <w:tcW w:w="1702" w:type="dxa"/>
            <w:tcBorders>
              <w:top w:val="nil"/>
              <w:left w:val="nil"/>
              <w:bottom w:val="single" w:sz="4" w:space="0" w:color="auto"/>
              <w:right w:val="nil"/>
            </w:tcBorders>
            <w:vAlign w:val="bottom"/>
          </w:tcPr>
          <w:p w14:paraId="732EDD3C" w14:textId="6EB48B0D" w:rsidR="00355EF2" w:rsidRPr="00355EF2" w:rsidRDefault="00355EF2" w:rsidP="00355EF2">
            <w:pPr>
              <w:jc w:val="right"/>
              <w:rPr>
                <w:rFonts w:ascii="Arial" w:hAnsi="Arial" w:cs="Arial"/>
              </w:rPr>
            </w:pPr>
            <w:r w:rsidRPr="0018703F">
              <w:rPr>
                <w:rFonts w:ascii="Arial" w:hAnsi="Arial" w:cs="Arial"/>
              </w:rPr>
              <w:t>399</w:t>
            </w:r>
          </w:p>
        </w:tc>
      </w:tr>
      <w:tr w:rsidR="00355EF2" w:rsidRPr="00A845B7" w14:paraId="567DEFA2" w14:textId="77777777" w:rsidTr="00355EF2">
        <w:trPr>
          <w:trHeight w:val="255"/>
        </w:trPr>
        <w:tc>
          <w:tcPr>
            <w:tcW w:w="5154" w:type="dxa"/>
            <w:tcBorders>
              <w:top w:val="single" w:sz="4" w:space="0" w:color="auto"/>
              <w:left w:val="nil"/>
              <w:bottom w:val="single" w:sz="4" w:space="0" w:color="auto"/>
              <w:right w:val="nil"/>
            </w:tcBorders>
            <w:shd w:val="clear" w:color="auto" w:fill="auto"/>
            <w:vAlign w:val="bottom"/>
            <w:hideMark/>
          </w:tcPr>
          <w:p w14:paraId="22A9D1A0" w14:textId="77777777" w:rsidR="00355EF2" w:rsidRPr="00574124" w:rsidRDefault="00355EF2" w:rsidP="00355EF2">
            <w:pPr>
              <w:rPr>
                <w:rFonts w:ascii="Arial" w:hAnsi="Arial" w:cs="Arial"/>
                <w:b/>
              </w:rPr>
            </w:pPr>
            <w:r w:rsidRPr="00574124">
              <w:rPr>
                <w:rFonts w:ascii="Arial" w:hAnsi="Arial" w:cs="Arial"/>
                <w:b/>
              </w:rPr>
              <w:t>EBITDAR</w:t>
            </w:r>
          </w:p>
        </w:tc>
        <w:tc>
          <w:tcPr>
            <w:tcW w:w="2785" w:type="dxa"/>
            <w:tcBorders>
              <w:top w:val="single" w:sz="4" w:space="0" w:color="auto"/>
              <w:left w:val="nil"/>
              <w:bottom w:val="single" w:sz="4" w:space="0" w:color="auto"/>
              <w:right w:val="nil"/>
            </w:tcBorders>
            <w:vAlign w:val="bottom"/>
          </w:tcPr>
          <w:p w14:paraId="67DBBE57" w14:textId="5E986A07" w:rsidR="00355EF2" w:rsidRPr="00FC41B5" w:rsidRDefault="00574124" w:rsidP="00355EF2">
            <w:pPr>
              <w:jc w:val="right"/>
              <w:rPr>
                <w:rFonts w:ascii="Arial" w:hAnsi="Arial" w:cs="Arial"/>
                <w:b/>
              </w:rPr>
            </w:pPr>
            <w:r w:rsidRPr="00FC41B5">
              <w:rPr>
                <w:rFonts w:ascii="Arial" w:hAnsi="Arial" w:cs="Arial"/>
                <w:b/>
              </w:rPr>
              <w:t>1,35</w:t>
            </w:r>
            <w:r w:rsidR="006766EB">
              <w:rPr>
                <w:rFonts w:ascii="Arial" w:hAnsi="Arial" w:cs="Arial"/>
                <w:b/>
              </w:rPr>
              <w:t>1</w:t>
            </w:r>
          </w:p>
        </w:tc>
        <w:tc>
          <w:tcPr>
            <w:tcW w:w="1702" w:type="dxa"/>
            <w:tcBorders>
              <w:top w:val="single" w:sz="4" w:space="0" w:color="auto"/>
              <w:left w:val="nil"/>
              <w:bottom w:val="single" w:sz="4" w:space="0" w:color="auto"/>
              <w:right w:val="nil"/>
            </w:tcBorders>
            <w:vAlign w:val="bottom"/>
          </w:tcPr>
          <w:p w14:paraId="7421F9ED" w14:textId="51411A10" w:rsidR="00355EF2" w:rsidRPr="00355EF2" w:rsidRDefault="00355EF2" w:rsidP="00355EF2">
            <w:pPr>
              <w:jc w:val="right"/>
              <w:rPr>
                <w:rFonts w:ascii="Arial" w:hAnsi="Arial" w:cs="Arial"/>
              </w:rPr>
            </w:pPr>
            <w:r w:rsidRPr="0018703F">
              <w:rPr>
                <w:rFonts w:ascii="Arial" w:hAnsi="Arial" w:cs="Arial"/>
              </w:rPr>
              <w:t>1,407</w:t>
            </w:r>
          </w:p>
        </w:tc>
      </w:tr>
      <w:tr w:rsidR="00355EF2" w:rsidRPr="00A845B7" w14:paraId="2426EB5E" w14:textId="77777777" w:rsidTr="00355EF2">
        <w:trPr>
          <w:trHeight w:val="311"/>
        </w:trPr>
        <w:tc>
          <w:tcPr>
            <w:tcW w:w="5154" w:type="dxa"/>
            <w:tcBorders>
              <w:top w:val="single" w:sz="4" w:space="0" w:color="auto"/>
              <w:left w:val="nil"/>
              <w:bottom w:val="nil"/>
              <w:right w:val="nil"/>
            </w:tcBorders>
            <w:shd w:val="clear" w:color="auto" w:fill="auto"/>
            <w:vAlign w:val="bottom"/>
            <w:hideMark/>
          </w:tcPr>
          <w:p w14:paraId="385F017A" w14:textId="77777777" w:rsidR="00355EF2" w:rsidRPr="00574124" w:rsidRDefault="00355EF2" w:rsidP="00355EF2">
            <w:pPr>
              <w:rPr>
                <w:rFonts w:ascii="Arial" w:hAnsi="Arial" w:cs="Arial"/>
              </w:rPr>
            </w:pPr>
            <w:r w:rsidRPr="00574124">
              <w:rPr>
                <w:rFonts w:ascii="Arial" w:hAnsi="Arial" w:cs="Arial"/>
              </w:rPr>
              <w:t>Net cash</w:t>
            </w:r>
          </w:p>
        </w:tc>
        <w:tc>
          <w:tcPr>
            <w:tcW w:w="2785" w:type="dxa"/>
            <w:tcBorders>
              <w:top w:val="single" w:sz="4" w:space="0" w:color="auto"/>
              <w:left w:val="nil"/>
              <w:bottom w:val="nil"/>
              <w:right w:val="nil"/>
            </w:tcBorders>
            <w:vAlign w:val="bottom"/>
          </w:tcPr>
          <w:p w14:paraId="2FC8872E" w14:textId="6D6D3F3A" w:rsidR="00355EF2" w:rsidRPr="00FC41B5" w:rsidRDefault="00355EF2" w:rsidP="00355EF2">
            <w:pPr>
              <w:jc w:val="right"/>
              <w:rPr>
                <w:rFonts w:ascii="Arial" w:hAnsi="Arial" w:cs="Arial"/>
                <w:b/>
              </w:rPr>
            </w:pPr>
            <w:r w:rsidRPr="00FC41B5">
              <w:rPr>
                <w:rFonts w:ascii="Arial" w:hAnsi="Arial" w:cs="Arial"/>
                <w:b/>
              </w:rPr>
              <w:t>(</w:t>
            </w:r>
            <w:r w:rsidR="00574124" w:rsidRPr="00FC41B5">
              <w:rPr>
                <w:rFonts w:ascii="Arial" w:hAnsi="Arial" w:cs="Arial"/>
                <w:b/>
              </w:rPr>
              <w:t>68</w:t>
            </w:r>
            <w:r w:rsidRPr="00FC41B5">
              <w:rPr>
                <w:rFonts w:ascii="Arial" w:hAnsi="Arial" w:cs="Arial"/>
                <w:b/>
              </w:rPr>
              <w:t>)</w:t>
            </w:r>
          </w:p>
        </w:tc>
        <w:tc>
          <w:tcPr>
            <w:tcW w:w="1702" w:type="dxa"/>
            <w:tcBorders>
              <w:top w:val="single" w:sz="4" w:space="0" w:color="auto"/>
              <w:left w:val="nil"/>
              <w:bottom w:val="nil"/>
              <w:right w:val="nil"/>
            </w:tcBorders>
            <w:vAlign w:val="bottom"/>
          </w:tcPr>
          <w:p w14:paraId="3AF6ABBB" w14:textId="78EB3C36" w:rsidR="00355EF2" w:rsidRPr="00355EF2" w:rsidRDefault="00355EF2" w:rsidP="00355EF2">
            <w:pPr>
              <w:jc w:val="right"/>
              <w:rPr>
                <w:rFonts w:ascii="Arial" w:hAnsi="Arial" w:cs="Arial"/>
              </w:rPr>
            </w:pPr>
            <w:r w:rsidRPr="0018703F">
              <w:rPr>
                <w:rFonts w:ascii="Arial" w:hAnsi="Arial" w:cs="Arial"/>
              </w:rPr>
              <w:t>(641)</w:t>
            </w:r>
          </w:p>
        </w:tc>
      </w:tr>
      <w:tr w:rsidR="00355EF2" w:rsidRPr="00A845B7" w14:paraId="6BB213C6" w14:textId="77777777" w:rsidTr="00355EF2">
        <w:trPr>
          <w:trHeight w:val="270"/>
        </w:trPr>
        <w:tc>
          <w:tcPr>
            <w:tcW w:w="5154" w:type="dxa"/>
            <w:tcBorders>
              <w:top w:val="nil"/>
              <w:left w:val="nil"/>
              <w:bottom w:val="single" w:sz="4" w:space="0" w:color="auto"/>
              <w:right w:val="nil"/>
            </w:tcBorders>
            <w:shd w:val="clear" w:color="auto" w:fill="auto"/>
            <w:vAlign w:val="bottom"/>
            <w:hideMark/>
          </w:tcPr>
          <w:p w14:paraId="0420451A" w14:textId="7371DD39" w:rsidR="00355EF2" w:rsidRPr="00574124" w:rsidRDefault="00355EF2" w:rsidP="00355EF2">
            <w:pPr>
              <w:rPr>
                <w:rFonts w:ascii="Arial" w:hAnsi="Arial" w:cs="Arial"/>
              </w:rPr>
            </w:pPr>
            <w:r w:rsidRPr="00574124">
              <w:rPr>
                <w:rFonts w:ascii="Arial" w:hAnsi="Arial" w:cs="Arial"/>
              </w:rPr>
              <w:t>Property operating lease rentals (8x)</w:t>
            </w:r>
            <w:r w:rsidRPr="00574124">
              <w:rPr>
                <w:rFonts w:ascii="Arial" w:hAnsi="Arial" w:cs="Arial"/>
                <w:vertAlign w:val="superscript"/>
              </w:rPr>
              <w:t xml:space="preserve"> (1)</w:t>
            </w:r>
          </w:p>
        </w:tc>
        <w:tc>
          <w:tcPr>
            <w:tcW w:w="2785" w:type="dxa"/>
            <w:tcBorders>
              <w:top w:val="nil"/>
              <w:left w:val="nil"/>
              <w:bottom w:val="single" w:sz="4" w:space="0" w:color="auto"/>
              <w:right w:val="nil"/>
            </w:tcBorders>
            <w:vAlign w:val="bottom"/>
          </w:tcPr>
          <w:p w14:paraId="6507A2A7" w14:textId="51F8D28B" w:rsidR="00355EF2" w:rsidRPr="00FC41B5" w:rsidRDefault="00574124" w:rsidP="00355EF2">
            <w:pPr>
              <w:jc w:val="right"/>
              <w:rPr>
                <w:rFonts w:ascii="Arial" w:hAnsi="Arial" w:cs="Arial"/>
                <w:b/>
              </w:rPr>
            </w:pPr>
            <w:r w:rsidRPr="00FC41B5">
              <w:rPr>
                <w:rFonts w:ascii="Arial" w:hAnsi="Arial" w:cs="Arial"/>
                <w:b/>
              </w:rPr>
              <w:t>3,264</w:t>
            </w:r>
          </w:p>
        </w:tc>
        <w:tc>
          <w:tcPr>
            <w:tcW w:w="1702" w:type="dxa"/>
            <w:tcBorders>
              <w:top w:val="nil"/>
              <w:left w:val="nil"/>
              <w:bottom w:val="single" w:sz="4" w:space="0" w:color="auto"/>
              <w:right w:val="nil"/>
            </w:tcBorders>
            <w:vAlign w:val="bottom"/>
          </w:tcPr>
          <w:p w14:paraId="70F7C0F3" w14:textId="7B8676B1" w:rsidR="00355EF2" w:rsidRPr="00355EF2" w:rsidRDefault="00355EF2" w:rsidP="00355EF2">
            <w:pPr>
              <w:jc w:val="right"/>
              <w:rPr>
                <w:rFonts w:ascii="Arial" w:hAnsi="Arial" w:cs="Arial"/>
              </w:rPr>
            </w:pPr>
            <w:r w:rsidRPr="0018703F">
              <w:rPr>
                <w:rFonts w:ascii="Arial" w:hAnsi="Arial" w:cs="Arial"/>
              </w:rPr>
              <w:t>3,192</w:t>
            </w:r>
          </w:p>
        </w:tc>
      </w:tr>
      <w:tr w:rsidR="00355EF2" w:rsidRPr="00A845B7" w14:paraId="66A7FB33" w14:textId="77777777" w:rsidTr="00F74486">
        <w:trPr>
          <w:trHeight w:val="270"/>
        </w:trPr>
        <w:tc>
          <w:tcPr>
            <w:tcW w:w="5154" w:type="dxa"/>
            <w:tcBorders>
              <w:top w:val="single" w:sz="4" w:space="0" w:color="auto"/>
              <w:left w:val="nil"/>
              <w:right w:val="nil"/>
            </w:tcBorders>
            <w:shd w:val="clear" w:color="auto" w:fill="auto"/>
            <w:vAlign w:val="bottom"/>
            <w:hideMark/>
          </w:tcPr>
          <w:p w14:paraId="29AD898B" w14:textId="77777777" w:rsidR="00355EF2" w:rsidRPr="00574124" w:rsidRDefault="00355EF2" w:rsidP="00355EF2">
            <w:pPr>
              <w:rPr>
                <w:rFonts w:ascii="Arial" w:hAnsi="Arial" w:cs="Arial"/>
                <w:b/>
              </w:rPr>
            </w:pPr>
            <w:r w:rsidRPr="00574124">
              <w:rPr>
                <w:rFonts w:ascii="Arial" w:hAnsi="Arial" w:cs="Arial"/>
                <w:b/>
              </w:rPr>
              <w:t>Lease adjusted net debt</w:t>
            </w:r>
          </w:p>
        </w:tc>
        <w:tc>
          <w:tcPr>
            <w:tcW w:w="2785" w:type="dxa"/>
            <w:tcBorders>
              <w:top w:val="single" w:sz="4" w:space="0" w:color="auto"/>
              <w:left w:val="nil"/>
              <w:right w:val="nil"/>
            </w:tcBorders>
            <w:vAlign w:val="bottom"/>
          </w:tcPr>
          <w:p w14:paraId="018261A8" w14:textId="492C3996" w:rsidR="00355EF2" w:rsidRPr="00FC41B5" w:rsidRDefault="00574124" w:rsidP="00355EF2">
            <w:pPr>
              <w:jc w:val="right"/>
              <w:rPr>
                <w:rFonts w:ascii="Arial" w:hAnsi="Arial" w:cs="Arial"/>
                <w:b/>
              </w:rPr>
            </w:pPr>
            <w:r w:rsidRPr="00FC41B5">
              <w:rPr>
                <w:rFonts w:ascii="Arial" w:hAnsi="Arial" w:cs="Arial"/>
                <w:b/>
              </w:rPr>
              <w:t>3,196</w:t>
            </w:r>
          </w:p>
        </w:tc>
        <w:tc>
          <w:tcPr>
            <w:tcW w:w="1702" w:type="dxa"/>
            <w:tcBorders>
              <w:top w:val="single" w:sz="4" w:space="0" w:color="auto"/>
              <w:left w:val="nil"/>
              <w:right w:val="nil"/>
            </w:tcBorders>
            <w:vAlign w:val="bottom"/>
          </w:tcPr>
          <w:p w14:paraId="01E91A70" w14:textId="325E0475" w:rsidR="00355EF2" w:rsidRPr="00355EF2" w:rsidRDefault="00355EF2" w:rsidP="00355EF2">
            <w:pPr>
              <w:jc w:val="right"/>
              <w:rPr>
                <w:rFonts w:ascii="Arial" w:hAnsi="Arial" w:cs="Arial"/>
              </w:rPr>
            </w:pPr>
            <w:r w:rsidRPr="0018703F">
              <w:rPr>
                <w:rFonts w:ascii="Arial" w:hAnsi="Arial" w:cs="Arial"/>
              </w:rPr>
              <w:t>2,551</w:t>
            </w:r>
          </w:p>
        </w:tc>
      </w:tr>
      <w:tr w:rsidR="00355EF2" w:rsidRPr="00A845B7" w14:paraId="7EC756D3" w14:textId="77777777" w:rsidTr="00F74486">
        <w:trPr>
          <w:trHeight w:val="270"/>
        </w:trPr>
        <w:tc>
          <w:tcPr>
            <w:tcW w:w="5154" w:type="dxa"/>
            <w:tcBorders>
              <w:left w:val="nil"/>
              <w:bottom w:val="single" w:sz="4" w:space="0" w:color="auto"/>
              <w:right w:val="nil"/>
            </w:tcBorders>
            <w:shd w:val="clear" w:color="auto" w:fill="auto"/>
            <w:vAlign w:val="bottom"/>
            <w:hideMark/>
          </w:tcPr>
          <w:p w14:paraId="555CC7ED" w14:textId="77777777" w:rsidR="00355EF2" w:rsidRPr="00574124" w:rsidRDefault="00355EF2" w:rsidP="00355EF2">
            <w:pPr>
              <w:rPr>
                <w:rFonts w:ascii="Arial" w:hAnsi="Arial" w:cs="Arial"/>
                <w:b/>
              </w:rPr>
            </w:pPr>
            <w:r w:rsidRPr="00574124">
              <w:rPr>
                <w:rFonts w:ascii="Arial" w:hAnsi="Arial" w:cs="Arial"/>
                <w:b/>
              </w:rPr>
              <w:t>Lease adjusted net debt to EBITDAR</w:t>
            </w:r>
          </w:p>
        </w:tc>
        <w:tc>
          <w:tcPr>
            <w:tcW w:w="2785" w:type="dxa"/>
            <w:tcBorders>
              <w:left w:val="nil"/>
              <w:bottom w:val="single" w:sz="4" w:space="0" w:color="auto"/>
              <w:right w:val="nil"/>
            </w:tcBorders>
            <w:vAlign w:val="bottom"/>
          </w:tcPr>
          <w:p w14:paraId="636EAC02" w14:textId="6660F790" w:rsidR="00355EF2" w:rsidRPr="00FC41B5" w:rsidRDefault="00E4534B" w:rsidP="00355EF2">
            <w:pPr>
              <w:jc w:val="right"/>
              <w:rPr>
                <w:rFonts w:ascii="Arial" w:hAnsi="Arial" w:cs="Arial"/>
                <w:b/>
              </w:rPr>
            </w:pPr>
            <w:r w:rsidRPr="00FC41B5">
              <w:rPr>
                <w:rFonts w:ascii="Arial" w:hAnsi="Arial" w:cs="Arial"/>
                <w:b/>
              </w:rPr>
              <w:t>2</w:t>
            </w:r>
            <w:r w:rsidR="00355EF2" w:rsidRPr="00FC41B5">
              <w:rPr>
                <w:rFonts w:ascii="Arial" w:hAnsi="Arial" w:cs="Arial"/>
                <w:b/>
              </w:rPr>
              <w:t>.</w:t>
            </w:r>
            <w:r w:rsidRPr="00FC41B5">
              <w:rPr>
                <w:rFonts w:ascii="Arial" w:hAnsi="Arial" w:cs="Arial"/>
                <w:b/>
              </w:rPr>
              <w:t>4</w:t>
            </w:r>
          </w:p>
        </w:tc>
        <w:tc>
          <w:tcPr>
            <w:tcW w:w="1702" w:type="dxa"/>
            <w:tcBorders>
              <w:left w:val="nil"/>
              <w:bottom w:val="single" w:sz="4" w:space="0" w:color="auto"/>
              <w:right w:val="nil"/>
            </w:tcBorders>
            <w:vAlign w:val="bottom"/>
          </w:tcPr>
          <w:p w14:paraId="27C9AB8F" w14:textId="31064A32" w:rsidR="00355EF2" w:rsidRPr="00355EF2" w:rsidRDefault="00355EF2" w:rsidP="00355EF2">
            <w:pPr>
              <w:tabs>
                <w:tab w:val="center" w:pos="671"/>
                <w:tab w:val="right" w:pos="1343"/>
              </w:tabs>
              <w:jc w:val="right"/>
              <w:rPr>
                <w:rFonts w:ascii="Arial" w:hAnsi="Arial" w:cs="Arial"/>
              </w:rPr>
            </w:pPr>
            <w:r w:rsidRPr="0018703F">
              <w:rPr>
                <w:rFonts w:ascii="Arial" w:hAnsi="Arial" w:cs="Arial"/>
              </w:rPr>
              <w:t>1.8</w:t>
            </w:r>
          </w:p>
        </w:tc>
      </w:tr>
      <w:bookmarkEnd w:id="41"/>
    </w:tbl>
    <w:p w14:paraId="405AE09A" w14:textId="77777777" w:rsidR="00997637" w:rsidRPr="00A845B7" w:rsidRDefault="00997637" w:rsidP="00997637">
      <w:pPr>
        <w:jc w:val="left"/>
        <w:rPr>
          <w:rFonts w:ascii="Arial" w:hAnsi="Arial" w:cs="Arial"/>
        </w:rPr>
      </w:pPr>
    </w:p>
    <w:p w14:paraId="0A62323B" w14:textId="0C042FB2" w:rsidR="00997637" w:rsidRPr="00A03549" w:rsidRDefault="00355EF2" w:rsidP="00997637">
      <w:pPr>
        <w:ind w:right="-368"/>
        <w:jc w:val="left"/>
        <w:rPr>
          <w:rFonts w:ascii="Arial" w:hAnsi="Arial" w:cs="Arial"/>
          <w:sz w:val="18"/>
          <w:szCs w:val="18"/>
        </w:rPr>
      </w:pPr>
      <w:r w:rsidRPr="006F78D1" w:rsidDel="00355EF2">
        <w:rPr>
          <w:rFonts w:ascii="Arial" w:hAnsi="Arial" w:cs="Arial"/>
          <w:iCs/>
          <w:vertAlign w:val="superscript"/>
        </w:rPr>
        <w:t xml:space="preserve"> </w:t>
      </w:r>
      <w:r w:rsidR="00997637" w:rsidRPr="006F78D1">
        <w:rPr>
          <w:rFonts w:ascii="Arial" w:hAnsi="Arial" w:cs="Arial"/>
          <w:iCs/>
          <w:vertAlign w:val="superscript"/>
        </w:rPr>
        <w:t>(</w:t>
      </w:r>
      <w:r>
        <w:rPr>
          <w:rFonts w:ascii="Arial" w:hAnsi="Arial" w:cs="Arial"/>
          <w:iCs/>
          <w:vertAlign w:val="superscript"/>
        </w:rPr>
        <w:t>1</w:t>
      </w:r>
      <w:r w:rsidR="00997637" w:rsidRPr="006F78D1">
        <w:rPr>
          <w:rFonts w:ascii="Arial" w:hAnsi="Arial" w:cs="Arial"/>
          <w:iCs/>
          <w:vertAlign w:val="superscript"/>
        </w:rPr>
        <w:t>)</w:t>
      </w:r>
      <w:r w:rsidR="00997637" w:rsidRPr="006F78D1">
        <w:rPr>
          <w:rFonts w:ascii="Arial" w:hAnsi="Arial" w:cs="Arial"/>
          <w:iCs/>
        </w:rPr>
        <w:t xml:space="preserve"> </w:t>
      </w:r>
      <w:r w:rsidR="00997637" w:rsidRPr="00A03549">
        <w:rPr>
          <w:rFonts w:ascii="Arial" w:hAnsi="Arial" w:cs="Arial"/>
          <w:sz w:val="18"/>
          <w:szCs w:val="18"/>
        </w:rPr>
        <w:t>Kingfisher believes 8x is a reasonable industry standard for estimating the economic value of its leased assets</w:t>
      </w:r>
    </w:p>
    <w:p w14:paraId="742DB7E7" w14:textId="77777777" w:rsidR="00997637" w:rsidRPr="00A03549" w:rsidRDefault="00997637" w:rsidP="00997637">
      <w:pPr>
        <w:jc w:val="left"/>
        <w:rPr>
          <w:rFonts w:ascii="Arial" w:hAnsi="Arial" w:cs="Arial"/>
          <w:sz w:val="24"/>
          <w:szCs w:val="24"/>
          <w:highlight w:val="lightGray"/>
        </w:rPr>
      </w:pPr>
    </w:p>
    <w:p w14:paraId="18F51B25" w14:textId="77777777" w:rsidR="00997637" w:rsidRPr="0062003B" w:rsidRDefault="00997637" w:rsidP="00997637">
      <w:pPr>
        <w:jc w:val="left"/>
        <w:rPr>
          <w:rFonts w:ascii="Arial" w:hAnsi="Arial" w:cs="Arial"/>
        </w:rPr>
      </w:pPr>
      <w:r w:rsidRPr="0062003B">
        <w:rPr>
          <w:rFonts w:ascii="Arial" w:hAnsi="Arial" w:cs="Arial"/>
        </w:rPr>
        <w:t>Kingfisher holds a BBB credit rating with all three rating agencies. Kingfisher aims to maintain its solid investment grade credit rating whilst investing in the business where economic returns are attractive and paying a healthy annual dividend to shareholders. After satisfying these key aims and taking the economic and trading outlook into account, any surplus capital would be returned to shareholders.</w:t>
      </w:r>
    </w:p>
    <w:p w14:paraId="0E1F2898" w14:textId="77777777" w:rsidR="00997637" w:rsidRPr="0062003B" w:rsidRDefault="00997637" w:rsidP="00997637">
      <w:pPr>
        <w:jc w:val="left"/>
        <w:rPr>
          <w:rFonts w:ascii="Arial" w:hAnsi="Arial" w:cs="Arial"/>
        </w:rPr>
      </w:pPr>
    </w:p>
    <w:p w14:paraId="5C651400" w14:textId="77777777" w:rsidR="00997637" w:rsidRPr="0062003B" w:rsidRDefault="00997637" w:rsidP="00997637">
      <w:pPr>
        <w:jc w:val="left"/>
        <w:rPr>
          <w:rFonts w:ascii="Arial" w:hAnsi="Arial" w:cs="Arial"/>
        </w:rPr>
      </w:pPr>
      <w:r w:rsidRPr="0062003B">
        <w:rPr>
          <w:rFonts w:ascii="Arial" w:hAnsi="Arial" w:cs="Arial"/>
        </w:rPr>
        <w:t xml:space="preserve">Kingfisher regularly reviews the level of cash and debt facilities required to fund its activities. This involves preparing a prudent cash flow forecast for the medium term, determining the level of debt facilities required to fund the business, planning for repayments of debt at its maturity and identifying an appropriate amount of headroom to provide a reserve against unexpected outflows. </w:t>
      </w:r>
    </w:p>
    <w:p w14:paraId="2CBD3A77" w14:textId="77777777" w:rsidR="00997637" w:rsidRPr="0062003B" w:rsidRDefault="00997637" w:rsidP="00997637">
      <w:pPr>
        <w:ind w:right="-368"/>
        <w:jc w:val="left"/>
        <w:rPr>
          <w:rFonts w:ascii="Arial" w:hAnsi="Arial" w:cs="Arial"/>
        </w:rPr>
      </w:pPr>
    </w:p>
    <w:p w14:paraId="7278A15F" w14:textId="24E82607" w:rsidR="00997637" w:rsidRPr="00603514" w:rsidRDefault="00574124" w:rsidP="00997637">
      <w:pPr>
        <w:ind w:right="-368"/>
        <w:jc w:val="left"/>
        <w:rPr>
          <w:rFonts w:ascii="Arial" w:hAnsi="Arial" w:cs="Arial"/>
        </w:rPr>
      </w:pPr>
      <w:r w:rsidRPr="00603514">
        <w:rPr>
          <w:rFonts w:ascii="Arial" w:hAnsi="Arial" w:cs="Arial"/>
        </w:rPr>
        <w:t xml:space="preserve">The Group has two committed facilities: £400 million that expires in November 2019 and £225 million that expires in March 2022. Both were undrawn at 31 January 2018. </w:t>
      </w:r>
      <w:r w:rsidR="00997637" w:rsidRPr="00603514">
        <w:rPr>
          <w:rFonts w:ascii="Arial" w:hAnsi="Arial" w:cs="Arial"/>
        </w:rPr>
        <w:t>The next significant debt maturity is in May 2018 when the Group is required to repay US Private Placement debt with a notional value of $179 million.</w:t>
      </w:r>
    </w:p>
    <w:p w14:paraId="18D3B7EB" w14:textId="77777777" w:rsidR="00997637" w:rsidRPr="0062003B" w:rsidRDefault="00997637" w:rsidP="00997637">
      <w:pPr>
        <w:jc w:val="left"/>
        <w:rPr>
          <w:rFonts w:ascii="Arial" w:hAnsi="Arial" w:cs="Arial"/>
          <w:sz w:val="24"/>
          <w:szCs w:val="24"/>
        </w:rPr>
      </w:pPr>
    </w:p>
    <w:p w14:paraId="6E8DB26D" w14:textId="3D579828" w:rsidR="00E4534B" w:rsidRDefault="00997637" w:rsidP="00997637">
      <w:pPr>
        <w:jc w:val="left"/>
        <w:rPr>
          <w:rFonts w:ascii="Arial" w:hAnsi="Arial" w:cs="Arial"/>
          <w:b/>
          <w:highlight w:val="yellow"/>
        </w:rPr>
      </w:pPr>
      <w:r w:rsidRPr="00603514">
        <w:rPr>
          <w:rFonts w:ascii="Arial" w:hAnsi="Arial" w:cs="Arial"/>
        </w:rPr>
        <w:t>The maturity profile of Kingfisher’s debt is illustrated at</w:t>
      </w:r>
      <w:r w:rsidRPr="0062003B">
        <w:rPr>
          <w:rFonts w:ascii="Arial" w:hAnsi="Arial" w:cs="Arial"/>
        </w:rPr>
        <w:t xml:space="preserve">: </w:t>
      </w:r>
      <w:r w:rsidRPr="0062003B">
        <w:rPr>
          <w:rStyle w:val="Hyperlink"/>
          <w:rFonts w:ascii="Arial" w:hAnsi="Arial" w:cs="Arial"/>
        </w:rPr>
        <w:t>www.kingfisher.com/index.asp?pageid=74</w:t>
      </w:r>
      <w:bookmarkEnd w:id="40"/>
    </w:p>
    <w:p w14:paraId="61CADD48" w14:textId="77777777" w:rsidR="001C4A40" w:rsidRDefault="001C4A40" w:rsidP="00997637">
      <w:pPr>
        <w:jc w:val="left"/>
        <w:rPr>
          <w:rFonts w:ascii="Arial" w:hAnsi="Arial" w:cs="Arial"/>
          <w:b/>
        </w:rPr>
      </w:pPr>
    </w:p>
    <w:p w14:paraId="5B2EA3CA" w14:textId="1009A321" w:rsidR="00997637" w:rsidRPr="00A845B7" w:rsidRDefault="00997637">
      <w:pPr>
        <w:jc w:val="left"/>
        <w:rPr>
          <w:rFonts w:ascii="Arial" w:hAnsi="Arial" w:cs="Arial"/>
          <w:b/>
        </w:rPr>
      </w:pPr>
      <w:r w:rsidRPr="008C7E4A">
        <w:rPr>
          <w:rFonts w:ascii="Arial" w:hAnsi="Arial" w:cs="Arial"/>
          <w:b/>
        </w:rPr>
        <w:t>Pensions</w:t>
      </w:r>
    </w:p>
    <w:p w14:paraId="274E5CAB" w14:textId="77777777" w:rsidR="00997637" w:rsidRPr="00A03549" w:rsidRDefault="00997637" w:rsidP="00997637">
      <w:pPr>
        <w:jc w:val="left"/>
        <w:rPr>
          <w:rFonts w:ascii="Arial" w:hAnsi="Arial" w:cs="Arial"/>
          <w:b/>
          <w:sz w:val="24"/>
          <w:szCs w:val="24"/>
          <w:highlight w:val="lightGray"/>
        </w:rPr>
      </w:pPr>
    </w:p>
    <w:p w14:paraId="3D99A7D8" w14:textId="79FF09BE" w:rsidR="00A4154E" w:rsidRDefault="00A4154E" w:rsidP="00A4154E">
      <w:pPr>
        <w:jc w:val="left"/>
        <w:rPr>
          <w:rFonts w:ascii="Arial" w:hAnsi="Arial" w:cs="Arial"/>
        </w:rPr>
      </w:pPr>
      <w:r w:rsidRPr="00D978CF">
        <w:rPr>
          <w:rFonts w:ascii="Arial" w:hAnsi="Arial" w:cs="Arial"/>
        </w:rPr>
        <w:t>At the year end, the Group had a net surplus of £99 million (2016/17: £131 million net surplus) in relation to defined benefit pension arrangements, of which a £214 million surplus (2016/17: £239 million surplus) was in relation to the UK scheme. The adverse movement is driven by actuarial losses on liabilities, due principally to a reduced discount rate</w:t>
      </w:r>
      <w:r w:rsidR="000B7DFF">
        <w:rPr>
          <w:rFonts w:ascii="Arial" w:hAnsi="Arial" w:cs="Arial"/>
        </w:rPr>
        <w:t xml:space="preserve"> </w:t>
      </w:r>
      <w:r w:rsidR="000B7DFF" w:rsidRPr="00D978CF">
        <w:rPr>
          <w:rFonts w:ascii="Arial" w:hAnsi="Arial" w:cs="Arial"/>
        </w:rPr>
        <w:t>used to measure the UK scheme liabilities</w:t>
      </w:r>
      <w:r w:rsidR="000B7DFF">
        <w:rPr>
          <w:rFonts w:ascii="Arial" w:hAnsi="Arial" w:cs="Arial"/>
        </w:rPr>
        <w:t>.</w:t>
      </w:r>
      <w:r w:rsidRPr="00D978CF">
        <w:rPr>
          <w:rFonts w:ascii="Arial" w:hAnsi="Arial" w:cs="Arial"/>
        </w:rPr>
        <w:t xml:space="preserve"> This accounting valuation is sensitive to various assumptions and market rates which are likely to fluctuate in the future.</w:t>
      </w:r>
    </w:p>
    <w:p w14:paraId="4825A533" w14:textId="15D720AF" w:rsidR="00E96B80" w:rsidRDefault="00E96B80" w:rsidP="00A4154E">
      <w:pPr>
        <w:jc w:val="left"/>
        <w:rPr>
          <w:rFonts w:ascii="Arial" w:hAnsi="Arial" w:cs="Arial"/>
        </w:rPr>
      </w:pPr>
    </w:p>
    <w:p w14:paraId="790D9836" w14:textId="32293C1A" w:rsidR="00E96B80" w:rsidRPr="00D978CF" w:rsidRDefault="00E96B80" w:rsidP="00A4154E">
      <w:pPr>
        <w:jc w:val="left"/>
        <w:rPr>
          <w:rFonts w:ascii="Arial" w:hAnsi="Arial" w:cs="Arial"/>
        </w:rPr>
      </w:pPr>
      <w:bookmarkStart w:id="42" w:name="_Hlk508810730"/>
      <w:r w:rsidRPr="00E96B80">
        <w:rPr>
          <w:rFonts w:ascii="Arial" w:hAnsi="Arial" w:cs="Arial"/>
        </w:rPr>
        <w:t>During the year</w:t>
      </w:r>
      <w:r w:rsidR="00832149">
        <w:rPr>
          <w:rFonts w:ascii="Arial" w:hAnsi="Arial" w:cs="Arial"/>
        </w:rPr>
        <w:t>,</w:t>
      </w:r>
      <w:r w:rsidRPr="00E96B80">
        <w:rPr>
          <w:rFonts w:ascii="Arial" w:hAnsi="Arial" w:cs="Arial"/>
        </w:rPr>
        <w:t xml:space="preserve"> the UK pension scheme purchased a second annuity for £209 million from a major insurance company. A similar transaction was undertaken in 2015/16 that targeted the top layer of </w:t>
      </w:r>
      <w:r w:rsidRPr="00E96B80">
        <w:rPr>
          <w:rFonts w:ascii="Arial" w:hAnsi="Arial" w:cs="Arial"/>
        </w:rPr>
        <w:lastRenderedPageBreak/>
        <w:t>the scheme’s pensioner liabilities. The second annuity targeted the next layer of the scheme’s pensioner liabilities removing the longevity risk associated with these members. Measured against the long-term funding objective that has been agreed between Kingfisher and the Trustee, the transaction generated a modest funding improvement as well as a significant reduction in funding risk</w:t>
      </w:r>
      <w:r w:rsidR="00BC39E6">
        <w:rPr>
          <w:rFonts w:ascii="Arial" w:hAnsi="Arial" w:cs="Arial"/>
        </w:rPr>
        <w:t>.</w:t>
      </w:r>
    </w:p>
    <w:bookmarkEnd w:id="42"/>
    <w:p w14:paraId="6BBF0E37" w14:textId="5955007D" w:rsidR="004C6511" w:rsidRDefault="004C6511">
      <w:pPr>
        <w:jc w:val="left"/>
        <w:rPr>
          <w:rFonts w:ascii="Arial" w:hAnsi="Arial" w:cs="Arial"/>
          <w:b/>
          <w:sz w:val="24"/>
          <w:szCs w:val="24"/>
        </w:rPr>
      </w:pPr>
    </w:p>
    <w:p w14:paraId="26AF6427" w14:textId="0FBF793A" w:rsidR="00997637" w:rsidRPr="00A845B7" w:rsidRDefault="00997637" w:rsidP="00997637">
      <w:pPr>
        <w:jc w:val="left"/>
        <w:rPr>
          <w:rFonts w:ascii="Arial" w:hAnsi="Arial" w:cs="Arial"/>
          <w:b/>
        </w:rPr>
      </w:pPr>
      <w:bookmarkStart w:id="43" w:name="_Hlk506474828"/>
      <w:r w:rsidRPr="00A845B7">
        <w:rPr>
          <w:rFonts w:ascii="Arial" w:hAnsi="Arial" w:cs="Arial" w:hint="eastAsia"/>
          <w:b/>
        </w:rPr>
        <w:t>Property</w:t>
      </w:r>
    </w:p>
    <w:p w14:paraId="31A1FBF8" w14:textId="77777777" w:rsidR="00997637" w:rsidRDefault="00997637" w:rsidP="00997637">
      <w:pPr>
        <w:jc w:val="left"/>
        <w:rPr>
          <w:rFonts w:ascii="Arial" w:hAnsi="Arial" w:cs="Arial"/>
          <w:b/>
          <w:sz w:val="24"/>
          <w:szCs w:val="24"/>
        </w:rPr>
      </w:pPr>
    </w:p>
    <w:p w14:paraId="2E4C1DBB" w14:textId="1FCB734A" w:rsidR="00997637" w:rsidRDefault="002A4FC2" w:rsidP="00997637">
      <w:pPr>
        <w:jc w:val="left"/>
        <w:rPr>
          <w:rFonts w:ascii="Arial" w:hAnsi="Arial" w:cs="Arial"/>
        </w:rPr>
      </w:pPr>
      <w:r w:rsidRPr="00342365">
        <w:rPr>
          <w:rFonts w:ascii="Arial" w:hAnsi="Arial" w:cs="Arial"/>
        </w:rPr>
        <w:t>Kingfisher owns a significant property portfolio, most of which is used for trading purposes. A valuation was performed for internal purposes in October 201</w:t>
      </w:r>
      <w:r w:rsidR="00FC5F48" w:rsidRPr="00342365">
        <w:rPr>
          <w:rFonts w:ascii="Arial" w:hAnsi="Arial" w:cs="Arial"/>
        </w:rPr>
        <w:t>7</w:t>
      </w:r>
      <w:r w:rsidRPr="00342365">
        <w:rPr>
          <w:rFonts w:ascii="Arial" w:hAnsi="Arial" w:cs="Arial"/>
        </w:rPr>
        <w:t xml:space="preserve"> with the portfolio valued by external professional </w:t>
      </w:r>
      <w:proofErr w:type="spellStart"/>
      <w:r w:rsidRPr="00342365">
        <w:rPr>
          <w:rFonts w:ascii="Arial" w:hAnsi="Arial" w:cs="Arial"/>
        </w:rPr>
        <w:t>valuers</w:t>
      </w:r>
      <w:proofErr w:type="spellEnd"/>
      <w:r w:rsidRPr="00342365">
        <w:rPr>
          <w:rFonts w:ascii="Arial" w:hAnsi="Arial" w:cs="Arial"/>
        </w:rPr>
        <w:t>. Based on this exercise, on a sale and leaseback basis with Kingfisher in occupancy, the value of property is £</w:t>
      </w:r>
      <w:r w:rsidR="00E4534B" w:rsidRPr="00342365">
        <w:rPr>
          <w:rFonts w:ascii="Arial" w:hAnsi="Arial" w:cs="Arial"/>
        </w:rPr>
        <w:t>3.</w:t>
      </w:r>
      <w:r w:rsidR="000504ED">
        <w:rPr>
          <w:rFonts w:ascii="Arial" w:hAnsi="Arial" w:cs="Arial"/>
        </w:rPr>
        <w:t>5</w:t>
      </w:r>
      <w:r w:rsidR="000504ED" w:rsidRPr="00342365">
        <w:rPr>
          <w:rFonts w:ascii="Arial" w:hAnsi="Arial" w:cs="Arial"/>
        </w:rPr>
        <w:t xml:space="preserve"> </w:t>
      </w:r>
      <w:r w:rsidRPr="00342365">
        <w:rPr>
          <w:rFonts w:ascii="Arial" w:hAnsi="Arial" w:cs="Arial"/>
        </w:rPr>
        <w:t>billion at year end (201</w:t>
      </w:r>
      <w:r w:rsidR="00FC5F48" w:rsidRPr="00342365">
        <w:rPr>
          <w:rFonts w:ascii="Arial" w:hAnsi="Arial" w:cs="Arial"/>
        </w:rPr>
        <w:t>6/17</w:t>
      </w:r>
      <w:r w:rsidRPr="00342365">
        <w:rPr>
          <w:rFonts w:ascii="Arial" w:hAnsi="Arial" w:cs="Arial"/>
        </w:rPr>
        <w:t>: £</w:t>
      </w:r>
      <w:r w:rsidR="00355EF2" w:rsidRPr="00342365">
        <w:rPr>
          <w:rFonts w:ascii="Arial" w:hAnsi="Arial" w:cs="Arial"/>
        </w:rPr>
        <w:t>3</w:t>
      </w:r>
      <w:r w:rsidRPr="00342365">
        <w:rPr>
          <w:rFonts w:ascii="Arial" w:hAnsi="Arial" w:cs="Arial"/>
        </w:rPr>
        <w:t>.</w:t>
      </w:r>
      <w:r w:rsidR="00355EF2" w:rsidRPr="00342365">
        <w:rPr>
          <w:rFonts w:ascii="Arial" w:hAnsi="Arial" w:cs="Arial"/>
        </w:rPr>
        <w:t>4</w:t>
      </w:r>
      <w:r w:rsidRPr="00342365">
        <w:rPr>
          <w:rFonts w:ascii="Arial" w:hAnsi="Arial" w:cs="Arial"/>
        </w:rPr>
        <w:t xml:space="preserve"> billion).</w:t>
      </w:r>
    </w:p>
    <w:p w14:paraId="391D5119" w14:textId="77777777" w:rsidR="002A4FC2" w:rsidRPr="00A845B7" w:rsidRDefault="002A4FC2" w:rsidP="00997637">
      <w:pPr>
        <w:jc w:val="left"/>
        <w:rPr>
          <w:rFonts w:ascii="Arial" w:hAnsi="Arial" w:cs="Arial"/>
        </w:rPr>
      </w:pPr>
    </w:p>
    <w:tbl>
      <w:tblPr>
        <w:tblW w:w="5000" w:type="pct"/>
        <w:tblLook w:val="04A0" w:firstRow="1" w:lastRow="0" w:firstColumn="1" w:lastColumn="0" w:noHBand="0" w:noVBand="1"/>
      </w:tblPr>
      <w:tblGrid>
        <w:gridCol w:w="4602"/>
        <w:gridCol w:w="1483"/>
        <w:gridCol w:w="1188"/>
        <w:gridCol w:w="1184"/>
        <w:gridCol w:w="1184"/>
      </w:tblGrid>
      <w:tr w:rsidR="00997637" w:rsidRPr="00A845B7" w14:paraId="6FB0AADF" w14:textId="77777777" w:rsidTr="006F78D1">
        <w:trPr>
          <w:trHeight w:val="525"/>
        </w:trPr>
        <w:tc>
          <w:tcPr>
            <w:tcW w:w="2387" w:type="pct"/>
            <w:tcBorders>
              <w:top w:val="nil"/>
              <w:left w:val="nil"/>
              <w:bottom w:val="single" w:sz="4" w:space="0" w:color="auto"/>
              <w:right w:val="nil"/>
            </w:tcBorders>
            <w:vAlign w:val="bottom"/>
          </w:tcPr>
          <w:p w14:paraId="34BCEE78" w14:textId="77777777" w:rsidR="00997637" w:rsidRPr="00A845B7" w:rsidRDefault="00997637" w:rsidP="00F24C8A">
            <w:pPr>
              <w:jc w:val="left"/>
              <w:rPr>
                <w:rFonts w:ascii="Arial" w:hAnsi="Arial" w:cs="Arial"/>
                <w:bCs/>
              </w:rPr>
            </w:pPr>
          </w:p>
        </w:tc>
        <w:tc>
          <w:tcPr>
            <w:tcW w:w="769" w:type="pct"/>
            <w:tcBorders>
              <w:top w:val="nil"/>
              <w:left w:val="nil"/>
              <w:bottom w:val="single" w:sz="4" w:space="0" w:color="auto"/>
              <w:right w:val="nil"/>
            </w:tcBorders>
            <w:vAlign w:val="bottom"/>
            <w:hideMark/>
          </w:tcPr>
          <w:p w14:paraId="4F1548E2" w14:textId="12AE79EB" w:rsidR="00997637" w:rsidRPr="002A4FC2" w:rsidRDefault="00997637" w:rsidP="00F24C8A">
            <w:pPr>
              <w:jc w:val="right"/>
              <w:rPr>
                <w:rFonts w:ascii="Arial" w:hAnsi="Arial" w:cs="Arial"/>
                <w:b/>
                <w:bCs/>
              </w:rPr>
            </w:pPr>
            <w:r w:rsidRPr="002A4FC2">
              <w:rPr>
                <w:rFonts w:ascii="Arial" w:hAnsi="Arial" w:cs="Arial"/>
                <w:b/>
                <w:bCs/>
              </w:rPr>
              <w:t>201</w:t>
            </w:r>
            <w:r w:rsidR="00355EF2">
              <w:rPr>
                <w:rFonts w:ascii="Arial" w:hAnsi="Arial" w:cs="Arial"/>
                <w:b/>
                <w:bCs/>
              </w:rPr>
              <w:t>7</w:t>
            </w:r>
            <w:r w:rsidRPr="002A4FC2">
              <w:rPr>
                <w:rFonts w:ascii="Arial" w:hAnsi="Arial" w:cs="Arial"/>
                <w:b/>
                <w:bCs/>
              </w:rPr>
              <w:t>/1</w:t>
            </w:r>
            <w:r w:rsidR="00355EF2">
              <w:rPr>
                <w:rFonts w:ascii="Arial" w:hAnsi="Arial" w:cs="Arial"/>
                <w:b/>
                <w:bCs/>
              </w:rPr>
              <w:t>8</w:t>
            </w:r>
          </w:p>
          <w:p w14:paraId="7E99F764" w14:textId="77777777" w:rsidR="00997637" w:rsidRPr="002A4FC2" w:rsidRDefault="00997637" w:rsidP="00F24C8A">
            <w:pPr>
              <w:jc w:val="right"/>
              <w:rPr>
                <w:rFonts w:ascii="Arial" w:hAnsi="Arial" w:cs="Arial"/>
                <w:b/>
                <w:bCs/>
              </w:rPr>
            </w:pPr>
            <w:r w:rsidRPr="002A4FC2">
              <w:rPr>
                <w:rFonts w:ascii="Arial" w:hAnsi="Arial" w:cs="Arial"/>
                <w:b/>
                <w:bCs/>
              </w:rPr>
              <w:t>£</w:t>
            </w:r>
            <w:proofErr w:type="spellStart"/>
            <w:r w:rsidRPr="002A4FC2">
              <w:rPr>
                <w:rFonts w:ascii="Arial" w:hAnsi="Arial" w:cs="Arial"/>
                <w:b/>
                <w:bCs/>
              </w:rPr>
              <w:t>bn</w:t>
            </w:r>
            <w:proofErr w:type="spellEnd"/>
          </w:p>
        </w:tc>
        <w:tc>
          <w:tcPr>
            <w:tcW w:w="616" w:type="pct"/>
            <w:tcBorders>
              <w:top w:val="nil"/>
              <w:left w:val="nil"/>
              <w:bottom w:val="single" w:sz="4" w:space="0" w:color="auto"/>
              <w:right w:val="nil"/>
            </w:tcBorders>
            <w:vAlign w:val="bottom"/>
            <w:hideMark/>
          </w:tcPr>
          <w:p w14:paraId="73B4A9BE" w14:textId="58478927" w:rsidR="00997637" w:rsidRPr="002A4FC2" w:rsidRDefault="00997637" w:rsidP="00F24C8A">
            <w:pPr>
              <w:jc w:val="right"/>
              <w:rPr>
                <w:rFonts w:ascii="Arial" w:hAnsi="Arial" w:cs="Arial"/>
                <w:b/>
                <w:bCs/>
              </w:rPr>
            </w:pPr>
            <w:r w:rsidRPr="002A4FC2">
              <w:rPr>
                <w:rFonts w:ascii="Arial" w:hAnsi="Arial" w:cs="Arial"/>
                <w:b/>
                <w:bCs/>
              </w:rPr>
              <w:t>201</w:t>
            </w:r>
            <w:r w:rsidR="00355EF2">
              <w:rPr>
                <w:rFonts w:ascii="Arial" w:hAnsi="Arial" w:cs="Arial"/>
                <w:b/>
                <w:bCs/>
              </w:rPr>
              <w:t>7</w:t>
            </w:r>
            <w:r w:rsidRPr="002A4FC2">
              <w:rPr>
                <w:rFonts w:ascii="Arial" w:hAnsi="Arial" w:cs="Arial"/>
                <w:b/>
                <w:bCs/>
              </w:rPr>
              <w:t>/1</w:t>
            </w:r>
            <w:r w:rsidR="00355EF2">
              <w:rPr>
                <w:rFonts w:ascii="Arial" w:hAnsi="Arial" w:cs="Arial"/>
                <w:b/>
                <w:bCs/>
              </w:rPr>
              <w:t>8</w:t>
            </w:r>
            <w:r w:rsidRPr="002A4FC2">
              <w:rPr>
                <w:rFonts w:ascii="Arial" w:hAnsi="Arial" w:cs="Arial"/>
                <w:b/>
                <w:bCs/>
              </w:rPr>
              <w:t xml:space="preserve"> Yields</w:t>
            </w:r>
          </w:p>
        </w:tc>
        <w:tc>
          <w:tcPr>
            <w:tcW w:w="614" w:type="pct"/>
            <w:tcBorders>
              <w:top w:val="nil"/>
              <w:left w:val="nil"/>
              <w:bottom w:val="single" w:sz="4" w:space="0" w:color="auto"/>
              <w:right w:val="nil"/>
            </w:tcBorders>
          </w:tcPr>
          <w:p w14:paraId="74E0C5F2" w14:textId="0E7F3A4F" w:rsidR="00997637" w:rsidRPr="00A845B7" w:rsidRDefault="00997637" w:rsidP="00F24C8A">
            <w:pPr>
              <w:jc w:val="right"/>
              <w:rPr>
                <w:rFonts w:ascii="Arial" w:hAnsi="Arial" w:cs="Arial"/>
                <w:bCs/>
              </w:rPr>
            </w:pPr>
            <w:r w:rsidRPr="00A845B7">
              <w:rPr>
                <w:rFonts w:ascii="Arial" w:hAnsi="Arial" w:cs="Arial"/>
                <w:bCs/>
              </w:rPr>
              <w:t>201</w:t>
            </w:r>
            <w:r w:rsidR="00355EF2">
              <w:rPr>
                <w:rFonts w:ascii="Arial" w:hAnsi="Arial" w:cs="Arial"/>
                <w:bCs/>
              </w:rPr>
              <w:t>6</w:t>
            </w:r>
            <w:r w:rsidRPr="00A845B7">
              <w:rPr>
                <w:rFonts w:ascii="Arial" w:hAnsi="Arial" w:cs="Arial"/>
                <w:bCs/>
              </w:rPr>
              <w:t>/1</w:t>
            </w:r>
            <w:r w:rsidR="00355EF2">
              <w:rPr>
                <w:rFonts w:ascii="Arial" w:hAnsi="Arial" w:cs="Arial"/>
                <w:bCs/>
              </w:rPr>
              <w:t>7</w:t>
            </w:r>
          </w:p>
          <w:p w14:paraId="6E16D2B7" w14:textId="77777777" w:rsidR="00997637" w:rsidRPr="00A845B7" w:rsidRDefault="00997637" w:rsidP="00F24C8A">
            <w:pPr>
              <w:jc w:val="right"/>
              <w:rPr>
                <w:rFonts w:ascii="Arial" w:hAnsi="Arial" w:cs="Arial"/>
                <w:bCs/>
              </w:rPr>
            </w:pPr>
            <w:r w:rsidRPr="00A845B7">
              <w:rPr>
                <w:rFonts w:ascii="Arial" w:hAnsi="Arial" w:cs="Arial"/>
                <w:bCs/>
              </w:rPr>
              <w:t>£</w:t>
            </w:r>
            <w:proofErr w:type="spellStart"/>
            <w:r w:rsidRPr="00A845B7">
              <w:rPr>
                <w:rFonts w:ascii="Arial" w:hAnsi="Arial" w:cs="Arial"/>
                <w:bCs/>
              </w:rPr>
              <w:t>bn</w:t>
            </w:r>
            <w:proofErr w:type="spellEnd"/>
          </w:p>
        </w:tc>
        <w:tc>
          <w:tcPr>
            <w:tcW w:w="614" w:type="pct"/>
            <w:tcBorders>
              <w:top w:val="nil"/>
              <w:left w:val="nil"/>
              <w:bottom w:val="single" w:sz="4" w:space="0" w:color="auto"/>
              <w:right w:val="nil"/>
            </w:tcBorders>
          </w:tcPr>
          <w:p w14:paraId="7C9EB5C8" w14:textId="2BB1ED39" w:rsidR="00997637" w:rsidRPr="00A845B7" w:rsidRDefault="00997637" w:rsidP="00F24C8A">
            <w:pPr>
              <w:jc w:val="right"/>
              <w:rPr>
                <w:rFonts w:ascii="Arial" w:hAnsi="Arial" w:cs="Arial"/>
                <w:bCs/>
              </w:rPr>
            </w:pPr>
            <w:r w:rsidRPr="00A845B7">
              <w:rPr>
                <w:rFonts w:ascii="Arial" w:hAnsi="Arial" w:cs="Arial"/>
                <w:bCs/>
              </w:rPr>
              <w:t>201</w:t>
            </w:r>
            <w:r w:rsidR="00355EF2">
              <w:rPr>
                <w:rFonts w:ascii="Arial" w:hAnsi="Arial" w:cs="Arial"/>
                <w:bCs/>
              </w:rPr>
              <w:t>6</w:t>
            </w:r>
            <w:r w:rsidRPr="00A845B7">
              <w:rPr>
                <w:rFonts w:ascii="Arial" w:hAnsi="Arial" w:cs="Arial"/>
                <w:bCs/>
              </w:rPr>
              <w:t>/1</w:t>
            </w:r>
            <w:r w:rsidR="00355EF2">
              <w:rPr>
                <w:rFonts w:ascii="Arial" w:hAnsi="Arial" w:cs="Arial"/>
                <w:bCs/>
              </w:rPr>
              <w:t>7</w:t>
            </w:r>
            <w:r w:rsidRPr="00A845B7">
              <w:rPr>
                <w:rFonts w:ascii="Arial" w:hAnsi="Arial" w:cs="Arial"/>
                <w:bCs/>
              </w:rPr>
              <w:t xml:space="preserve"> Yields</w:t>
            </w:r>
          </w:p>
        </w:tc>
      </w:tr>
      <w:tr w:rsidR="00997637" w:rsidRPr="00A845B7" w14:paraId="3137CA10" w14:textId="77777777" w:rsidTr="006F78D1">
        <w:trPr>
          <w:trHeight w:val="254"/>
        </w:trPr>
        <w:tc>
          <w:tcPr>
            <w:tcW w:w="2387" w:type="pct"/>
            <w:tcBorders>
              <w:top w:val="single" w:sz="4" w:space="0" w:color="auto"/>
            </w:tcBorders>
            <w:vAlign w:val="bottom"/>
          </w:tcPr>
          <w:p w14:paraId="67981888" w14:textId="77777777" w:rsidR="00997637" w:rsidRPr="00A845B7" w:rsidRDefault="00997637" w:rsidP="00F24C8A">
            <w:pPr>
              <w:rPr>
                <w:rFonts w:ascii="Arial" w:hAnsi="Arial" w:cs="Arial"/>
              </w:rPr>
            </w:pPr>
            <w:r w:rsidRPr="00A845B7">
              <w:rPr>
                <w:rFonts w:ascii="Arial" w:hAnsi="Arial" w:cs="Arial"/>
              </w:rPr>
              <w:t>France</w:t>
            </w:r>
          </w:p>
        </w:tc>
        <w:tc>
          <w:tcPr>
            <w:tcW w:w="769" w:type="pct"/>
            <w:tcBorders>
              <w:top w:val="single" w:sz="4" w:space="0" w:color="auto"/>
            </w:tcBorders>
            <w:vAlign w:val="bottom"/>
          </w:tcPr>
          <w:p w14:paraId="50F20C6C" w14:textId="5B129D7F" w:rsidR="00997637" w:rsidRPr="002146A2" w:rsidRDefault="002A4FC2" w:rsidP="00F24C8A">
            <w:pPr>
              <w:jc w:val="right"/>
              <w:rPr>
                <w:rFonts w:ascii="Arial" w:hAnsi="Arial" w:cs="Arial"/>
                <w:b/>
              </w:rPr>
            </w:pPr>
            <w:r w:rsidRPr="002146A2">
              <w:rPr>
                <w:rFonts w:ascii="Arial" w:hAnsi="Arial" w:cs="Arial"/>
                <w:b/>
              </w:rPr>
              <w:t>1.</w:t>
            </w:r>
            <w:r w:rsidR="00170F16">
              <w:rPr>
                <w:rFonts w:ascii="Arial" w:hAnsi="Arial" w:cs="Arial"/>
                <w:b/>
              </w:rPr>
              <w:t>8</w:t>
            </w:r>
          </w:p>
        </w:tc>
        <w:tc>
          <w:tcPr>
            <w:tcW w:w="616" w:type="pct"/>
            <w:tcBorders>
              <w:top w:val="single" w:sz="4" w:space="0" w:color="auto"/>
            </w:tcBorders>
            <w:vAlign w:val="bottom"/>
          </w:tcPr>
          <w:p w14:paraId="70D35E1A" w14:textId="7430F324" w:rsidR="00997637" w:rsidRPr="002146A2" w:rsidRDefault="002A4FC2" w:rsidP="00F24C8A">
            <w:pPr>
              <w:jc w:val="right"/>
              <w:rPr>
                <w:rFonts w:ascii="Arial" w:hAnsi="Arial" w:cs="Arial"/>
                <w:b/>
              </w:rPr>
            </w:pPr>
            <w:r w:rsidRPr="002146A2">
              <w:rPr>
                <w:rFonts w:ascii="Arial" w:hAnsi="Arial" w:cs="Arial"/>
                <w:b/>
              </w:rPr>
              <w:t>7.</w:t>
            </w:r>
            <w:r w:rsidR="00170F16">
              <w:rPr>
                <w:rFonts w:ascii="Arial" w:hAnsi="Arial" w:cs="Arial"/>
                <w:b/>
              </w:rPr>
              <w:t>4</w:t>
            </w:r>
            <w:r w:rsidRPr="002146A2">
              <w:rPr>
                <w:rFonts w:ascii="Arial" w:hAnsi="Arial" w:cs="Arial"/>
                <w:b/>
              </w:rPr>
              <w:t>%</w:t>
            </w:r>
          </w:p>
        </w:tc>
        <w:tc>
          <w:tcPr>
            <w:tcW w:w="614" w:type="pct"/>
            <w:tcBorders>
              <w:top w:val="single" w:sz="4" w:space="0" w:color="auto"/>
            </w:tcBorders>
            <w:vAlign w:val="bottom"/>
          </w:tcPr>
          <w:p w14:paraId="77CE0799" w14:textId="63E661BF" w:rsidR="00997637" w:rsidRPr="004F2746" w:rsidRDefault="00997637" w:rsidP="00F24C8A">
            <w:pPr>
              <w:jc w:val="right"/>
              <w:rPr>
                <w:rFonts w:ascii="Arial" w:hAnsi="Arial" w:cs="Arial"/>
              </w:rPr>
            </w:pPr>
            <w:r w:rsidRPr="004F2746">
              <w:rPr>
                <w:rFonts w:ascii="Arial" w:hAnsi="Arial" w:cs="Arial"/>
              </w:rPr>
              <w:t>1.</w:t>
            </w:r>
            <w:r w:rsidR="00355EF2" w:rsidRPr="004F2746">
              <w:rPr>
                <w:rFonts w:ascii="Arial" w:hAnsi="Arial" w:cs="Arial"/>
              </w:rPr>
              <w:t>7</w:t>
            </w:r>
          </w:p>
        </w:tc>
        <w:tc>
          <w:tcPr>
            <w:tcW w:w="614" w:type="pct"/>
            <w:tcBorders>
              <w:top w:val="single" w:sz="4" w:space="0" w:color="auto"/>
            </w:tcBorders>
            <w:vAlign w:val="bottom"/>
          </w:tcPr>
          <w:p w14:paraId="36067809" w14:textId="1840C584" w:rsidR="00997637" w:rsidRPr="00A845B7" w:rsidRDefault="00997637" w:rsidP="00F24C8A">
            <w:pPr>
              <w:jc w:val="right"/>
              <w:rPr>
                <w:rFonts w:ascii="Arial" w:hAnsi="Arial" w:cs="Arial"/>
              </w:rPr>
            </w:pPr>
            <w:r w:rsidRPr="00A845B7">
              <w:rPr>
                <w:rFonts w:ascii="Arial" w:hAnsi="Arial" w:cs="Arial"/>
              </w:rPr>
              <w:t>7.</w:t>
            </w:r>
            <w:r w:rsidR="00355EF2">
              <w:rPr>
                <w:rFonts w:ascii="Arial" w:hAnsi="Arial" w:cs="Arial"/>
              </w:rPr>
              <w:t>6</w:t>
            </w:r>
            <w:r w:rsidRPr="00A845B7">
              <w:rPr>
                <w:rFonts w:ascii="Arial" w:hAnsi="Arial" w:cs="Arial"/>
              </w:rPr>
              <w:t>%</w:t>
            </w:r>
          </w:p>
        </w:tc>
      </w:tr>
      <w:tr w:rsidR="00997637" w:rsidRPr="00A845B7" w14:paraId="69B8FBC3" w14:textId="77777777" w:rsidTr="006F78D1">
        <w:trPr>
          <w:trHeight w:val="254"/>
        </w:trPr>
        <w:tc>
          <w:tcPr>
            <w:tcW w:w="2387" w:type="pct"/>
            <w:tcBorders>
              <w:left w:val="nil"/>
              <w:bottom w:val="nil"/>
              <w:right w:val="nil"/>
            </w:tcBorders>
            <w:vAlign w:val="bottom"/>
          </w:tcPr>
          <w:p w14:paraId="444F84A8" w14:textId="77777777" w:rsidR="00997637" w:rsidRPr="00A845B7" w:rsidRDefault="00997637" w:rsidP="00F24C8A">
            <w:pPr>
              <w:rPr>
                <w:rFonts w:ascii="Arial" w:hAnsi="Arial" w:cs="Arial"/>
              </w:rPr>
            </w:pPr>
            <w:r w:rsidRPr="00A845B7">
              <w:rPr>
                <w:rFonts w:ascii="Arial" w:hAnsi="Arial" w:cs="Arial"/>
              </w:rPr>
              <w:t>UK</w:t>
            </w:r>
          </w:p>
        </w:tc>
        <w:tc>
          <w:tcPr>
            <w:tcW w:w="769" w:type="pct"/>
            <w:tcBorders>
              <w:left w:val="nil"/>
              <w:bottom w:val="nil"/>
              <w:right w:val="nil"/>
            </w:tcBorders>
            <w:vAlign w:val="bottom"/>
          </w:tcPr>
          <w:p w14:paraId="39A0E764" w14:textId="77777777" w:rsidR="00997637" w:rsidRPr="002146A2" w:rsidRDefault="002A4FC2" w:rsidP="00F24C8A">
            <w:pPr>
              <w:jc w:val="right"/>
              <w:rPr>
                <w:rFonts w:ascii="Arial" w:hAnsi="Arial" w:cs="Arial"/>
                <w:b/>
              </w:rPr>
            </w:pPr>
            <w:r w:rsidRPr="002146A2">
              <w:rPr>
                <w:rFonts w:ascii="Arial" w:hAnsi="Arial" w:cs="Arial"/>
                <w:b/>
              </w:rPr>
              <w:t>0.8</w:t>
            </w:r>
          </w:p>
        </w:tc>
        <w:tc>
          <w:tcPr>
            <w:tcW w:w="616" w:type="pct"/>
            <w:tcBorders>
              <w:left w:val="nil"/>
              <w:bottom w:val="nil"/>
              <w:right w:val="nil"/>
            </w:tcBorders>
            <w:vAlign w:val="bottom"/>
          </w:tcPr>
          <w:p w14:paraId="6CD9B04E" w14:textId="14EC9C66" w:rsidR="00997637" w:rsidRPr="002146A2" w:rsidRDefault="00170F16" w:rsidP="00F24C8A">
            <w:pPr>
              <w:jc w:val="right"/>
              <w:rPr>
                <w:rFonts w:ascii="Arial" w:hAnsi="Arial" w:cs="Arial"/>
                <w:b/>
              </w:rPr>
            </w:pPr>
            <w:r>
              <w:rPr>
                <w:rFonts w:ascii="Arial" w:hAnsi="Arial" w:cs="Arial"/>
                <w:b/>
              </w:rPr>
              <w:t>6.1</w:t>
            </w:r>
            <w:r w:rsidR="002A4FC2" w:rsidRPr="002146A2">
              <w:rPr>
                <w:rFonts w:ascii="Arial" w:hAnsi="Arial" w:cs="Arial"/>
                <w:b/>
              </w:rPr>
              <w:t>%</w:t>
            </w:r>
          </w:p>
        </w:tc>
        <w:tc>
          <w:tcPr>
            <w:tcW w:w="614" w:type="pct"/>
            <w:tcBorders>
              <w:left w:val="nil"/>
              <w:bottom w:val="nil"/>
              <w:right w:val="nil"/>
            </w:tcBorders>
            <w:vAlign w:val="bottom"/>
          </w:tcPr>
          <w:p w14:paraId="764D9D63" w14:textId="77777777" w:rsidR="00997637" w:rsidRPr="004F2746" w:rsidRDefault="00997637" w:rsidP="00F24C8A">
            <w:pPr>
              <w:jc w:val="right"/>
              <w:rPr>
                <w:rFonts w:ascii="Arial" w:hAnsi="Arial" w:cs="Arial"/>
              </w:rPr>
            </w:pPr>
            <w:r w:rsidRPr="004F2746">
              <w:rPr>
                <w:rFonts w:ascii="Arial" w:hAnsi="Arial" w:cs="Arial"/>
              </w:rPr>
              <w:t>0.8</w:t>
            </w:r>
          </w:p>
        </w:tc>
        <w:tc>
          <w:tcPr>
            <w:tcW w:w="614" w:type="pct"/>
            <w:tcBorders>
              <w:left w:val="nil"/>
              <w:bottom w:val="nil"/>
              <w:right w:val="nil"/>
            </w:tcBorders>
            <w:vAlign w:val="bottom"/>
          </w:tcPr>
          <w:p w14:paraId="1A9BE550" w14:textId="07E6065D" w:rsidR="00997637" w:rsidRPr="00A845B7" w:rsidRDefault="00355EF2" w:rsidP="00F24C8A">
            <w:pPr>
              <w:jc w:val="right"/>
              <w:rPr>
                <w:rFonts w:ascii="Arial" w:hAnsi="Arial" w:cs="Arial"/>
              </w:rPr>
            </w:pPr>
            <w:r>
              <w:rPr>
                <w:rFonts w:ascii="Arial" w:hAnsi="Arial" w:cs="Arial"/>
              </w:rPr>
              <w:t>5.9</w:t>
            </w:r>
            <w:r w:rsidR="00997637" w:rsidRPr="00A845B7">
              <w:rPr>
                <w:rFonts w:ascii="Arial" w:hAnsi="Arial" w:cs="Arial"/>
              </w:rPr>
              <w:t>%</w:t>
            </w:r>
          </w:p>
        </w:tc>
      </w:tr>
      <w:tr w:rsidR="00997637" w:rsidRPr="00A845B7" w14:paraId="247E34FD" w14:textId="77777777" w:rsidTr="006F78D1">
        <w:trPr>
          <w:trHeight w:val="254"/>
        </w:trPr>
        <w:tc>
          <w:tcPr>
            <w:tcW w:w="2387" w:type="pct"/>
            <w:vAlign w:val="bottom"/>
          </w:tcPr>
          <w:p w14:paraId="789F4F8A" w14:textId="77777777" w:rsidR="00997637" w:rsidRPr="00A845B7" w:rsidRDefault="00997637" w:rsidP="00F24C8A">
            <w:pPr>
              <w:rPr>
                <w:rFonts w:ascii="Arial" w:hAnsi="Arial" w:cs="Arial"/>
              </w:rPr>
            </w:pPr>
            <w:r w:rsidRPr="00A845B7">
              <w:rPr>
                <w:rFonts w:ascii="Arial" w:hAnsi="Arial" w:cs="Arial"/>
              </w:rPr>
              <w:t>Poland</w:t>
            </w:r>
          </w:p>
        </w:tc>
        <w:tc>
          <w:tcPr>
            <w:tcW w:w="769" w:type="pct"/>
            <w:vAlign w:val="bottom"/>
          </w:tcPr>
          <w:p w14:paraId="12BB49F6" w14:textId="77777777" w:rsidR="00997637" w:rsidRPr="002146A2" w:rsidRDefault="002A4FC2" w:rsidP="00F24C8A">
            <w:pPr>
              <w:jc w:val="right"/>
              <w:rPr>
                <w:rFonts w:ascii="Arial" w:hAnsi="Arial" w:cs="Arial"/>
                <w:b/>
              </w:rPr>
            </w:pPr>
            <w:r w:rsidRPr="002146A2">
              <w:rPr>
                <w:rFonts w:ascii="Arial" w:hAnsi="Arial" w:cs="Arial"/>
                <w:b/>
              </w:rPr>
              <w:t>0.6</w:t>
            </w:r>
          </w:p>
        </w:tc>
        <w:tc>
          <w:tcPr>
            <w:tcW w:w="616" w:type="pct"/>
            <w:vAlign w:val="bottom"/>
          </w:tcPr>
          <w:p w14:paraId="36111A57" w14:textId="77777777" w:rsidR="00997637" w:rsidRPr="002146A2" w:rsidRDefault="002A4FC2" w:rsidP="00F24C8A">
            <w:pPr>
              <w:jc w:val="right"/>
              <w:rPr>
                <w:rFonts w:ascii="Arial" w:hAnsi="Arial" w:cs="Arial"/>
                <w:b/>
              </w:rPr>
            </w:pPr>
            <w:r w:rsidRPr="002146A2">
              <w:rPr>
                <w:rFonts w:ascii="Arial" w:hAnsi="Arial" w:cs="Arial"/>
                <w:b/>
              </w:rPr>
              <w:t>7.7%</w:t>
            </w:r>
          </w:p>
        </w:tc>
        <w:tc>
          <w:tcPr>
            <w:tcW w:w="614" w:type="pct"/>
            <w:vAlign w:val="bottom"/>
          </w:tcPr>
          <w:p w14:paraId="492C4961" w14:textId="1E8ED41C" w:rsidR="00997637" w:rsidRPr="004F2746" w:rsidRDefault="00997637" w:rsidP="00F24C8A">
            <w:pPr>
              <w:jc w:val="right"/>
              <w:rPr>
                <w:rFonts w:ascii="Arial" w:hAnsi="Arial" w:cs="Arial"/>
              </w:rPr>
            </w:pPr>
            <w:r w:rsidRPr="004F2746">
              <w:rPr>
                <w:rFonts w:ascii="Arial" w:hAnsi="Arial" w:cs="Arial"/>
              </w:rPr>
              <w:t>0.</w:t>
            </w:r>
            <w:r w:rsidR="00355EF2" w:rsidRPr="004F2746">
              <w:rPr>
                <w:rFonts w:ascii="Arial" w:hAnsi="Arial" w:cs="Arial"/>
              </w:rPr>
              <w:t>6</w:t>
            </w:r>
          </w:p>
        </w:tc>
        <w:tc>
          <w:tcPr>
            <w:tcW w:w="614" w:type="pct"/>
            <w:vAlign w:val="bottom"/>
          </w:tcPr>
          <w:p w14:paraId="4307FCE8" w14:textId="686C0418" w:rsidR="00997637" w:rsidRPr="00A845B7" w:rsidRDefault="00997637" w:rsidP="00F24C8A">
            <w:pPr>
              <w:jc w:val="right"/>
              <w:rPr>
                <w:rFonts w:ascii="Arial" w:hAnsi="Arial" w:cs="Arial"/>
              </w:rPr>
            </w:pPr>
            <w:r w:rsidRPr="00A845B7">
              <w:rPr>
                <w:rFonts w:ascii="Arial" w:hAnsi="Arial" w:cs="Arial"/>
              </w:rPr>
              <w:t>7.</w:t>
            </w:r>
            <w:r w:rsidR="00355EF2">
              <w:rPr>
                <w:rFonts w:ascii="Arial" w:hAnsi="Arial" w:cs="Arial"/>
              </w:rPr>
              <w:t>7</w:t>
            </w:r>
            <w:r w:rsidRPr="00A845B7">
              <w:rPr>
                <w:rFonts w:ascii="Arial" w:hAnsi="Arial" w:cs="Arial"/>
              </w:rPr>
              <w:t>%</w:t>
            </w:r>
          </w:p>
        </w:tc>
      </w:tr>
      <w:tr w:rsidR="00997637" w:rsidRPr="00A845B7" w14:paraId="0B3A2BAC" w14:textId="77777777" w:rsidTr="006F78D1">
        <w:trPr>
          <w:trHeight w:val="308"/>
        </w:trPr>
        <w:tc>
          <w:tcPr>
            <w:tcW w:w="2387" w:type="pct"/>
            <w:tcBorders>
              <w:top w:val="nil"/>
              <w:left w:val="nil"/>
              <w:bottom w:val="single" w:sz="4" w:space="0" w:color="auto"/>
              <w:right w:val="nil"/>
            </w:tcBorders>
            <w:vAlign w:val="bottom"/>
          </w:tcPr>
          <w:p w14:paraId="18C3862F" w14:textId="77777777" w:rsidR="00997637" w:rsidRPr="00A845B7" w:rsidRDefault="00997637" w:rsidP="00F24C8A">
            <w:pPr>
              <w:jc w:val="left"/>
              <w:rPr>
                <w:rFonts w:ascii="Arial" w:hAnsi="Arial" w:cs="Arial"/>
              </w:rPr>
            </w:pPr>
            <w:r w:rsidRPr="00A845B7">
              <w:rPr>
                <w:rFonts w:ascii="Arial" w:hAnsi="Arial" w:cs="Arial"/>
              </w:rPr>
              <w:t>Other</w:t>
            </w:r>
          </w:p>
        </w:tc>
        <w:tc>
          <w:tcPr>
            <w:tcW w:w="769" w:type="pct"/>
            <w:tcBorders>
              <w:top w:val="nil"/>
              <w:left w:val="nil"/>
              <w:bottom w:val="single" w:sz="4" w:space="0" w:color="auto"/>
              <w:right w:val="nil"/>
            </w:tcBorders>
            <w:vAlign w:val="bottom"/>
          </w:tcPr>
          <w:p w14:paraId="1FFF7C5D" w14:textId="77777777" w:rsidR="00997637" w:rsidRPr="002146A2" w:rsidRDefault="002A4FC2" w:rsidP="00F24C8A">
            <w:pPr>
              <w:jc w:val="right"/>
              <w:rPr>
                <w:rFonts w:ascii="Arial" w:hAnsi="Arial" w:cs="Arial"/>
                <w:b/>
              </w:rPr>
            </w:pPr>
            <w:r w:rsidRPr="002146A2">
              <w:rPr>
                <w:rFonts w:ascii="Arial" w:hAnsi="Arial" w:cs="Arial"/>
                <w:b/>
              </w:rPr>
              <w:t>0.3</w:t>
            </w:r>
          </w:p>
        </w:tc>
        <w:tc>
          <w:tcPr>
            <w:tcW w:w="616" w:type="pct"/>
            <w:tcBorders>
              <w:top w:val="nil"/>
              <w:left w:val="nil"/>
              <w:bottom w:val="single" w:sz="4" w:space="0" w:color="auto"/>
              <w:right w:val="nil"/>
            </w:tcBorders>
            <w:vAlign w:val="bottom"/>
          </w:tcPr>
          <w:p w14:paraId="2752B39C" w14:textId="77777777" w:rsidR="00997637" w:rsidRPr="002146A2" w:rsidRDefault="001A5F2E" w:rsidP="00F24C8A">
            <w:pPr>
              <w:jc w:val="right"/>
              <w:rPr>
                <w:rFonts w:ascii="Arial" w:hAnsi="Arial" w:cs="Arial"/>
                <w:b/>
              </w:rPr>
            </w:pPr>
            <w:r w:rsidRPr="002146A2">
              <w:rPr>
                <w:rFonts w:ascii="Arial" w:hAnsi="Arial" w:cs="Arial"/>
                <w:b/>
              </w:rPr>
              <w:t>-</w:t>
            </w:r>
          </w:p>
        </w:tc>
        <w:tc>
          <w:tcPr>
            <w:tcW w:w="614" w:type="pct"/>
            <w:tcBorders>
              <w:top w:val="nil"/>
              <w:left w:val="nil"/>
              <w:bottom w:val="single" w:sz="4" w:space="0" w:color="auto"/>
              <w:right w:val="nil"/>
            </w:tcBorders>
            <w:vAlign w:val="bottom"/>
          </w:tcPr>
          <w:p w14:paraId="2AC12783" w14:textId="12E60954" w:rsidR="00997637" w:rsidRPr="004F2746" w:rsidRDefault="00997637" w:rsidP="00F24C8A">
            <w:pPr>
              <w:jc w:val="right"/>
              <w:rPr>
                <w:rFonts w:ascii="Arial" w:hAnsi="Arial" w:cs="Arial"/>
              </w:rPr>
            </w:pPr>
            <w:r w:rsidRPr="004F2746">
              <w:rPr>
                <w:rFonts w:ascii="Arial" w:hAnsi="Arial" w:cs="Arial"/>
              </w:rPr>
              <w:t>0.</w:t>
            </w:r>
            <w:r w:rsidR="00355EF2" w:rsidRPr="004F2746">
              <w:rPr>
                <w:rFonts w:ascii="Arial" w:hAnsi="Arial" w:cs="Arial"/>
              </w:rPr>
              <w:t>3</w:t>
            </w:r>
          </w:p>
        </w:tc>
        <w:tc>
          <w:tcPr>
            <w:tcW w:w="614" w:type="pct"/>
            <w:tcBorders>
              <w:top w:val="nil"/>
              <w:left w:val="nil"/>
              <w:bottom w:val="single" w:sz="4" w:space="0" w:color="auto"/>
              <w:right w:val="nil"/>
            </w:tcBorders>
            <w:vAlign w:val="bottom"/>
          </w:tcPr>
          <w:p w14:paraId="4F159D23" w14:textId="77777777" w:rsidR="00997637" w:rsidRPr="00A845B7" w:rsidRDefault="00997637" w:rsidP="00F24C8A">
            <w:pPr>
              <w:jc w:val="right"/>
              <w:rPr>
                <w:rFonts w:ascii="Arial" w:hAnsi="Arial" w:cs="Arial"/>
              </w:rPr>
            </w:pPr>
            <w:r w:rsidRPr="00A845B7">
              <w:rPr>
                <w:rFonts w:ascii="Arial" w:hAnsi="Arial" w:cs="Arial"/>
              </w:rPr>
              <w:t>-</w:t>
            </w:r>
          </w:p>
        </w:tc>
      </w:tr>
      <w:tr w:rsidR="00997637" w:rsidRPr="00A845B7" w14:paraId="7E7B0409" w14:textId="77777777" w:rsidTr="006F78D1">
        <w:trPr>
          <w:trHeight w:val="308"/>
        </w:trPr>
        <w:tc>
          <w:tcPr>
            <w:tcW w:w="2387" w:type="pct"/>
            <w:tcBorders>
              <w:top w:val="single" w:sz="4" w:space="0" w:color="auto"/>
              <w:left w:val="nil"/>
              <w:bottom w:val="single" w:sz="4" w:space="0" w:color="auto"/>
              <w:right w:val="nil"/>
            </w:tcBorders>
            <w:vAlign w:val="bottom"/>
          </w:tcPr>
          <w:p w14:paraId="51AA24CC" w14:textId="77777777" w:rsidR="00997637" w:rsidRPr="00A845B7" w:rsidRDefault="00997637" w:rsidP="00F24C8A">
            <w:pPr>
              <w:jc w:val="left"/>
              <w:rPr>
                <w:rFonts w:ascii="Arial" w:hAnsi="Arial" w:cs="Arial"/>
                <w:b/>
              </w:rPr>
            </w:pPr>
            <w:r w:rsidRPr="00A845B7">
              <w:rPr>
                <w:rFonts w:ascii="Arial" w:hAnsi="Arial" w:cs="Arial"/>
                <w:b/>
              </w:rPr>
              <w:t>Total</w:t>
            </w:r>
          </w:p>
        </w:tc>
        <w:tc>
          <w:tcPr>
            <w:tcW w:w="769" w:type="pct"/>
            <w:tcBorders>
              <w:top w:val="single" w:sz="4" w:space="0" w:color="auto"/>
              <w:left w:val="nil"/>
              <w:bottom w:val="single" w:sz="4" w:space="0" w:color="auto"/>
              <w:right w:val="nil"/>
            </w:tcBorders>
            <w:vAlign w:val="bottom"/>
          </w:tcPr>
          <w:p w14:paraId="0752929C" w14:textId="5438B352" w:rsidR="00997637" w:rsidRPr="002146A2" w:rsidRDefault="002A4FC2" w:rsidP="00F24C8A">
            <w:pPr>
              <w:jc w:val="right"/>
              <w:rPr>
                <w:rFonts w:ascii="Arial" w:hAnsi="Arial" w:cs="Arial"/>
                <w:b/>
              </w:rPr>
            </w:pPr>
            <w:r w:rsidRPr="002146A2">
              <w:rPr>
                <w:rFonts w:ascii="Arial" w:hAnsi="Arial" w:cs="Arial"/>
                <w:b/>
              </w:rPr>
              <w:t>3.</w:t>
            </w:r>
            <w:r w:rsidR="00170F16">
              <w:rPr>
                <w:rFonts w:ascii="Arial" w:hAnsi="Arial" w:cs="Arial"/>
                <w:b/>
              </w:rPr>
              <w:t>5</w:t>
            </w:r>
          </w:p>
        </w:tc>
        <w:tc>
          <w:tcPr>
            <w:tcW w:w="616" w:type="pct"/>
            <w:tcBorders>
              <w:top w:val="single" w:sz="4" w:space="0" w:color="auto"/>
              <w:left w:val="nil"/>
              <w:right w:val="nil"/>
            </w:tcBorders>
            <w:vAlign w:val="bottom"/>
          </w:tcPr>
          <w:p w14:paraId="05CF1EC0" w14:textId="77777777" w:rsidR="00997637" w:rsidRPr="002146A2" w:rsidRDefault="00997637" w:rsidP="00F24C8A">
            <w:pPr>
              <w:jc w:val="right"/>
              <w:rPr>
                <w:rFonts w:ascii="Arial" w:hAnsi="Arial" w:cs="Arial"/>
              </w:rPr>
            </w:pPr>
          </w:p>
        </w:tc>
        <w:tc>
          <w:tcPr>
            <w:tcW w:w="614" w:type="pct"/>
            <w:tcBorders>
              <w:top w:val="single" w:sz="4" w:space="0" w:color="auto"/>
              <w:left w:val="nil"/>
              <w:bottom w:val="single" w:sz="4" w:space="0" w:color="auto"/>
              <w:right w:val="nil"/>
            </w:tcBorders>
            <w:vAlign w:val="bottom"/>
          </w:tcPr>
          <w:p w14:paraId="75DB6870" w14:textId="1E00919E" w:rsidR="00997637" w:rsidRPr="004F2746" w:rsidRDefault="00355EF2" w:rsidP="00F24C8A">
            <w:pPr>
              <w:jc w:val="right"/>
              <w:rPr>
                <w:rFonts w:ascii="Arial" w:hAnsi="Arial" w:cs="Arial"/>
              </w:rPr>
            </w:pPr>
            <w:r w:rsidRPr="004F2746">
              <w:rPr>
                <w:rFonts w:ascii="Arial" w:hAnsi="Arial" w:cs="Arial"/>
              </w:rPr>
              <w:t>3.4</w:t>
            </w:r>
          </w:p>
        </w:tc>
        <w:tc>
          <w:tcPr>
            <w:tcW w:w="614" w:type="pct"/>
            <w:tcBorders>
              <w:top w:val="single" w:sz="4" w:space="0" w:color="auto"/>
              <w:left w:val="nil"/>
              <w:right w:val="nil"/>
            </w:tcBorders>
            <w:vAlign w:val="bottom"/>
          </w:tcPr>
          <w:p w14:paraId="7D4295D5" w14:textId="77777777" w:rsidR="00997637" w:rsidRPr="00A845B7" w:rsidRDefault="00997637" w:rsidP="00F24C8A">
            <w:pPr>
              <w:jc w:val="right"/>
              <w:rPr>
                <w:rFonts w:ascii="Arial" w:hAnsi="Arial" w:cs="Arial"/>
              </w:rPr>
            </w:pPr>
          </w:p>
        </w:tc>
      </w:tr>
    </w:tbl>
    <w:p w14:paraId="5056D09E" w14:textId="77777777" w:rsidR="00997637" w:rsidRDefault="00997637" w:rsidP="00997637">
      <w:pPr>
        <w:jc w:val="left"/>
        <w:rPr>
          <w:rFonts w:ascii="Arial" w:hAnsi="Arial" w:cs="Arial"/>
          <w:bCs/>
          <w:sz w:val="24"/>
          <w:szCs w:val="24"/>
        </w:rPr>
      </w:pPr>
    </w:p>
    <w:p w14:paraId="2D8E2746" w14:textId="5D0D564F" w:rsidR="00997637" w:rsidRPr="00686C6E" w:rsidRDefault="00997637" w:rsidP="00997637">
      <w:pPr>
        <w:jc w:val="left"/>
        <w:rPr>
          <w:rFonts w:ascii="Arial" w:hAnsi="Arial" w:cs="Arial"/>
          <w:b/>
        </w:rPr>
      </w:pPr>
      <w:r w:rsidRPr="004F2746">
        <w:rPr>
          <w:rFonts w:ascii="Arial" w:hAnsi="Arial" w:cs="Arial"/>
        </w:rPr>
        <w:t xml:space="preserve">This is compared to the net book value of </w:t>
      </w:r>
      <w:r w:rsidRPr="002146A2">
        <w:rPr>
          <w:rFonts w:ascii="Arial" w:hAnsi="Arial" w:cs="Arial"/>
        </w:rPr>
        <w:t>£</w:t>
      </w:r>
      <w:r w:rsidR="002A4FC2" w:rsidRPr="002146A2">
        <w:rPr>
          <w:rFonts w:ascii="Arial" w:hAnsi="Arial" w:cs="Arial"/>
        </w:rPr>
        <w:t>2.</w:t>
      </w:r>
      <w:r w:rsidR="000504ED">
        <w:rPr>
          <w:rFonts w:ascii="Arial" w:hAnsi="Arial" w:cs="Arial"/>
        </w:rPr>
        <w:t>8</w:t>
      </w:r>
      <w:r w:rsidRPr="002146A2">
        <w:rPr>
          <w:rFonts w:ascii="Arial" w:hAnsi="Arial" w:cs="Arial"/>
        </w:rPr>
        <w:t xml:space="preserve"> billion</w:t>
      </w:r>
      <w:r w:rsidRPr="00FC5F48">
        <w:rPr>
          <w:rFonts w:ascii="Arial" w:hAnsi="Arial" w:cs="Arial"/>
        </w:rPr>
        <w:t xml:space="preserve"> (201</w:t>
      </w:r>
      <w:r w:rsidR="00355EF2" w:rsidRPr="00FC5F48">
        <w:rPr>
          <w:rFonts w:ascii="Arial" w:hAnsi="Arial" w:cs="Arial"/>
        </w:rPr>
        <w:t>6</w:t>
      </w:r>
      <w:r w:rsidRPr="00FC5F48">
        <w:rPr>
          <w:rFonts w:ascii="Arial" w:hAnsi="Arial" w:cs="Arial"/>
        </w:rPr>
        <w:t>/1</w:t>
      </w:r>
      <w:r w:rsidR="00355EF2" w:rsidRPr="00FC5F48">
        <w:rPr>
          <w:rFonts w:ascii="Arial" w:hAnsi="Arial" w:cs="Arial"/>
        </w:rPr>
        <w:t>7</w:t>
      </w:r>
      <w:r w:rsidRPr="00FC5F48">
        <w:rPr>
          <w:rFonts w:ascii="Arial" w:hAnsi="Arial" w:cs="Arial"/>
        </w:rPr>
        <w:t>: £2.</w:t>
      </w:r>
      <w:r w:rsidR="00355EF2" w:rsidRPr="00FC5F48">
        <w:rPr>
          <w:rFonts w:ascii="Arial" w:hAnsi="Arial" w:cs="Arial"/>
        </w:rPr>
        <w:t>7</w:t>
      </w:r>
      <w:r w:rsidRPr="00FC5F48">
        <w:rPr>
          <w:rFonts w:ascii="Arial" w:hAnsi="Arial" w:cs="Arial"/>
        </w:rPr>
        <w:t xml:space="preserve"> billion) recorded in the financial statements. </w:t>
      </w:r>
      <w:r w:rsidRPr="00FC5F48">
        <w:rPr>
          <w:rFonts w:ascii="Arial" w:hAnsi="Arial" w:cs="Arial"/>
          <w:bCs/>
        </w:rPr>
        <w:t>Balance sheet values were frozen at 1 February 2004 on the transition to IFRS.</w:t>
      </w:r>
      <w:r w:rsidRPr="00686C6E">
        <w:rPr>
          <w:rFonts w:ascii="Arial" w:hAnsi="Arial" w:cs="Arial"/>
          <w:bCs/>
        </w:rPr>
        <w:t xml:space="preserve"> </w:t>
      </w:r>
    </w:p>
    <w:bookmarkEnd w:id="43"/>
    <w:p w14:paraId="41857528" w14:textId="77777777" w:rsidR="00997637" w:rsidRPr="00686C6E" w:rsidRDefault="00997637" w:rsidP="00997637">
      <w:pPr>
        <w:jc w:val="left"/>
        <w:rPr>
          <w:rFonts w:ascii="Arial" w:hAnsi="Arial" w:cs="Arial"/>
          <w:highlight w:val="yellow"/>
        </w:rPr>
      </w:pPr>
    </w:p>
    <w:p w14:paraId="37EC595F" w14:textId="77777777" w:rsidR="00997637" w:rsidRPr="00A845B7" w:rsidRDefault="00997637" w:rsidP="00997637">
      <w:pPr>
        <w:jc w:val="left"/>
        <w:rPr>
          <w:rFonts w:ascii="Arial" w:hAnsi="Arial" w:cs="Arial"/>
          <w:b/>
        </w:rPr>
      </w:pPr>
      <w:r w:rsidRPr="00A845B7">
        <w:rPr>
          <w:rFonts w:ascii="Arial" w:hAnsi="Arial" w:cs="Arial"/>
          <w:b/>
        </w:rPr>
        <w:t>Retail profit on a fully rented basis</w:t>
      </w:r>
    </w:p>
    <w:p w14:paraId="012D6330" w14:textId="77777777" w:rsidR="00997637" w:rsidRPr="00A845B7" w:rsidRDefault="00997637" w:rsidP="00997637">
      <w:pPr>
        <w:jc w:val="left"/>
        <w:rPr>
          <w:rFonts w:ascii="Arial" w:hAnsi="Arial" w:cs="Arial"/>
          <w:b/>
        </w:rPr>
      </w:pPr>
    </w:p>
    <w:p w14:paraId="4542DB77" w14:textId="77777777" w:rsidR="00997637" w:rsidRPr="00A845B7" w:rsidRDefault="00997637" w:rsidP="00997637">
      <w:pPr>
        <w:jc w:val="left"/>
        <w:rPr>
          <w:rFonts w:ascii="Arial" w:hAnsi="Arial" w:cs="Arial"/>
          <w:bCs/>
        </w:rPr>
      </w:pPr>
      <w:r w:rsidRPr="00A845B7">
        <w:rPr>
          <w:rFonts w:ascii="Arial" w:hAnsi="Arial" w:cs="Arial"/>
          <w:bCs/>
        </w:rPr>
        <w:t xml:space="preserve">The Group currently operates out of a mix of freehold and leasehold property, with the mix varying significantly between our geographic markets. </w:t>
      </w:r>
      <w:proofErr w:type="gramStart"/>
      <w:r w:rsidRPr="00A845B7">
        <w:rPr>
          <w:rFonts w:ascii="Arial" w:hAnsi="Arial" w:cs="Arial"/>
          <w:bCs/>
        </w:rPr>
        <w:t>In order to</w:t>
      </w:r>
      <w:proofErr w:type="gramEnd"/>
      <w:r w:rsidRPr="00A845B7">
        <w:rPr>
          <w:rFonts w:ascii="Arial" w:hAnsi="Arial" w:cs="Arial"/>
          <w:bCs/>
        </w:rPr>
        <w:t xml:space="preserve"> more easily compare divisional performance, a summary of the retail profit margins on a fully rented basis are set out below:</w:t>
      </w:r>
    </w:p>
    <w:p w14:paraId="30EA3275" w14:textId="77777777" w:rsidR="00997637" w:rsidRPr="00A845B7" w:rsidRDefault="00997637" w:rsidP="00997637">
      <w:pPr>
        <w:jc w:val="left"/>
        <w:rPr>
          <w:rFonts w:ascii="Arial" w:hAnsi="Arial" w:cs="Arial"/>
          <w:bCs/>
        </w:rPr>
      </w:pPr>
    </w:p>
    <w:tbl>
      <w:tblPr>
        <w:tblW w:w="5000" w:type="pct"/>
        <w:tblLook w:val="04A0" w:firstRow="1" w:lastRow="0" w:firstColumn="1" w:lastColumn="0" w:noHBand="0" w:noVBand="1"/>
      </w:tblPr>
      <w:tblGrid>
        <w:gridCol w:w="4824"/>
        <w:gridCol w:w="1807"/>
        <w:gridCol w:w="1506"/>
        <w:gridCol w:w="1504"/>
      </w:tblGrid>
      <w:tr w:rsidR="00997637" w:rsidRPr="00A845B7" w14:paraId="0E3ED8A1" w14:textId="77777777" w:rsidTr="006F78D1">
        <w:trPr>
          <w:trHeight w:val="254"/>
        </w:trPr>
        <w:tc>
          <w:tcPr>
            <w:tcW w:w="2502" w:type="pct"/>
            <w:tcBorders>
              <w:bottom w:val="single" w:sz="4" w:space="0" w:color="auto"/>
            </w:tcBorders>
          </w:tcPr>
          <w:p w14:paraId="239E89B9" w14:textId="77777777" w:rsidR="00997637" w:rsidRPr="00A845B7" w:rsidRDefault="00997637" w:rsidP="00F24C8A">
            <w:pPr>
              <w:rPr>
                <w:rFonts w:ascii="Arial" w:hAnsi="Arial" w:cs="Arial"/>
              </w:rPr>
            </w:pPr>
          </w:p>
        </w:tc>
        <w:tc>
          <w:tcPr>
            <w:tcW w:w="937" w:type="pct"/>
            <w:tcBorders>
              <w:bottom w:val="single" w:sz="4" w:space="0" w:color="auto"/>
            </w:tcBorders>
            <w:shd w:val="clear" w:color="000000" w:fill="FFFFFF"/>
            <w:vAlign w:val="bottom"/>
          </w:tcPr>
          <w:p w14:paraId="1416422C" w14:textId="77777777" w:rsidR="00997637" w:rsidRPr="00A845B7" w:rsidRDefault="00997637" w:rsidP="00F24C8A">
            <w:pPr>
              <w:jc w:val="right"/>
              <w:rPr>
                <w:rFonts w:ascii="Arial" w:hAnsi="Arial" w:cs="Arial"/>
              </w:rPr>
            </w:pPr>
            <w:r w:rsidRPr="00A845B7">
              <w:rPr>
                <w:rFonts w:ascii="Arial" w:hAnsi="Arial" w:cs="Arial"/>
                <w:b/>
                <w:bCs/>
              </w:rPr>
              <w:t xml:space="preserve">UK &amp; Ireland </w:t>
            </w:r>
          </w:p>
        </w:tc>
        <w:tc>
          <w:tcPr>
            <w:tcW w:w="781" w:type="pct"/>
            <w:tcBorders>
              <w:bottom w:val="single" w:sz="4" w:space="0" w:color="auto"/>
            </w:tcBorders>
            <w:shd w:val="clear" w:color="000000" w:fill="FFFFFF"/>
            <w:vAlign w:val="bottom"/>
          </w:tcPr>
          <w:p w14:paraId="34F53BCC" w14:textId="77777777" w:rsidR="00997637" w:rsidRPr="00A845B7" w:rsidRDefault="00997637" w:rsidP="00F24C8A">
            <w:pPr>
              <w:jc w:val="right"/>
              <w:rPr>
                <w:rFonts w:ascii="Arial" w:hAnsi="Arial" w:cs="Arial"/>
                <w:b/>
                <w:bCs/>
              </w:rPr>
            </w:pPr>
            <w:r w:rsidRPr="00A845B7">
              <w:rPr>
                <w:rFonts w:ascii="Arial" w:hAnsi="Arial" w:cs="Arial"/>
                <w:b/>
                <w:bCs/>
              </w:rPr>
              <w:t>France</w:t>
            </w:r>
          </w:p>
        </w:tc>
        <w:tc>
          <w:tcPr>
            <w:tcW w:w="780" w:type="pct"/>
            <w:tcBorders>
              <w:bottom w:val="single" w:sz="4" w:space="0" w:color="auto"/>
            </w:tcBorders>
            <w:shd w:val="clear" w:color="000000" w:fill="FFFFFF"/>
            <w:vAlign w:val="bottom"/>
          </w:tcPr>
          <w:p w14:paraId="3F03C239" w14:textId="77777777" w:rsidR="00997637" w:rsidRPr="00A845B7" w:rsidRDefault="00997637" w:rsidP="00F24C8A">
            <w:pPr>
              <w:jc w:val="right"/>
              <w:rPr>
                <w:rFonts w:ascii="Arial" w:hAnsi="Arial" w:cs="Arial"/>
              </w:rPr>
            </w:pPr>
            <w:r w:rsidRPr="00A845B7">
              <w:rPr>
                <w:rFonts w:ascii="Arial" w:hAnsi="Arial" w:cs="Arial"/>
                <w:b/>
                <w:bCs/>
              </w:rPr>
              <w:t>Poland</w:t>
            </w:r>
          </w:p>
        </w:tc>
      </w:tr>
      <w:tr w:rsidR="00997637" w:rsidRPr="00A845B7" w14:paraId="30982702" w14:textId="77777777" w:rsidTr="006F78D1">
        <w:trPr>
          <w:trHeight w:val="254"/>
        </w:trPr>
        <w:tc>
          <w:tcPr>
            <w:tcW w:w="2502" w:type="pct"/>
            <w:tcBorders>
              <w:top w:val="single" w:sz="4" w:space="0" w:color="auto"/>
            </w:tcBorders>
            <w:shd w:val="clear" w:color="auto" w:fill="auto"/>
            <w:vAlign w:val="center"/>
          </w:tcPr>
          <w:p w14:paraId="1C095CC0" w14:textId="77777777" w:rsidR="00997637" w:rsidRPr="00A845B7" w:rsidRDefault="00997637" w:rsidP="00F24C8A">
            <w:pPr>
              <w:rPr>
                <w:rFonts w:ascii="Arial" w:hAnsi="Arial" w:cs="Arial"/>
              </w:rPr>
            </w:pPr>
            <w:r w:rsidRPr="00A845B7">
              <w:rPr>
                <w:rFonts w:ascii="Arial" w:hAnsi="Arial" w:cs="Arial"/>
              </w:rPr>
              <w:t>Retail Profit %</w:t>
            </w:r>
          </w:p>
        </w:tc>
        <w:tc>
          <w:tcPr>
            <w:tcW w:w="937" w:type="pct"/>
            <w:tcBorders>
              <w:top w:val="single" w:sz="4" w:space="0" w:color="auto"/>
            </w:tcBorders>
            <w:shd w:val="clear" w:color="auto" w:fill="auto"/>
          </w:tcPr>
          <w:p w14:paraId="2E37F76F" w14:textId="20B777F6" w:rsidR="00997637" w:rsidRPr="006766EB" w:rsidRDefault="00997637" w:rsidP="00F24C8A">
            <w:pPr>
              <w:jc w:val="right"/>
              <w:rPr>
                <w:rFonts w:ascii="Arial" w:hAnsi="Arial" w:cs="Arial"/>
              </w:rPr>
            </w:pPr>
            <w:r w:rsidRPr="006766EB">
              <w:rPr>
                <w:rFonts w:ascii="Arial" w:hAnsi="Arial" w:cs="Arial"/>
              </w:rPr>
              <w:t>7.</w:t>
            </w:r>
            <w:r w:rsidR="006766EB">
              <w:rPr>
                <w:rFonts w:ascii="Arial" w:hAnsi="Arial" w:cs="Arial"/>
              </w:rPr>
              <w:t>5</w:t>
            </w:r>
            <w:r w:rsidRPr="006766EB">
              <w:rPr>
                <w:rFonts w:ascii="Arial" w:hAnsi="Arial" w:cs="Arial"/>
              </w:rPr>
              <w:t>%</w:t>
            </w:r>
          </w:p>
        </w:tc>
        <w:tc>
          <w:tcPr>
            <w:tcW w:w="781" w:type="pct"/>
            <w:tcBorders>
              <w:top w:val="single" w:sz="4" w:space="0" w:color="auto"/>
            </w:tcBorders>
          </w:tcPr>
          <w:p w14:paraId="341C3451" w14:textId="3981EBD7" w:rsidR="00997637" w:rsidRPr="006766EB" w:rsidRDefault="006766EB" w:rsidP="00F24C8A">
            <w:pPr>
              <w:jc w:val="right"/>
              <w:rPr>
                <w:rFonts w:ascii="Arial" w:hAnsi="Arial" w:cs="Arial"/>
              </w:rPr>
            </w:pPr>
            <w:r>
              <w:rPr>
                <w:rFonts w:ascii="Arial" w:hAnsi="Arial" w:cs="Arial"/>
              </w:rPr>
              <w:t>7</w:t>
            </w:r>
            <w:r w:rsidR="00997637" w:rsidRPr="006766EB">
              <w:rPr>
                <w:rFonts w:ascii="Arial" w:hAnsi="Arial" w:cs="Arial"/>
              </w:rPr>
              <w:t>.3%</w:t>
            </w:r>
          </w:p>
        </w:tc>
        <w:tc>
          <w:tcPr>
            <w:tcW w:w="780" w:type="pct"/>
            <w:tcBorders>
              <w:top w:val="single" w:sz="4" w:space="0" w:color="auto"/>
            </w:tcBorders>
            <w:shd w:val="clear" w:color="auto" w:fill="auto"/>
          </w:tcPr>
          <w:p w14:paraId="390FDCD8" w14:textId="484157EB" w:rsidR="00997637" w:rsidRPr="006766EB" w:rsidRDefault="00997637" w:rsidP="00F24C8A">
            <w:pPr>
              <w:jc w:val="right"/>
              <w:rPr>
                <w:rFonts w:ascii="Arial" w:hAnsi="Arial" w:cs="Arial"/>
              </w:rPr>
            </w:pPr>
            <w:r w:rsidRPr="006766EB">
              <w:rPr>
                <w:rFonts w:ascii="Arial" w:hAnsi="Arial" w:cs="Arial"/>
              </w:rPr>
              <w:t>12.</w:t>
            </w:r>
            <w:r w:rsidR="006766EB">
              <w:rPr>
                <w:rFonts w:ascii="Arial" w:hAnsi="Arial" w:cs="Arial"/>
              </w:rPr>
              <w:t>3</w:t>
            </w:r>
            <w:r w:rsidRPr="006766EB">
              <w:rPr>
                <w:rFonts w:ascii="Arial" w:hAnsi="Arial" w:cs="Arial"/>
              </w:rPr>
              <w:t>%</w:t>
            </w:r>
          </w:p>
        </w:tc>
      </w:tr>
      <w:tr w:rsidR="00997637" w:rsidRPr="00A845B7" w14:paraId="7FF2FEC5" w14:textId="77777777" w:rsidTr="006F78D1">
        <w:trPr>
          <w:trHeight w:val="254"/>
        </w:trPr>
        <w:tc>
          <w:tcPr>
            <w:tcW w:w="2502" w:type="pct"/>
            <w:shd w:val="clear" w:color="auto" w:fill="auto"/>
            <w:vAlign w:val="center"/>
          </w:tcPr>
          <w:p w14:paraId="581D37B7" w14:textId="77777777" w:rsidR="00997637" w:rsidRPr="00A845B7" w:rsidRDefault="00997637" w:rsidP="00F24C8A">
            <w:pPr>
              <w:rPr>
                <w:rFonts w:ascii="Arial" w:hAnsi="Arial" w:cs="Arial"/>
              </w:rPr>
            </w:pPr>
            <w:r w:rsidRPr="00A845B7">
              <w:rPr>
                <w:rFonts w:ascii="Arial" w:hAnsi="Arial" w:cs="Arial"/>
              </w:rPr>
              <w:t>Adjustment to Leasehold Basis</w:t>
            </w:r>
          </w:p>
        </w:tc>
        <w:tc>
          <w:tcPr>
            <w:tcW w:w="937" w:type="pct"/>
            <w:shd w:val="clear" w:color="auto" w:fill="auto"/>
          </w:tcPr>
          <w:p w14:paraId="73EF45F6" w14:textId="77777777" w:rsidR="00997637" w:rsidRPr="006766EB" w:rsidRDefault="00997637" w:rsidP="00F24C8A">
            <w:pPr>
              <w:jc w:val="right"/>
              <w:rPr>
                <w:rFonts w:ascii="Arial" w:hAnsi="Arial" w:cs="Arial"/>
              </w:rPr>
            </w:pPr>
            <w:r w:rsidRPr="006766EB">
              <w:rPr>
                <w:rFonts w:ascii="Arial" w:hAnsi="Arial" w:cs="Arial"/>
              </w:rPr>
              <w:t>(</w:t>
            </w:r>
            <w:proofErr w:type="gramStart"/>
            <w:r w:rsidRPr="006766EB">
              <w:rPr>
                <w:rFonts w:ascii="Arial" w:hAnsi="Arial" w:cs="Arial"/>
              </w:rPr>
              <w:t>0.9)%</w:t>
            </w:r>
            <w:proofErr w:type="gramEnd"/>
          </w:p>
        </w:tc>
        <w:tc>
          <w:tcPr>
            <w:tcW w:w="781" w:type="pct"/>
          </w:tcPr>
          <w:p w14:paraId="3D5BF071" w14:textId="0DD6B0C9" w:rsidR="00997637" w:rsidRPr="006766EB" w:rsidRDefault="00997637" w:rsidP="00F24C8A">
            <w:pPr>
              <w:jc w:val="right"/>
              <w:rPr>
                <w:rFonts w:ascii="Arial" w:hAnsi="Arial" w:cs="Arial"/>
              </w:rPr>
            </w:pPr>
            <w:r w:rsidRPr="006766EB">
              <w:rPr>
                <w:rFonts w:ascii="Arial" w:hAnsi="Arial" w:cs="Arial"/>
              </w:rPr>
              <w:t>(</w:t>
            </w:r>
            <w:proofErr w:type="gramStart"/>
            <w:r w:rsidRPr="006766EB">
              <w:rPr>
                <w:rFonts w:ascii="Arial" w:hAnsi="Arial" w:cs="Arial"/>
              </w:rPr>
              <w:t>2.</w:t>
            </w:r>
            <w:r w:rsidR="006766EB">
              <w:rPr>
                <w:rFonts w:ascii="Arial" w:hAnsi="Arial" w:cs="Arial"/>
              </w:rPr>
              <w:t>9</w:t>
            </w:r>
            <w:r w:rsidRPr="006766EB">
              <w:rPr>
                <w:rFonts w:ascii="Arial" w:hAnsi="Arial" w:cs="Arial"/>
              </w:rPr>
              <w:t>)%</w:t>
            </w:r>
            <w:proofErr w:type="gramEnd"/>
          </w:p>
        </w:tc>
        <w:tc>
          <w:tcPr>
            <w:tcW w:w="780" w:type="pct"/>
            <w:shd w:val="clear" w:color="auto" w:fill="auto"/>
          </w:tcPr>
          <w:p w14:paraId="0B24057B" w14:textId="0048BD68" w:rsidR="00997637" w:rsidRPr="006766EB" w:rsidRDefault="00997637" w:rsidP="00F24C8A">
            <w:pPr>
              <w:jc w:val="right"/>
              <w:rPr>
                <w:rFonts w:ascii="Arial" w:hAnsi="Arial" w:cs="Arial"/>
              </w:rPr>
            </w:pPr>
            <w:r w:rsidRPr="006766EB">
              <w:rPr>
                <w:rFonts w:ascii="Arial" w:hAnsi="Arial" w:cs="Arial"/>
              </w:rPr>
              <w:t>(</w:t>
            </w:r>
            <w:proofErr w:type="gramStart"/>
            <w:r w:rsidRPr="006766EB">
              <w:rPr>
                <w:rFonts w:ascii="Arial" w:hAnsi="Arial" w:cs="Arial"/>
              </w:rPr>
              <w:t>3.</w:t>
            </w:r>
            <w:r w:rsidR="006766EB">
              <w:rPr>
                <w:rFonts w:ascii="Arial" w:hAnsi="Arial" w:cs="Arial"/>
              </w:rPr>
              <w:t>2</w:t>
            </w:r>
            <w:r w:rsidRPr="006766EB">
              <w:rPr>
                <w:rFonts w:ascii="Arial" w:hAnsi="Arial" w:cs="Arial"/>
              </w:rPr>
              <w:t>)%</w:t>
            </w:r>
            <w:proofErr w:type="gramEnd"/>
          </w:p>
        </w:tc>
      </w:tr>
      <w:tr w:rsidR="00997637" w:rsidRPr="00A845B7" w14:paraId="43EE00BD" w14:textId="77777777" w:rsidTr="006F78D1">
        <w:trPr>
          <w:trHeight w:val="254"/>
        </w:trPr>
        <w:tc>
          <w:tcPr>
            <w:tcW w:w="2502" w:type="pct"/>
            <w:tcBorders>
              <w:bottom w:val="single" w:sz="4" w:space="0" w:color="auto"/>
            </w:tcBorders>
            <w:shd w:val="clear" w:color="auto" w:fill="auto"/>
            <w:vAlign w:val="center"/>
          </w:tcPr>
          <w:p w14:paraId="2824C986" w14:textId="77777777" w:rsidR="00997637" w:rsidRPr="00A845B7" w:rsidRDefault="00997637" w:rsidP="00F24C8A">
            <w:pPr>
              <w:rPr>
                <w:rFonts w:ascii="Arial" w:hAnsi="Arial" w:cs="Arial"/>
              </w:rPr>
            </w:pPr>
            <w:r w:rsidRPr="00A845B7">
              <w:rPr>
                <w:rFonts w:ascii="Arial" w:hAnsi="Arial" w:cs="Arial"/>
              </w:rPr>
              <w:t>Retail Profit % on Leasehold Basis</w:t>
            </w:r>
          </w:p>
        </w:tc>
        <w:tc>
          <w:tcPr>
            <w:tcW w:w="937" w:type="pct"/>
            <w:tcBorders>
              <w:bottom w:val="single" w:sz="4" w:space="0" w:color="auto"/>
            </w:tcBorders>
            <w:shd w:val="clear" w:color="auto" w:fill="auto"/>
          </w:tcPr>
          <w:p w14:paraId="2653DA32" w14:textId="0196DC9B" w:rsidR="00997637" w:rsidRPr="006766EB" w:rsidRDefault="00997637" w:rsidP="00F24C8A">
            <w:pPr>
              <w:jc w:val="right"/>
              <w:rPr>
                <w:rFonts w:ascii="Arial" w:hAnsi="Arial" w:cs="Arial"/>
              </w:rPr>
            </w:pPr>
            <w:r w:rsidRPr="006766EB">
              <w:rPr>
                <w:rFonts w:ascii="Arial" w:hAnsi="Arial" w:cs="Arial"/>
              </w:rPr>
              <w:t>6.</w:t>
            </w:r>
            <w:r w:rsidR="006766EB">
              <w:rPr>
                <w:rFonts w:ascii="Arial" w:hAnsi="Arial" w:cs="Arial"/>
              </w:rPr>
              <w:t>6</w:t>
            </w:r>
            <w:r w:rsidRPr="006766EB">
              <w:rPr>
                <w:rFonts w:ascii="Arial" w:hAnsi="Arial" w:cs="Arial"/>
              </w:rPr>
              <w:t>%</w:t>
            </w:r>
          </w:p>
        </w:tc>
        <w:tc>
          <w:tcPr>
            <w:tcW w:w="781" w:type="pct"/>
            <w:tcBorders>
              <w:bottom w:val="single" w:sz="4" w:space="0" w:color="auto"/>
            </w:tcBorders>
          </w:tcPr>
          <w:p w14:paraId="79E672B2" w14:textId="11F400AB" w:rsidR="00997637" w:rsidRPr="006766EB" w:rsidRDefault="006766EB" w:rsidP="00F24C8A">
            <w:pPr>
              <w:jc w:val="right"/>
              <w:rPr>
                <w:rFonts w:ascii="Arial" w:hAnsi="Arial" w:cs="Arial"/>
              </w:rPr>
            </w:pPr>
            <w:r>
              <w:rPr>
                <w:rFonts w:ascii="Arial" w:hAnsi="Arial" w:cs="Arial"/>
              </w:rPr>
              <w:t>4</w:t>
            </w:r>
            <w:r w:rsidR="00A5019B" w:rsidRPr="006766EB">
              <w:rPr>
                <w:rFonts w:ascii="Arial" w:hAnsi="Arial" w:cs="Arial"/>
              </w:rPr>
              <w:t>.</w:t>
            </w:r>
            <w:r>
              <w:rPr>
                <w:rFonts w:ascii="Arial" w:hAnsi="Arial" w:cs="Arial"/>
              </w:rPr>
              <w:t>4</w:t>
            </w:r>
            <w:r w:rsidR="00997637" w:rsidRPr="006766EB">
              <w:rPr>
                <w:rFonts w:ascii="Arial" w:hAnsi="Arial" w:cs="Arial"/>
              </w:rPr>
              <w:t>%</w:t>
            </w:r>
          </w:p>
        </w:tc>
        <w:tc>
          <w:tcPr>
            <w:tcW w:w="780" w:type="pct"/>
            <w:tcBorders>
              <w:bottom w:val="single" w:sz="4" w:space="0" w:color="auto"/>
            </w:tcBorders>
            <w:shd w:val="clear" w:color="auto" w:fill="auto"/>
          </w:tcPr>
          <w:p w14:paraId="18CB2242" w14:textId="6790C840" w:rsidR="00997637" w:rsidRPr="006766EB" w:rsidRDefault="006766EB" w:rsidP="00F24C8A">
            <w:pPr>
              <w:jc w:val="right"/>
              <w:rPr>
                <w:rFonts w:ascii="Arial" w:hAnsi="Arial" w:cs="Arial"/>
              </w:rPr>
            </w:pPr>
            <w:r>
              <w:rPr>
                <w:rFonts w:ascii="Arial" w:hAnsi="Arial" w:cs="Arial"/>
              </w:rPr>
              <w:t>9</w:t>
            </w:r>
            <w:r w:rsidR="00A5019B" w:rsidRPr="006766EB">
              <w:rPr>
                <w:rFonts w:ascii="Arial" w:hAnsi="Arial" w:cs="Arial"/>
              </w:rPr>
              <w:t>.</w:t>
            </w:r>
            <w:r>
              <w:rPr>
                <w:rFonts w:ascii="Arial" w:hAnsi="Arial" w:cs="Arial"/>
              </w:rPr>
              <w:t>1</w:t>
            </w:r>
            <w:r w:rsidR="00997637" w:rsidRPr="006766EB">
              <w:rPr>
                <w:rFonts w:ascii="Arial" w:hAnsi="Arial" w:cs="Arial"/>
              </w:rPr>
              <w:t>%</w:t>
            </w:r>
          </w:p>
        </w:tc>
      </w:tr>
    </w:tbl>
    <w:p w14:paraId="1C9F266F" w14:textId="77777777" w:rsidR="00997637" w:rsidRDefault="00997637" w:rsidP="00997637">
      <w:pPr>
        <w:jc w:val="left"/>
        <w:rPr>
          <w:rFonts w:ascii="Arial" w:hAnsi="Arial" w:cs="Arial"/>
          <w:b/>
          <w:sz w:val="24"/>
          <w:szCs w:val="24"/>
        </w:rPr>
      </w:pPr>
    </w:p>
    <w:p w14:paraId="209226A6" w14:textId="77777777" w:rsidR="00997637" w:rsidRDefault="00997637">
      <w:pPr>
        <w:jc w:val="left"/>
        <w:rPr>
          <w:rFonts w:ascii="Arial" w:hAnsi="Arial" w:cs="Arial"/>
          <w:b/>
          <w:bCs/>
          <w:sz w:val="24"/>
          <w:szCs w:val="24"/>
        </w:rPr>
      </w:pPr>
      <w:bookmarkStart w:id="44" w:name="FR"/>
      <w:bookmarkEnd w:id="44"/>
      <w:r>
        <w:rPr>
          <w:rFonts w:ascii="Arial" w:hAnsi="Arial" w:cs="Arial"/>
          <w:b/>
          <w:bCs/>
          <w:sz w:val="24"/>
          <w:szCs w:val="24"/>
        </w:rPr>
        <w:br w:type="page"/>
      </w:r>
    </w:p>
    <w:p w14:paraId="21E17C3B" w14:textId="77777777" w:rsidR="000265B9" w:rsidRPr="00A845B7" w:rsidRDefault="00DA4C33">
      <w:pPr>
        <w:jc w:val="left"/>
        <w:rPr>
          <w:rFonts w:ascii="Arial" w:hAnsi="Arial" w:cs="Arial"/>
        </w:rPr>
      </w:pPr>
      <w:r w:rsidRPr="00A845B7">
        <w:rPr>
          <w:rFonts w:ascii="Arial" w:hAnsi="Arial" w:cs="Arial"/>
          <w:b/>
          <w:bCs/>
        </w:rPr>
        <w:lastRenderedPageBreak/>
        <w:t>Se</w:t>
      </w:r>
      <w:r w:rsidR="000265B9" w:rsidRPr="00A845B7">
        <w:rPr>
          <w:rFonts w:ascii="Arial" w:hAnsi="Arial" w:cs="Arial"/>
          <w:b/>
          <w:bCs/>
        </w:rPr>
        <w:t>ction 5: Glossary (terms are listed in alphabetical order)</w:t>
      </w:r>
    </w:p>
    <w:p w14:paraId="6267B9AD" w14:textId="77777777" w:rsidR="000265B9" w:rsidRPr="00A845B7" w:rsidRDefault="000265B9" w:rsidP="000265B9">
      <w:pPr>
        <w:rPr>
          <w:rFonts w:ascii="Arial" w:hAnsi="Arial" w:cs="Arial"/>
          <w:b/>
        </w:rPr>
      </w:pPr>
    </w:p>
    <w:tbl>
      <w:tblPr>
        <w:tblStyle w:val="TableGrid"/>
        <w:tblW w:w="0" w:type="auto"/>
        <w:tblLook w:val="04A0" w:firstRow="1" w:lastRow="0" w:firstColumn="1" w:lastColumn="0" w:noHBand="0" w:noVBand="1"/>
      </w:tblPr>
      <w:tblGrid>
        <w:gridCol w:w="9631"/>
      </w:tblGrid>
      <w:tr w:rsidR="00120C4A" w14:paraId="68F3E22D" w14:textId="77777777" w:rsidTr="00120C4A">
        <w:tc>
          <w:tcPr>
            <w:tcW w:w="9631" w:type="dxa"/>
          </w:tcPr>
          <w:p w14:paraId="0556BA30" w14:textId="77777777" w:rsidR="00120C4A" w:rsidRPr="00120C4A" w:rsidRDefault="00120C4A" w:rsidP="00120C4A">
            <w:pPr>
              <w:jc w:val="left"/>
              <w:rPr>
                <w:rFonts w:ascii="Arial" w:hAnsi="Arial" w:cs="Arial"/>
                <w:b/>
                <w:sz w:val="22"/>
                <w:szCs w:val="22"/>
              </w:rPr>
            </w:pPr>
            <w:bookmarkStart w:id="45" w:name="_Hlk509246186"/>
            <w:r w:rsidRPr="00120C4A">
              <w:rPr>
                <w:rFonts w:ascii="Arial" w:hAnsi="Arial" w:cs="Arial"/>
                <w:b/>
                <w:sz w:val="22"/>
                <w:szCs w:val="22"/>
              </w:rPr>
              <w:t>Alternative Performance Measures (APMs)</w:t>
            </w:r>
          </w:p>
          <w:p w14:paraId="6B317EEE" w14:textId="77777777" w:rsidR="00120C4A" w:rsidRPr="00120C4A" w:rsidRDefault="00120C4A" w:rsidP="00120C4A">
            <w:pPr>
              <w:jc w:val="left"/>
              <w:rPr>
                <w:rFonts w:ascii="Arial" w:hAnsi="Arial" w:cs="Arial"/>
                <w:sz w:val="22"/>
                <w:szCs w:val="22"/>
              </w:rPr>
            </w:pPr>
            <w:r w:rsidRPr="00120C4A">
              <w:rPr>
                <w:rFonts w:ascii="Arial" w:hAnsi="Arial" w:cs="Arial"/>
                <w:sz w:val="22"/>
                <w:szCs w:val="22"/>
              </w:rPr>
              <w:t>In the reporting of financial information, the Directors have adopted various Alternative Performance Measures (APMs), also termed non-GAAP measures of historical or future financial performance, position or cash flows other than those defined or specified under International Financial Reporting Standards (IFRS). These measures are not defined by IFRS and therefore may not be directly comparable with other companies’ APMs, including those in the Group’s industry. APMs should be considered in addition to, and are not intended to be a substitute for, or superior to, IFRS measurements. Included in the glossary below are the definitions and references to reconciliations to the IFRS measures of the various APMs used by the Group. Alternative performance measures are denoted by the symbol †.</w:t>
            </w:r>
          </w:p>
          <w:p w14:paraId="018BBD90" w14:textId="77777777" w:rsidR="00120C4A" w:rsidRDefault="00120C4A" w:rsidP="00120C4A">
            <w:pPr>
              <w:jc w:val="left"/>
              <w:rPr>
                <w:rFonts w:ascii="Arial" w:hAnsi="Arial" w:cs="Arial"/>
                <w:b/>
                <w:szCs w:val="24"/>
              </w:rPr>
            </w:pPr>
          </w:p>
        </w:tc>
      </w:tr>
      <w:bookmarkEnd w:id="45"/>
    </w:tbl>
    <w:p w14:paraId="78EB69AF" w14:textId="77777777" w:rsidR="00120C4A" w:rsidRDefault="00120C4A" w:rsidP="00120C4A">
      <w:pPr>
        <w:jc w:val="left"/>
        <w:rPr>
          <w:rFonts w:ascii="Arial" w:hAnsi="Arial" w:cs="Arial"/>
          <w:b/>
          <w:szCs w:val="24"/>
        </w:rPr>
      </w:pPr>
    </w:p>
    <w:p w14:paraId="404AFE4F" w14:textId="2E81CF02" w:rsidR="00355EF2" w:rsidRPr="00AC598B" w:rsidRDefault="00355EF2" w:rsidP="00355EF2">
      <w:pPr>
        <w:jc w:val="left"/>
        <w:rPr>
          <w:rFonts w:ascii="Arial" w:hAnsi="Arial" w:cs="Arial"/>
          <w:iCs/>
          <w:szCs w:val="24"/>
        </w:rPr>
      </w:pPr>
      <w:r w:rsidRPr="00AC598B">
        <w:rPr>
          <w:rFonts w:ascii="Arial" w:hAnsi="Arial" w:cs="Arial"/>
          <w:b/>
          <w:szCs w:val="24"/>
        </w:rPr>
        <w:t>Adjusted</w:t>
      </w:r>
      <w:r w:rsidRPr="00AC598B">
        <w:rPr>
          <w:rFonts w:ascii="Arial" w:hAnsi="Arial" w:cs="Arial"/>
          <w:iCs/>
          <w:szCs w:val="24"/>
        </w:rPr>
        <w:t xml:space="preserve"> </w:t>
      </w:r>
      <w:r w:rsidR="00120C4A" w:rsidRPr="00120C4A">
        <w:rPr>
          <w:rFonts w:ascii="Arial" w:hAnsi="Arial" w:cs="Arial"/>
          <w:iCs/>
          <w:szCs w:val="24"/>
        </w:rPr>
        <w:t xml:space="preserve">† </w:t>
      </w:r>
      <w:r w:rsidRPr="00AC598B">
        <w:rPr>
          <w:rFonts w:ascii="Arial" w:hAnsi="Arial" w:cs="Arial"/>
          <w:iCs/>
          <w:szCs w:val="24"/>
        </w:rPr>
        <w:t xml:space="preserve">measures are before exceptional items, FFVR, amortisation of acquisition intangibles, related tax items and tax on prior year items including the impact of rate changes on deferred tax. </w:t>
      </w:r>
    </w:p>
    <w:p w14:paraId="7875943B" w14:textId="77777777" w:rsidR="00CD58E9" w:rsidRPr="00A845B7" w:rsidRDefault="00CD58E9" w:rsidP="000265B9">
      <w:pPr>
        <w:jc w:val="left"/>
        <w:rPr>
          <w:rFonts w:ascii="Arial" w:hAnsi="Arial" w:cs="Arial"/>
          <w:iCs/>
        </w:rPr>
      </w:pPr>
    </w:p>
    <w:p w14:paraId="3DB80091" w14:textId="383A3B5A" w:rsidR="0091328D" w:rsidRPr="00A845B7" w:rsidRDefault="00CD58E9" w:rsidP="000265B9">
      <w:pPr>
        <w:jc w:val="left"/>
        <w:rPr>
          <w:rFonts w:ascii="Arial" w:hAnsi="Arial" w:cs="Arial"/>
          <w:iCs/>
        </w:rPr>
      </w:pPr>
      <w:bookmarkStart w:id="46" w:name="_Hlk509246231"/>
      <w:r w:rsidRPr="00A845B7">
        <w:rPr>
          <w:rFonts w:ascii="Arial" w:hAnsi="Arial" w:cs="Arial"/>
          <w:b/>
          <w:iCs/>
        </w:rPr>
        <w:t>Adjusted pre-tax profit</w:t>
      </w:r>
      <w:r w:rsidRPr="00A845B7">
        <w:rPr>
          <w:rFonts w:ascii="Arial" w:hAnsi="Arial" w:cs="Arial"/>
          <w:iCs/>
        </w:rPr>
        <w:t xml:space="preserve"> </w:t>
      </w:r>
      <w:r w:rsidR="00120C4A" w:rsidRPr="00120C4A">
        <w:rPr>
          <w:rFonts w:ascii="Arial" w:hAnsi="Arial" w:cs="Arial"/>
          <w:iCs/>
          <w:szCs w:val="24"/>
        </w:rPr>
        <w:t>†</w:t>
      </w:r>
      <w:r w:rsidR="00120C4A">
        <w:rPr>
          <w:rFonts w:ascii="Arial" w:hAnsi="Arial" w:cs="Arial"/>
          <w:iCs/>
          <w:szCs w:val="24"/>
        </w:rPr>
        <w:t xml:space="preserve"> </w:t>
      </w:r>
      <w:r w:rsidRPr="00A845B7">
        <w:rPr>
          <w:rFonts w:ascii="Arial" w:hAnsi="Arial" w:cs="Arial"/>
          <w:iCs/>
        </w:rPr>
        <w:t xml:space="preserve">is used to report the performance of the business at a Group level including </w:t>
      </w:r>
      <w:r w:rsidR="00072B44" w:rsidRPr="00A845B7">
        <w:rPr>
          <w:rFonts w:ascii="Arial" w:hAnsi="Arial" w:cs="Arial"/>
          <w:iCs/>
        </w:rPr>
        <w:t xml:space="preserve">both the benefits of our </w:t>
      </w:r>
      <w:r w:rsidRPr="00A845B7">
        <w:rPr>
          <w:rFonts w:ascii="Arial" w:hAnsi="Arial" w:cs="Arial"/>
          <w:iCs/>
        </w:rPr>
        <w:t xml:space="preserve">transformation </w:t>
      </w:r>
      <w:r w:rsidR="00072B44" w:rsidRPr="00A845B7">
        <w:rPr>
          <w:rFonts w:ascii="Arial" w:hAnsi="Arial" w:cs="Arial"/>
          <w:iCs/>
        </w:rPr>
        <w:t xml:space="preserve">programme and the associated </w:t>
      </w:r>
      <w:r w:rsidR="000B266B" w:rsidRPr="00A845B7">
        <w:rPr>
          <w:rFonts w:ascii="Arial" w:hAnsi="Arial" w:cs="Arial"/>
          <w:iCs/>
        </w:rPr>
        <w:t>costs</w:t>
      </w:r>
      <w:r w:rsidRPr="00A845B7">
        <w:rPr>
          <w:rFonts w:ascii="Arial" w:hAnsi="Arial" w:cs="Arial"/>
          <w:iCs/>
        </w:rPr>
        <w:t xml:space="preserve">. This is stated before exceptional items and FFVR. </w:t>
      </w:r>
      <w:r w:rsidR="00A824DF" w:rsidRPr="00A824DF">
        <w:rPr>
          <w:rFonts w:ascii="Arial" w:hAnsi="Arial" w:cs="Arial"/>
          <w:iCs/>
        </w:rPr>
        <w:t>The exclusion of exceptional items and FFVR helps provide an indication of the Group’s ongoing business performance. A reconciliation to statutory pre-tax profit is set out in the Financial Review (Section 4).</w:t>
      </w:r>
    </w:p>
    <w:p w14:paraId="7ECD0B5F" w14:textId="77777777" w:rsidR="000265B9" w:rsidRPr="00A845B7" w:rsidRDefault="000265B9" w:rsidP="00A824DF">
      <w:pPr>
        <w:jc w:val="left"/>
        <w:rPr>
          <w:rFonts w:ascii="Arial" w:hAnsi="Arial" w:cs="Arial"/>
          <w:iCs/>
        </w:rPr>
      </w:pPr>
    </w:p>
    <w:p w14:paraId="1238D719" w14:textId="77777777" w:rsidR="000265B9" w:rsidRPr="00A845B7" w:rsidRDefault="000265B9" w:rsidP="000265B9">
      <w:pPr>
        <w:jc w:val="left"/>
        <w:rPr>
          <w:rFonts w:ascii="Arial" w:hAnsi="Arial" w:cs="Arial"/>
          <w:iCs/>
        </w:rPr>
      </w:pPr>
      <w:r w:rsidRPr="00A845B7">
        <w:rPr>
          <w:rFonts w:ascii="Arial" w:hAnsi="Arial" w:cs="Arial"/>
          <w:b/>
          <w:iCs/>
        </w:rPr>
        <w:t xml:space="preserve">Banque de France </w:t>
      </w:r>
      <w:r w:rsidRPr="00A845B7">
        <w:rPr>
          <w:rFonts w:ascii="Arial" w:hAnsi="Arial" w:cs="Arial"/>
          <w:iCs/>
        </w:rPr>
        <w:t xml:space="preserve">data includes relocated and extended stores. </w:t>
      </w:r>
    </w:p>
    <w:p w14:paraId="29A0A430" w14:textId="77777777" w:rsidR="000265B9" w:rsidRPr="00A845B7" w:rsidRDefault="00B3349B" w:rsidP="000265B9">
      <w:pPr>
        <w:jc w:val="left"/>
        <w:rPr>
          <w:rFonts w:ascii="Arial" w:hAnsi="Arial" w:cs="Arial"/>
          <w:iCs/>
        </w:rPr>
      </w:pPr>
      <w:hyperlink r:id="rId11" w:history="1">
        <w:r w:rsidR="000265B9" w:rsidRPr="00A845B7">
          <w:rPr>
            <w:rStyle w:val="Hyperlink"/>
            <w:rFonts w:ascii="Arial" w:hAnsi="Arial" w:cs="Arial"/>
            <w:iCs/>
          </w:rPr>
          <w:t>http://webstat.banque-france.fr/en/browse.do?node=5384326</w:t>
        </w:r>
      </w:hyperlink>
    </w:p>
    <w:p w14:paraId="12C79191" w14:textId="77777777" w:rsidR="000265B9" w:rsidRPr="00A845B7" w:rsidRDefault="000265B9" w:rsidP="000265B9">
      <w:pPr>
        <w:rPr>
          <w:rFonts w:ascii="Arial" w:hAnsi="Arial" w:cs="Arial"/>
          <w:b/>
          <w:iCs/>
        </w:rPr>
      </w:pPr>
    </w:p>
    <w:p w14:paraId="6BB0AD94" w14:textId="43FCEE20" w:rsidR="00A824DF" w:rsidRDefault="00A824DF" w:rsidP="001A5F2E">
      <w:pPr>
        <w:jc w:val="left"/>
        <w:rPr>
          <w:rFonts w:ascii="Arial" w:hAnsi="Arial" w:cs="Arial"/>
          <w:b/>
          <w:iCs/>
        </w:rPr>
      </w:pPr>
      <w:r w:rsidRPr="00A824DF">
        <w:rPr>
          <w:rFonts w:ascii="Arial" w:hAnsi="Arial" w:cs="Arial"/>
          <w:b/>
          <w:iCs/>
        </w:rPr>
        <w:t>Constant currency</w:t>
      </w:r>
      <w:r w:rsidRPr="00940B1C">
        <w:rPr>
          <w:rFonts w:ascii="Arial" w:hAnsi="Arial" w:cs="Arial"/>
          <w:iCs/>
        </w:rPr>
        <w:t xml:space="preserve"> </w:t>
      </w:r>
      <w:r w:rsidR="00120C4A" w:rsidRPr="00120C4A">
        <w:rPr>
          <w:rFonts w:ascii="Arial" w:hAnsi="Arial" w:cs="Arial"/>
          <w:iCs/>
          <w:szCs w:val="24"/>
        </w:rPr>
        <w:t>†</w:t>
      </w:r>
      <w:r w:rsidR="00120C4A">
        <w:rPr>
          <w:rFonts w:ascii="Arial" w:hAnsi="Arial" w:cs="Arial"/>
          <w:iCs/>
          <w:szCs w:val="24"/>
        </w:rPr>
        <w:t xml:space="preserve"> </w:t>
      </w:r>
      <w:r w:rsidRPr="00940B1C">
        <w:rPr>
          <w:rFonts w:ascii="Arial" w:hAnsi="Arial" w:cs="Arial"/>
          <w:iCs/>
        </w:rPr>
        <w:t>changes in total sales, LFL sales and retail profit reflect the year on year movements after translating the prior year comparatives at the current year’s average exchange rates. These are presented to eliminate the effects of exchange rate fluctuation on the reported results.</w:t>
      </w:r>
    </w:p>
    <w:p w14:paraId="68B73327" w14:textId="77777777" w:rsidR="00A824DF" w:rsidRDefault="00A824DF" w:rsidP="001A5F2E">
      <w:pPr>
        <w:jc w:val="left"/>
        <w:rPr>
          <w:rFonts w:ascii="Arial" w:hAnsi="Arial" w:cs="Arial"/>
          <w:b/>
          <w:iCs/>
        </w:rPr>
      </w:pPr>
    </w:p>
    <w:p w14:paraId="687A7AE1" w14:textId="16C6EE78" w:rsidR="007135F2" w:rsidRPr="007135F2" w:rsidRDefault="007135F2" w:rsidP="001A5F2E">
      <w:pPr>
        <w:jc w:val="left"/>
        <w:rPr>
          <w:rFonts w:ascii="Arial" w:hAnsi="Arial" w:cs="Arial"/>
          <w:iCs/>
        </w:rPr>
      </w:pPr>
      <w:r>
        <w:rPr>
          <w:rFonts w:ascii="Arial" w:hAnsi="Arial" w:cs="Arial"/>
          <w:b/>
          <w:iCs/>
        </w:rPr>
        <w:t xml:space="preserve">CPR </w:t>
      </w:r>
      <w:r>
        <w:rPr>
          <w:rFonts w:ascii="Arial" w:hAnsi="Arial" w:cs="Arial"/>
          <w:iCs/>
        </w:rPr>
        <w:t>(cost price reduction) refers to the savings made on cost of goods sold</w:t>
      </w:r>
      <w:r w:rsidR="0079676C">
        <w:rPr>
          <w:rFonts w:ascii="Arial" w:hAnsi="Arial" w:cs="Arial"/>
          <w:iCs/>
        </w:rPr>
        <w:t>.</w:t>
      </w:r>
    </w:p>
    <w:p w14:paraId="3DC8F423" w14:textId="77777777" w:rsidR="007135F2" w:rsidRDefault="007135F2" w:rsidP="001A5F2E">
      <w:pPr>
        <w:jc w:val="left"/>
        <w:rPr>
          <w:rFonts w:ascii="Arial" w:hAnsi="Arial" w:cs="Arial"/>
          <w:b/>
          <w:iCs/>
        </w:rPr>
      </w:pPr>
    </w:p>
    <w:p w14:paraId="614AB9DB" w14:textId="77777777" w:rsidR="001A5F2E" w:rsidRPr="00A845B7" w:rsidRDefault="001A5F2E" w:rsidP="001A5F2E">
      <w:pPr>
        <w:jc w:val="left"/>
        <w:rPr>
          <w:rFonts w:ascii="Arial" w:hAnsi="Arial" w:cs="Arial"/>
          <w:iCs/>
        </w:rPr>
      </w:pPr>
      <w:r w:rsidRPr="00A845B7">
        <w:rPr>
          <w:rFonts w:ascii="Arial" w:hAnsi="Arial" w:cs="Arial"/>
          <w:b/>
          <w:iCs/>
        </w:rPr>
        <w:t xml:space="preserve">Digital sales </w:t>
      </w:r>
      <w:r w:rsidRPr="00A845B7">
        <w:rPr>
          <w:rFonts w:ascii="Arial" w:hAnsi="Arial" w:cs="Arial"/>
          <w:iCs/>
        </w:rPr>
        <w:t>are</w:t>
      </w:r>
      <w:r w:rsidRPr="00A845B7">
        <w:rPr>
          <w:rFonts w:ascii="Arial" w:hAnsi="Arial" w:cs="Arial"/>
          <w:b/>
          <w:iCs/>
        </w:rPr>
        <w:t xml:space="preserve"> </w:t>
      </w:r>
      <w:r w:rsidRPr="00A845B7">
        <w:rPr>
          <w:rFonts w:ascii="Arial" w:hAnsi="Arial" w:cs="Arial"/>
          <w:iCs/>
        </w:rPr>
        <w:t>sales derived from online transactions, including click &amp; collect. This includes sales transacted on any device, however not sales through a call centre.</w:t>
      </w:r>
    </w:p>
    <w:p w14:paraId="0AC8E9EB" w14:textId="77777777" w:rsidR="001A5F2E" w:rsidRDefault="001A5F2E" w:rsidP="000265B9">
      <w:pPr>
        <w:jc w:val="left"/>
        <w:rPr>
          <w:rFonts w:ascii="Arial" w:hAnsi="Arial" w:cs="Arial"/>
          <w:b/>
          <w:iCs/>
        </w:rPr>
      </w:pPr>
    </w:p>
    <w:p w14:paraId="58C28A4D" w14:textId="6DDEF0C9" w:rsidR="000265B9" w:rsidRPr="00A845B7" w:rsidRDefault="000265B9" w:rsidP="000265B9">
      <w:pPr>
        <w:jc w:val="left"/>
        <w:rPr>
          <w:rFonts w:ascii="Arial" w:hAnsi="Arial" w:cs="Arial"/>
          <w:iCs/>
        </w:rPr>
      </w:pPr>
      <w:r w:rsidRPr="00A845B7">
        <w:rPr>
          <w:rFonts w:ascii="Arial" w:hAnsi="Arial" w:cs="Arial"/>
          <w:b/>
          <w:iCs/>
        </w:rPr>
        <w:t>EBITDA</w:t>
      </w:r>
      <w:r w:rsidRPr="00A845B7">
        <w:rPr>
          <w:rFonts w:ascii="Arial" w:hAnsi="Arial" w:cs="Arial"/>
          <w:iCs/>
        </w:rPr>
        <w:t xml:space="preserve"> </w:t>
      </w:r>
      <w:r w:rsidR="00120C4A" w:rsidRPr="00120C4A">
        <w:rPr>
          <w:rFonts w:ascii="Arial" w:hAnsi="Arial" w:cs="Arial"/>
          <w:iCs/>
          <w:szCs w:val="24"/>
        </w:rPr>
        <w:t>†</w:t>
      </w:r>
      <w:r w:rsidR="00120C4A" w:rsidRPr="00A845B7">
        <w:rPr>
          <w:rFonts w:ascii="Arial" w:hAnsi="Arial" w:cs="Arial"/>
          <w:iCs/>
        </w:rPr>
        <w:t xml:space="preserve"> </w:t>
      </w:r>
      <w:r w:rsidRPr="00A845B7">
        <w:rPr>
          <w:rFonts w:ascii="Arial" w:hAnsi="Arial" w:cs="Arial"/>
          <w:iCs/>
        </w:rPr>
        <w:t xml:space="preserve">(earnings before interest, tax, depreciation and amortisation) is calculated as retail profit less central </w:t>
      </w:r>
      <w:r w:rsidR="00752703" w:rsidRPr="00A845B7">
        <w:rPr>
          <w:rFonts w:ascii="Arial" w:hAnsi="Arial" w:cs="Arial"/>
          <w:iCs/>
        </w:rPr>
        <w:t xml:space="preserve">and transformation </w:t>
      </w:r>
      <w:r w:rsidR="00B47AA5" w:rsidRPr="00A845B7">
        <w:rPr>
          <w:rFonts w:ascii="Arial" w:hAnsi="Arial" w:cs="Arial"/>
          <w:iCs/>
        </w:rPr>
        <w:t xml:space="preserve">P&amp;L </w:t>
      </w:r>
      <w:r w:rsidR="00752703" w:rsidRPr="00A845B7">
        <w:rPr>
          <w:rFonts w:ascii="Arial" w:hAnsi="Arial" w:cs="Arial"/>
          <w:iCs/>
        </w:rPr>
        <w:t xml:space="preserve">costs </w:t>
      </w:r>
      <w:r w:rsidRPr="00A845B7">
        <w:rPr>
          <w:rFonts w:ascii="Arial" w:hAnsi="Arial" w:cs="Arial"/>
          <w:iCs/>
        </w:rPr>
        <w:t>and before depreciation and amortisation.</w:t>
      </w:r>
    </w:p>
    <w:p w14:paraId="3A409313" w14:textId="77777777" w:rsidR="000265B9" w:rsidRPr="00A845B7" w:rsidRDefault="000265B9" w:rsidP="000265B9">
      <w:pPr>
        <w:jc w:val="left"/>
        <w:rPr>
          <w:rFonts w:ascii="Arial" w:hAnsi="Arial" w:cs="Arial"/>
          <w:iCs/>
        </w:rPr>
      </w:pPr>
    </w:p>
    <w:p w14:paraId="2AB319F5" w14:textId="6FD52D7A" w:rsidR="00A824DF" w:rsidRPr="00A824DF" w:rsidRDefault="000265B9" w:rsidP="00A824DF">
      <w:pPr>
        <w:jc w:val="left"/>
        <w:rPr>
          <w:rFonts w:ascii="Arial" w:hAnsi="Arial" w:cs="Arial"/>
          <w:iCs/>
        </w:rPr>
      </w:pPr>
      <w:r w:rsidRPr="00A845B7">
        <w:rPr>
          <w:rFonts w:ascii="Arial" w:hAnsi="Arial" w:cs="Arial"/>
          <w:b/>
          <w:iCs/>
        </w:rPr>
        <w:t>EBITDAR</w:t>
      </w:r>
      <w:r w:rsidRPr="00A845B7">
        <w:rPr>
          <w:rFonts w:ascii="Arial" w:hAnsi="Arial" w:cs="Arial"/>
          <w:iCs/>
        </w:rPr>
        <w:t xml:space="preserve"> </w:t>
      </w:r>
      <w:r w:rsidR="00120C4A" w:rsidRPr="00120C4A">
        <w:rPr>
          <w:rFonts w:ascii="Arial" w:hAnsi="Arial" w:cs="Arial"/>
          <w:iCs/>
          <w:szCs w:val="24"/>
        </w:rPr>
        <w:t>†</w:t>
      </w:r>
      <w:r w:rsidR="00120C4A" w:rsidRPr="00A845B7">
        <w:rPr>
          <w:rFonts w:ascii="Arial" w:hAnsi="Arial" w:cs="Arial"/>
          <w:iCs/>
        </w:rPr>
        <w:t xml:space="preserve"> </w:t>
      </w:r>
      <w:r w:rsidRPr="00A845B7">
        <w:rPr>
          <w:rFonts w:ascii="Arial" w:hAnsi="Arial" w:cs="Arial"/>
          <w:iCs/>
        </w:rPr>
        <w:t xml:space="preserve">(earnings before interest, tax, depreciation, amortisation and property operating lease rentals) is calculated as retail profit less central </w:t>
      </w:r>
      <w:r w:rsidR="00752703" w:rsidRPr="00A845B7">
        <w:rPr>
          <w:rFonts w:ascii="Arial" w:hAnsi="Arial" w:cs="Arial"/>
          <w:iCs/>
        </w:rPr>
        <w:t>and transformation</w:t>
      </w:r>
      <w:r w:rsidR="00B47AA5" w:rsidRPr="00A845B7">
        <w:rPr>
          <w:rFonts w:ascii="Arial" w:hAnsi="Arial" w:cs="Arial"/>
          <w:iCs/>
        </w:rPr>
        <w:t xml:space="preserve"> P&amp;L</w:t>
      </w:r>
      <w:r w:rsidR="00752703" w:rsidRPr="00A845B7">
        <w:rPr>
          <w:rFonts w:ascii="Arial" w:hAnsi="Arial" w:cs="Arial"/>
          <w:iCs/>
        </w:rPr>
        <w:t xml:space="preserve"> </w:t>
      </w:r>
      <w:r w:rsidRPr="00A845B7">
        <w:rPr>
          <w:rFonts w:ascii="Arial" w:hAnsi="Arial" w:cs="Arial"/>
          <w:iCs/>
        </w:rPr>
        <w:t xml:space="preserve">costs, before depreciation and amortisation and property operating lease rentals. </w:t>
      </w:r>
      <w:r w:rsidR="00A824DF" w:rsidRPr="00A824DF">
        <w:rPr>
          <w:rFonts w:ascii="Arial" w:hAnsi="Arial" w:cs="Arial"/>
          <w:iCs/>
        </w:rPr>
        <w:t>This measure is used in calculating the ratio of lease adjusted net debt to EBITDAR, to reflect the Group’s leverage including capitalised leases which in accordance with current accounting standards do not appear on the balance sheet. A reconciliation from retail profit is set out in the Financial Review (Section 4).</w:t>
      </w:r>
    </w:p>
    <w:p w14:paraId="33F7A5EB" w14:textId="77777777" w:rsidR="00A824DF" w:rsidRPr="00A824DF" w:rsidRDefault="00A824DF" w:rsidP="00A824DF">
      <w:pPr>
        <w:jc w:val="left"/>
        <w:rPr>
          <w:rFonts w:ascii="Arial" w:hAnsi="Arial" w:cs="Arial"/>
          <w:iCs/>
        </w:rPr>
      </w:pPr>
    </w:p>
    <w:p w14:paraId="3EA50103" w14:textId="1D17D5CC" w:rsidR="00A824DF" w:rsidRPr="00A824DF" w:rsidRDefault="00A824DF" w:rsidP="00A824DF">
      <w:pPr>
        <w:jc w:val="left"/>
        <w:rPr>
          <w:rFonts w:ascii="Arial" w:hAnsi="Arial" w:cs="Arial"/>
          <w:iCs/>
        </w:rPr>
      </w:pPr>
      <w:r w:rsidRPr="00940B1C">
        <w:rPr>
          <w:rFonts w:ascii="Arial" w:hAnsi="Arial" w:cs="Arial"/>
          <w:b/>
          <w:iCs/>
        </w:rPr>
        <w:t>Effective tax rate</w:t>
      </w:r>
      <w:r w:rsidR="00120C4A">
        <w:rPr>
          <w:rFonts w:ascii="Arial" w:hAnsi="Arial" w:cs="Arial"/>
          <w:b/>
          <w:iCs/>
        </w:rPr>
        <w:t xml:space="preserve"> </w:t>
      </w:r>
      <w:r w:rsidR="00120C4A" w:rsidRPr="00120C4A">
        <w:rPr>
          <w:rFonts w:ascii="Arial" w:hAnsi="Arial" w:cs="Arial"/>
          <w:iCs/>
          <w:szCs w:val="24"/>
        </w:rPr>
        <w:t>†</w:t>
      </w:r>
      <w:r w:rsidRPr="00A824DF">
        <w:rPr>
          <w:rFonts w:ascii="Arial" w:hAnsi="Arial" w:cs="Arial"/>
          <w:iCs/>
        </w:rPr>
        <w:t xml:space="preserve"> is calculated as continuing income tax expense excluding tax on exceptional items and adjustments in respect of prior years and the impact of changes in tax rates on deferred tax, divided by continuing profit before taxation excluding exceptional items. The exclusion of items relating to prior years and those not in the ordinary course of business helps provide a better indication of the Group’s ongoing rate of tax. A reconciliation to the overall tax rate is set out in the Financial Review (Section 4).</w:t>
      </w:r>
    </w:p>
    <w:p w14:paraId="5B24A55B" w14:textId="77777777" w:rsidR="00A824DF" w:rsidRPr="00A824DF" w:rsidRDefault="00A824DF" w:rsidP="00A824DF">
      <w:pPr>
        <w:jc w:val="left"/>
        <w:rPr>
          <w:rFonts w:ascii="Arial" w:hAnsi="Arial" w:cs="Arial"/>
          <w:iCs/>
        </w:rPr>
      </w:pPr>
    </w:p>
    <w:p w14:paraId="1EDD736A" w14:textId="2C964626" w:rsidR="00A824DF" w:rsidRPr="00A824DF" w:rsidRDefault="00A824DF" w:rsidP="00A824DF">
      <w:pPr>
        <w:jc w:val="left"/>
        <w:rPr>
          <w:rFonts w:ascii="Arial" w:hAnsi="Arial" w:cs="Arial"/>
          <w:iCs/>
        </w:rPr>
      </w:pPr>
      <w:r w:rsidRPr="00940B1C">
        <w:rPr>
          <w:rFonts w:ascii="Arial" w:hAnsi="Arial" w:cs="Arial"/>
          <w:b/>
          <w:iCs/>
        </w:rPr>
        <w:t>Exceptional items</w:t>
      </w:r>
      <w:r w:rsidR="00120C4A">
        <w:rPr>
          <w:rFonts w:ascii="Arial" w:hAnsi="Arial" w:cs="Arial"/>
          <w:iCs/>
        </w:rPr>
        <w:t xml:space="preserve"> </w:t>
      </w:r>
      <w:r w:rsidR="00120C4A" w:rsidRPr="00120C4A">
        <w:rPr>
          <w:rFonts w:ascii="Arial" w:hAnsi="Arial" w:cs="Arial"/>
          <w:iCs/>
          <w:szCs w:val="24"/>
        </w:rPr>
        <w:t>†</w:t>
      </w:r>
      <w:r>
        <w:rPr>
          <w:rFonts w:ascii="Arial" w:hAnsi="Arial" w:cs="Arial"/>
          <w:iCs/>
        </w:rPr>
        <w:t xml:space="preserve"> </w:t>
      </w:r>
      <w:r w:rsidRPr="00A824DF">
        <w:rPr>
          <w:rFonts w:ascii="Arial" w:hAnsi="Arial" w:cs="Arial"/>
          <w:iCs/>
        </w:rPr>
        <w:t>- the principa</w:t>
      </w:r>
      <w:r>
        <w:rPr>
          <w:rFonts w:ascii="Arial" w:hAnsi="Arial" w:cs="Arial"/>
          <w:iCs/>
        </w:rPr>
        <w:t xml:space="preserve">l items which are included are: </w:t>
      </w:r>
      <w:r w:rsidRPr="00A824DF">
        <w:rPr>
          <w:rFonts w:ascii="Arial" w:hAnsi="Arial" w:cs="Arial"/>
          <w:iCs/>
        </w:rPr>
        <w:t>non-trading items included in operating profit such as profits and losses on the disposal, closure or impairment of subsidiaries, joint ventures, associates and investments which do not form part of the Group’s trading activities;</w:t>
      </w:r>
    </w:p>
    <w:p w14:paraId="5A571758" w14:textId="51ECA3B4" w:rsidR="000265B9" w:rsidRPr="00A845B7" w:rsidRDefault="00A824DF" w:rsidP="00A824DF">
      <w:pPr>
        <w:jc w:val="left"/>
        <w:rPr>
          <w:rFonts w:ascii="Arial" w:hAnsi="Arial" w:cs="Arial"/>
          <w:i/>
        </w:rPr>
      </w:pPr>
      <w:r w:rsidRPr="00A824DF">
        <w:rPr>
          <w:rFonts w:ascii="Arial" w:hAnsi="Arial" w:cs="Arial"/>
          <w:iCs/>
        </w:rPr>
        <w:lastRenderedPageBreak/>
        <w:t>profits and losses on the disposal of properties and impairment losses on non-operational assets; and</w:t>
      </w:r>
      <w:r>
        <w:rPr>
          <w:rFonts w:ascii="Arial" w:hAnsi="Arial" w:cs="Arial"/>
          <w:iCs/>
        </w:rPr>
        <w:t xml:space="preserve"> </w:t>
      </w:r>
      <w:r w:rsidRPr="00A824DF">
        <w:rPr>
          <w:rFonts w:ascii="Arial" w:hAnsi="Arial" w:cs="Arial"/>
          <w:iCs/>
        </w:rPr>
        <w:t>the costs of significant restructuring, including certain restructuring costs of the Group’s five-year transformation p</w:t>
      </w:r>
      <w:r>
        <w:rPr>
          <w:rFonts w:ascii="Arial" w:hAnsi="Arial" w:cs="Arial"/>
          <w:iCs/>
        </w:rPr>
        <w:t>lan</w:t>
      </w:r>
      <w:r w:rsidRPr="00A824DF">
        <w:rPr>
          <w:rFonts w:ascii="Arial" w:hAnsi="Arial" w:cs="Arial"/>
          <w:iCs/>
        </w:rPr>
        <w:t xml:space="preserve"> launched in 2016/17, and incremental acquisition integration costs.</w:t>
      </w:r>
    </w:p>
    <w:p w14:paraId="5A2763D5" w14:textId="77777777" w:rsidR="006C6A1C" w:rsidRPr="00A845B7" w:rsidRDefault="006C6A1C" w:rsidP="006C6A1C">
      <w:pPr>
        <w:jc w:val="left"/>
        <w:rPr>
          <w:rFonts w:ascii="Arial" w:hAnsi="Arial" w:cs="Arial"/>
          <w:b/>
          <w:iCs/>
        </w:rPr>
      </w:pPr>
    </w:p>
    <w:p w14:paraId="342DCC8E" w14:textId="51EB56DE" w:rsidR="001A5F2E" w:rsidRPr="00A845B7" w:rsidRDefault="001A5F2E" w:rsidP="001A5F2E">
      <w:pPr>
        <w:jc w:val="left"/>
        <w:rPr>
          <w:rFonts w:ascii="Arial" w:hAnsi="Arial" w:cs="Arial"/>
          <w:iCs/>
        </w:rPr>
      </w:pPr>
      <w:r w:rsidRPr="00A845B7">
        <w:rPr>
          <w:rFonts w:ascii="Arial" w:hAnsi="Arial" w:cs="Arial"/>
          <w:b/>
          <w:iCs/>
        </w:rPr>
        <w:t>FFVR</w:t>
      </w:r>
      <w:r w:rsidR="00120C4A">
        <w:rPr>
          <w:rFonts w:ascii="Arial" w:hAnsi="Arial" w:cs="Arial"/>
          <w:b/>
          <w:iCs/>
        </w:rPr>
        <w:t xml:space="preserve"> </w:t>
      </w:r>
      <w:r w:rsidR="00120C4A" w:rsidRPr="00120C4A">
        <w:rPr>
          <w:rFonts w:ascii="Arial" w:hAnsi="Arial" w:cs="Arial"/>
          <w:iCs/>
          <w:szCs w:val="24"/>
        </w:rPr>
        <w:t>†</w:t>
      </w:r>
      <w:r w:rsidRPr="00A845B7">
        <w:rPr>
          <w:rFonts w:ascii="Arial" w:hAnsi="Arial" w:cs="Arial"/>
          <w:b/>
          <w:iCs/>
        </w:rPr>
        <w:t xml:space="preserve"> </w:t>
      </w:r>
      <w:r w:rsidRPr="00A845B7">
        <w:rPr>
          <w:rFonts w:ascii="Arial" w:hAnsi="Arial" w:cs="Arial"/>
          <w:iCs/>
        </w:rPr>
        <w:t xml:space="preserve">(financing fair value </w:t>
      </w:r>
      <w:proofErr w:type="spellStart"/>
      <w:r w:rsidRPr="00A845B7">
        <w:rPr>
          <w:rFonts w:ascii="Arial" w:hAnsi="Arial" w:cs="Arial"/>
          <w:iCs/>
        </w:rPr>
        <w:t>remeasurements</w:t>
      </w:r>
      <w:proofErr w:type="spellEnd"/>
      <w:r w:rsidRPr="00A845B7">
        <w:rPr>
          <w:rFonts w:ascii="Arial" w:hAnsi="Arial" w:cs="Arial"/>
          <w:iCs/>
        </w:rPr>
        <w:t>)</w:t>
      </w:r>
      <w:r w:rsidRPr="00A845B7">
        <w:rPr>
          <w:rFonts w:ascii="Arial" w:hAnsi="Arial" w:cs="Arial"/>
          <w:b/>
          <w:iCs/>
        </w:rPr>
        <w:t xml:space="preserve"> </w:t>
      </w:r>
      <w:r w:rsidRPr="00A845B7">
        <w:rPr>
          <w:rFonts w:ascii="Arial" w:hAnsi="Arial" w:cs="Arial"/>
          <w:iCs/>
        </w:rPr>
        <w:t xml:space="preserve">represents fair value fluctuations from financial instruments. </w:t>
      </w:r>
    </w:p>
    <w:p w14:paraId="5C0D25D2" w14:textId="77777777" w:rsidR="001A5F2E" w:rsidRDefault="001A5F2E" w:rsidP="000265B9">
      <w:pPr>
        <w:jc w:val="left"/>
        <w:rPr>
          <w:rFonts w:ascii="Arial" w:hAnsi="Arial" w:cs="Arial"/>
          <w:b/>
          <w:iCs/>
        </w:rPr>
      </w:pPr>
    </w:p>
    <w:p w14:paraId="7F70D901" w14:textId="77777777" w:rsidR="000265B9" w:rsidRPr="00A845B7" w:rsidRDefault="000265B9" w:rsidP="000265B9">
      <w:pPr>
        <w:jc w:val="left"/>
        <w:rPr>
          <w:rFonts w:ascii="Arial" w:hAnsi="Arial" w:cs="Arial"/>
          <w:iCs/>
        </w:rPr>
      </w:pPr>
      <w:r w:rsidRPr="00A845B7">
        <w:rPr>
          <w:rFonts w:ascii="Arial" w:hAnsi="Arial" w:cs="Arial"/>
          <w:b/>
          <w:iCs/>
        </w:rPr>
        <w:t>France</w:t>
      </w:r>
      <w:r w:rsidRPr="00A845B7">
        <w:rPr>
          <w:rFonts w:ascii="Arial" w:hAnsi="Arial" w:cs="Arial"/>
          <w:iCs/>
        </w:rPr>
        <w:t xml:space="preserve"> consists of Castorama France and </w:t>
      </w:r>
      <w:proofErr w:type="spellStart"/>
      <w:r w:rsidRPr="00A845B7">
        <w:rPr>
          <w:rFonts w:ascii="Arial" w:hAnsi="Arial" w:cs="Arial"/>
          <w:iCs/>
        </w:rPr>
        <w:t>Brico</w:t>
      </w:r>
      <w:proofErr w:type="spellEnd"/>
      <w:r w:rsidRPr="00A845B7">
        <w:rPr>
          <w:rFonts w:ascii="Arial" w:hAnsi="Arial" w:cs="Arial"/>
          <w:iCs/>
        </w:rPr>
        <w:t xml:space="preserve"> </w:t>
      </w:r>
      <w:proofErr w:type="spellStart"/>
      <w:r w:rsidRPr="00A845B7">
        <w:rPr>
          <w:rFonts w:ascii="Arial" w:hAnsi="Arial" w:cs="Arial"/>
          <w:iCs/>
        </w:rPr>
        <w:t>Dépôt</w:t>
      </w:r>
      <w:proofErr w:type="spellEnd"/>
      <w:r w:rsidRPr="00A845B7">
        <w:rPr>
          <w:rFonts w:ascii="Arial" w:hAnsi="Arial" w:cs="Arial"/>
          <w:iCs/>
        </w:rPr>
        <w:t xml:space="preserve"> France.</w:t>
      </w:r>
    </w:p>
    <w:p w14:paraId="2741F4E6" w14:textId="77777777" w:rsidR="000265B9" w:rsidRPr="00A845B7" w:rsidRDefault="000265B9" w:rsidP="000265B9">
      <w:pPr>
        <w:jc w:val="left"/>
        <w:rPr>
          <w:rFonts w:ascii="Arial" w:hAnsi="Arial" w:cs="Arial"/>
          <w:iCs/>
        </w:rPr>
      </w:pPr>
    </w:p>
    <w:p w14:paraId="285CE702" w14:textId="6CCB7770" w:rsidR="000265B9" w:rsidRPr="00A845B7" w:rsidRDefault="000265B9" w:rsidP="000265B9">
      <w:pPr>
        <w:jc w:val="left"/>
        <w:rPr>
          <w:rFonts w:ascii="Arial" w:hAnsi="Arial" w:cs="Arial"/>
          <w:iCs/>
        </w:rPr>
      </w:pPr>
      <w:r w:rsidRPr="00A845B7">
        <w:rPr>
          <w:rFonts w:ascii="Arial" w:hAnsi="Arial" w:cs="Arial"/>
          <w:b/>
          <w:iCs/>
        </w:rPr>
        <w:t xml:space="preserve">Free cash flow </w:t>
      </w:r>
      <w:r w:rsidR="00120C4A" w:rsidRPr="00120C4A">
        <w:rPr>
          <w:rFonts w:ascii="Arial" w:hAnsi="Arial" w:cs="Arial"/>
          <w:iCs/>
          <w:szCs w:val="24"/>
        </w:rPr>
        <w:t>†</w:t>
      </w:r>
      <w:r w:rsidR="00120C4A">
        <w:rPr>
          <w:rFonts w:ascii="Arial" w:hAnsi="Arial" w:cs="Arial"/>
          <w:iCs/>
          <w:szCs w:val="24"/>
        </w:rPr>
        <w:t xml:space="preserve"> </w:t>
      </w:r>
      <w:r w:rsidRPr="00A845B7">
        <w:rPr>
          <w:rFonts w:ascii="Arial" w:hAnsi="Arial" w:cs="Arial"/>
          <w:iCs/>
        </w:rPr>
        <w:t>represents cash generated from operations</w:t>
      </w:r>
      <w:r w:rsidR="00851292" w:rsidRPr="00A845B7">
        <w:rPr>
          <w:rFonts w:ascii="Arial" w:hAnsi="Arial" w:cs="Arial"/>
          <w:iCs/>
        </w:rPr>
        <w:t xml:space="preserve"> (excluding exceptional items)</w:t>
      </w:r>
      <w:r w:rsidRPr="00A845B7">
        <w:rPr>
          <w:rFonts w:ascii="Arial" w:hAnsi="Arial" w:cs="Arial"/>
          <w:iCs/>
        </w:rPr>
        <w:t xml:space="preserve"> less the amount spent on </w:t>
      </w:r>
      <w:r w:rsidR="00851292" w:rsidRPr="00A845B7">
        <w:rPr>
          <w:rFonts w:ascii="Arial" w:hAnsi="Arial" w:cs="Arial"/>
          <w:iCs/>
        </w:rPr>
        <w:t xml:space="preserve">interest, </w:t>
      </w:r>
      <w:r w:rsidRPr="00A845B7">
        <w:rPr>
          <w:rFonts w:ascii="Arial" w:hAnsi="Arial" w:cs="Arial"/>
          <w:iCs/>
        </w:rPr>
        <w:t>tax and capital expenditure during the year (excluding business acquisitions and disposals</w:t>
      </w:r>
      <w:r w:rsidR="00BA1857" w:rsidRPr="00A845B7">
        <w:rPr>
          <w:rFonts w:ascii="Arial" w:hAnsi="Arial" w:cs="Arial"/>
          <w:iCs/>
        </w:rPr>
        <w:t xml:space="preserve"> and asset disposals</w:t>
      </w:r>
      <w:r w:rsidRPr="00A845B7">
        <w:rPr>
          <w:rFonts w:ascii="Arial" w:hAnsi="Arial" w:cs="Arial"/>
          <w:iCs/>
        </w:rPr>
        <w:t xml:space="preserve">). </w:t>
      </w:r>
      <w:r w:rsidR="00A824DF" w:rsidRPr="00A824DF">
        <w:rPr>
          <w:rFonts w:ascii="Arial" w:hAnsi="Arial" w:cs="Arial"/>
          <w:iCs/>
        </w:rPr>
        <w:t>This provides a measure of how much cash the business generates that can be used for expansion, capital returns and other purposes.</w:t>
      </w:r>
      <w:r w:rsidR="00A824DF">
        <w:rPr>
          <w:rFonts w:ascii="Arial" w:hAnsi="Arial" w:cs="Arial"/>
          <w:iCs/>
        </w:rPr>
        <w:t xml:space="preserve"> </w:t>
      </w:r>
      <w:r w:rsidRPr="00A845B7">
        <w:rPr>
          <w:rFonts w:ascii="Arial" w:hAnsi="Arial" w:cs="Arial"/>
          <w:iCs/>
        </w:rPr>
        <w:t xml:space="preserve">A reconciliation from operating profit is set out in the Financial Review (Section 4). </w:t>
      </w:r>
    </w:p>
    <w:p w14:paraId="0F170E32" w14:textId="77777777" w:rsidR="000265B9" w:rsidRPr="00A845B7" w:rsidRDefault="000265B9" w:rsidP="000265B9">
      <w:pPr>
        <w:jc w:val="left"/>
        <w:rPr>
          <w:rFonts w:ascii="Arial" w:hAnsi="Arial" w:cs="Arial"/>
          <w:iCs/>
        </w:rPr>
      </w:pPr>
    </w:p>
    <w:p w14:paraId="02885F2C" w14:textId="77777777" w:rsidR="000265B9" w:rsidRPr="00A845B7" w:rsidRDefault="000265B9" w:rsidP="000265B9">
      <w:pPr>
        <w:jc w:val="left"/>
        <w:rPr>
          <w:rFonts w:ascii="Arial" w:hAnsi="Arial" w:cs="Arial"/>
          <w:b/>
          <w:iCs/>
        </w:rPr>
      </w:pPr>
      <w:r w:rsidRPr="00A845B7">
        <w:rPr>
          <w:rFonts w:ascii="Arial" w:hAnsi="Arial" w:cs="Arial"/>
          <w:b/>
          <w:iCs/>
        </w:rPr>
        <w:t xml:space="preserve">GNFR </w:t>
      </w:r>
      <w:r w:rsidR="00EE0CD7" w:rsidRPr="00A845B7">
        <w:rPr>
          <w:rFonts w:ascii="Arial" w:hAnsi="Arial" w:cs="Arial"/>
          <w:iCs/>
        </w:rPr>
        <w:t>(</w:t>
      </w:r>
      <w:r w:rsidRPr="00A845B7">
        <w:rPr>
          <w:rFonts w:ascii="Arial" w:hAnsi="Arial" w:cs="Arial"/>
          <w:iCs/>
        </w:rPr>
        <w:t xml:space="preserve">Goods Not </w:t>
      </w:r>
      <w:proofErr w:type="gramStart"/>
      <w:r w:rsidRPr="00A845B7">
        <w:rPr>
          <w:rFonts w:ascii="Arial" w:hAnsi="Arial" w:cs="Arial"/>
          <w:iCs/>
        </w:rPr>
        <w:t>For</w:t>
      </w:r>
      <w:proofErr w:type="gramEnd"/>
      <w:r w:rsidRPr="00A845B7">
        <w:rPr>
          <w:rFonts w:ascii="Arial" w:hAnsi="Arial" w:cs="Arial"/>
          <w:iCs/>
        </w:rPr>
        <w:t xml:space="preserve"> Resale</w:t>
      </w:r>
      <w:r w:rsidR="00EE0CD7" w:rsidRPr="00A845B7">
        <w:rPr>
          <w:rFonts w:ascii="Arial" w:hAnsi="Arial" w:cs="Arial"/>
          <w:iCs/>
        </w:rPr>
        <w:t>)</w:t>
      </w:r>
      <w:r w:rsidRPr="00A845B7">
        <w:rPr>
          <w:rFonts w:ascii="Arial" w:hAnsi="Arial" w:cs="Arial"/>
          <w:iCs/>
        </w:rPr>
        <w:t xml:space="preserve"> covers the procurement of all goods and services a retailer </w:t>
      </w:r>
      <w:r w:rsidR="0016009C" w:rsidRPr="00A845B7">
        <w:rPr>
          <w:rFonts w:ascii="Arial" w:hAnsi="Arial" w:cs="Arial"/>
          <w:iCs/>
        </w:rPr>
        <w:t xml:space="preserve">consumes </w:t>
      </w:r>
      <w:r w:rsidRPr="00A845B7">
        <w:rPr>
          <w:rFonts w:ascii="Arial" w:hAnsi="Arial" w:cs="Arial"/>
          <w:iCs/>
        </w:rPr>
        <w:t>(including media buying, mechanical handling equipment, printing &amp; paper).</w:t>
      </w:r>
    </w:p>
    <w:p w14:paraId="44B7C7A4" w14:textId="77777777" w:rsidR="000265B9" w:rsidRPr="00A845B7" w:rsidRDefault="000265B9" w:rsidP="000265B9">
      <w:pPr>
        <w:jc w:val="left"/>
        <w:rPr>
          <w:rFonts w:ascii="Arial" w:hAnsi="Arial" w:cs="Arial"/>
          <w:b/>
          <w:iCs/>
        </w:rPr>
      </w:pPr>
    </w:p>
    <w:p w14:paraId="5972C24F" w14:textId="05DD5D83" w:rsidR="006C6A1C" w:rsidRPr="00A845B7" w:rsidRDefault="006C6A1C" w:rsidP="006C6A1C">
      <w:pPr>
        <w:tabs>
          <w:tab w:val="left" w:pos="357"/>
        </w:tabs>
        <w:ind w:right="-282"/>
        <w:jc w:val="left"/>
        <w:rPr>
          <w:rFonts w:ascii="Arial" w:hAnsi="Arial" w:cs="Arial"/>
        </w:rPr>
      </w:pPr>
      <w:r w:rsidRPr="00A845B7">
        <w:rPr>
          <w:rFonts w:ascii="Arial" w:hAnsi="Arial" w:cs="Arial"/>
          <w:b/>
        </w:rPr>
        <w:t>Lease adjusted ROCE</w:t>
      </w:r>
      <w:r w:rsidR="00120C4A">
        <w:rPr>
          <w:rFonts w:ascii="Arial" w:hAnsi="Arial" w:cs="Arial"/>
          <w:b/>
        </w:rPr>
        <w:t xml:space="preserve"> </w:t>
      </w:r>
      <w:r w:rsidR="00120C4A" w:rsidRPr="00120C4A">
        <w:rPr>
          <w:rFonts w:ascii="Arial" w:hAnsi="Arial" w:cs="Arial"/>
          <w:iCs/>
          <w:szCs w:val="24"/>
        </w:rPr>
        <w:t>†</w:t>
      </w:r>
      <w:r w:rsidRPr="00A845B7">
        <w:rPr>
          <w:rFonts w:ascii="Arial" w:hAnsi="Arial" w:cs="Arial"/>
        </w:rPr>
        <w:t xml:space="preserve"> - Post-tax retail profit less central costs</w:t>
      </w:r>
      <w:r w:rsidR="00E5583B">
        <w:rPr>
          <w:rFonts w:ascii="Arial" w:hAnsi="Arial" w:cs="Arial"/>
        </w:rPr>
        <w:t xml:space="preserve"> and transformation costs</w:t>
      </w:r>
      <w:r w:rsidRPr="00A845B7">
        <w:rPr>
          <w:rFonts w:ascii="Arial" w:hAnsi="Arial" w:cs="Arial"/>
        </w:rPr>
        <w:t>, excluding exceptional items and property lease costs, divided by lease adjusted capital employed excluding historic goodwill, net cash and exceptional restructuring provision</w:t>
      </w:r>
      <w:r w:rsidR="00A824DF">
        <w:rPr>
          <w:rFonts w:ascii="Arial" w:hAnsi="Arial" w:cs="Arial"/>
        </w:rPr>
        <w:t xml:space="preserve">. </w:t>
      </w:r>
      <w:r w:rsidR="00A824DF" w:rsidRPr="00A824DF">
        <w:rPr>
          <w:rFonts w:ascii="Arial" w:hAnsi="Arial" w:cs="Arial"/>
        </w:rPr>
        <w:t xml:space="preserve">The measure provides an indication of the ongoing returns from the capital invested in the business including capitalised leases. </w:t>
      </w:r>
      <w:r w:rsidRPr="00A845B7">
        <w:rPr>
          <w:rFonts w:ascii="Arial" w:hAnsi="Arial" w:cs="Arial"/>
        </w:rPr>
        <w:t xml:space="preserve">Capital employed is adjusted to include capitalised property leases. Kingfisher believes 8x property operating lease rent is a reasonable industry standard for estimating the economic value of its leased assets. Capital employed except for capitalised leases, is calculated as a </w:t>
      </w:r>
      <w:proofErr w:type="gramStart"/>
      <w:r w:rsidRPr="00A845B7">
        <w:rPr>
          <w:rFonts w:ascii="Arial" w:hAnsi="Arial" w:cs="Arial"/>
        </w:rPr>
        <w:t>two point</w:t>
      </w:r>
      <w:proofErr w:type="gramEnd"/>
      <w:r w:rsidRPr="00A845B7">
        <w:rPr>
          <w:rFonts w:ascii="Arial" w:hAnsi="Arial" w:cs="Arial"/>
        </w:rPr>
        <w:t xml:space="preserve"> average. The calculation excludes disposed businesses e.g. China.</w:t>
      </w:r>
    </w:p>
    <w:p w14:paraId="2295387A" w14:textId="77777777" w:rsidR="006C6A1C" w:rsidRPr="00A845B7" w:rsidRDefault="006C6A1C" w:rsidP="000265B9">
      <w:pPr>
        <w:jc w:val="left"/>
        <w:rPr>
          <w:rFonts w:ascii="Arial" w:hAnsi="Arial" w:cs="Arial"/>
          <w:b/>
          <w:iCs/>
        </w:rPr>
      </w:pPr>
    </w:p>
    <w:p w14:paraId="51A469C0" w14:textId="4F590593" w:rsidR="000265B9" w:rsidRPr="00A845B7" w:rsidRDefault="000265B9" w:rsidP="000265B9">
      <w:pPr>
        <w:jc w:val="left"/>
        <w:rPr>
          <w:rFonts w:ascii="Arial" w:hAnsi="Arial" w:cs="Arial"/>
          <w:iCs/>
        </w:rPr>
      </w:pPr>
      <w:r w:rsidRPr="00A845B7">
        <w:rPr>
          <w:rFonts w:ascii="Arial" w:hAnsi="Arial" w:cs="Arial"/>
          <w:b/>
          <w:iCs/>
        </w:rPr>
        <w:t>LFL</w:t>
      </w:r>
      <w:r w:rsidR="00120C4A">
        <w:rPr>
          <w:rFonts w:ascii="Arial" w:hAnsi="Arial" w:cs="Arial"/>
          <w:b/>
          <w:iCs/>
        </w:rPr>
        <w:t xml:space="preserve"> </w:t>
      </w:r>
      <w:r w:rsidR="00120C4A" w:rsidRPr="00120C4A">
        <w:rPr>
          <w:rFonts w:ascii="Arial" w:hAnsi="Arial" w:cs="Arial"/>
          <w:iCs/>
          <w:szCs w:val="24"/>
        </w:rPr>
        <w:t>†</w:t>
      </w:r>
      <w:r w:rsidRPr="00A845B7">
        <w:rPr>
          <w:rFonts w:ascii="Arial" w:hAnsi="Arial" w:cs="Arial"/>
          <w:iCs/>
        </w:rPr>
        <w:t xml:space="preserve"> stands for like-for-like sales growth representing the constant currency, year on year sales growth for stores that have been open for more than a year.</w:t>
      </w:r>
      <w:r w:rsidR="00A824DF">
        <w:rPr>
          <w:rFonts w:ascii="Arial" w:hAnsi="Arial" w:cs="Arial"/>
          <w:iCs/>
        </w:rPr>
        <w:t xml:space="preserve"> </w:t>
      </w:r>
      <w:r w:rsidR="00A824DF" w:rsidRPr="00A824DF">
        <w:rPr>
          <w:rFonts w:ascii="Arial" w:hAnsi="Arial" w:cs="Arial"/>
          <w:iCs/>
        </w:rPr>
        <w:t>This measure is used widely in the retail industry as an indicator of sales performance on a comparable basis.</w:t>
      </w:r>
    </w:p>
    <w:p w14:paraId="2B79C4E4" w14:textId="77777777" w:rsidR="000265B9" w:rsidRPr="00A845B7" w:rsidRDefault="000265B9" w:rsidP="000265B9">
      <w:pPr>
        <w:jc w:val="left"/>
        <w:rPr>
          <w:rFonts w:ascii="Arial" w:hAnsi="Arial" w:cs="Arial"/>
          <w:b/>
          <w:iCs/>
        </w:rPr>
      </w:pPr>
    </w:p>
    <w:p w14:paraId="79832602" w14:textId="18592782" w:rsidR="005466D7" w:rsidRPr="00A845B7" w:rsidRDefault="000265B9" w:rsidP="000265B9">
      <w:pPr>
        <w:jc w:val="left"/>
        <w:rPr>
          <w:rFonts w:ascii="Arial" w:hAnsi="Arial" w:cs="Arial"/>
          <w:iCs/>
        </w:rPr>
      </w:pPr>
      <w:r w:rsidRPr="00A845B7">
        <w:rPr>
          <w:rFonts w:ascii="Arial" w:hAnsi="Arial" w:cs="Arial"/>
          <w:b/>
          <w:iCs/>
        </w:rPr>
        <w:t>Net cash</w:t>
      </w:r>
      <w:r w:rsidR="00120C4A">
        <w:rPr>
          <w:rFonts w:ascii="Arial" w:hAnsi="Arial" w:cs="Arial"/>
          <w:b/>
          <w:iCs/>
        </w:rPr>
        <w:t xml:space="preserve"> </w:t>
      </w:r>
      <w:r w:rsidR="00120C4A" w:rsidRPr="00120C4A">
        <w:rPr>
          <w:rFonts w:ascii="Arial" w:hAnsi="Arial" w:cs="Arial"/>
          <w:iCs/>
          <w:szCs w:val="24"/>
        </w:rPr>
        <w:t>†</w:t>
      </w:r>
      <w:r w:rsidRPr="00A845B7">
        <w:rPr>
          <w:rFonts w:ascii="Arial" w:hAnsi="Arial" w:cs="Arial"/>
          <w:b/>
          <w:iCs/>
        </w:rPr>
        <w:t xml:space="preserve"> </w:t>
      </w:r>
      <w:r w:rsidRPr="00A845B7">
        <w:rPr>
          <w:rFonts w:ascii="Arial" w:hAnsi="Arial" w:cs="Arial"/>
          <w:iCs/>
        </w:rPr>
        <w:t>comprises cash and cash equivalents</w:t>
      </w:r>
      <w:r w:rsidR="0065238B" w:rsidRPr="00A845B7">
        <w:rPr>
          <w:rFonts w:ascii="Arial" w:hAnsi="Arial" w:cs="Arial"/>
          <w:iCs/>
        </w:rPr>
        <w:t xml:space="preserve"> and</w:t>
      </w:r>
      <w:r w:rsidR="00851292" w:rsidRPr="00A845B7">
        <w:rPr>
          <w:rFonts w:ascii="Arial" w:hAnsi="Arial" w:cs="Arial"/>
          <w:iCs/>
        </w:rPr>
        <w:t xml:space="preserve"> </w:t>
      </w:r>
      <w:proofErr w:type="gramStart"/>
      <w:r w:rsidRPr="00A845B7">
        <w:rPr>
          <w:rFonts w:ascii="Arial" w:hAnsi="Arial" w:cs="Arial"/>
          <w:iCs/>
        </w:rPr>
        <w:t>short term</w:t>
      </w:r>
      <w:proofErr w:type="gramEnd"/>
      <w:r w:rsidRPr="00A845B7">
        <w:rPr>
          <w:rFonts w:ascii="Arial" w:hAnsi="Arial" w:cs="Arial"/>
          <w:iCs/>
        </w:rPr>
        <w:t xml:space="preserve"> deposits</w:t>
      </w:r>
      <w:r w:rsidR="0065238B" w:rsidRPr="00A845B7">
        <w:rPr>
          <w:rFonts w:ascii="Arial" w:hAnsi="Arial" w:cs="Arial"/>
          <w:iCs/>
        </w:rPr>
        <w:t>, less</w:t>
      </w:r>
      <w:r w:rsidR="00851292" w:rsidRPr="00A845B7">
        <w:rPr>
          <w:rFonts w:ascii="Arial" w:hAnsi="Arial" w:cs="Arial"/>
          <w:iCs/>
        </w:rPr>
        <w:t xml:space="preserve"> borrowings and financing derivatives (excluding accrued interest)</w:t>
      </w:r>
      <w:r w:rsidRPr="00A845B7">
        <w:rPr>
          <w:rFonts w:ascii="Arial" w:hAnsi="Arial" w:cs="Arial"/>
          <w:iCs/>
        </w:rPr>
        <w:t>.</w:t>
      </w:r>
      <w:r w:rsidR="00A824DF">
        <w:rPr>
          <w:rFonts w:ascii="Arial" w:hAnsi="Arial" w:cs="Arial"/>
          <w:iCs/>
        </w:rPr>
        <w:t xml:space="preserve"> </w:t>
      </w:r>
      <w:r w:rsidR="00A824DF" w:rsidRPr="00A824DF">
        <w:rPr>
          <w:rFonts w:ascii="Arial" w:hAnsi="Arial" w:cs="Arial"/>
          <w:iCs/>
        </w:rPr>
        <w:t>A reconciliation to balance sheet amounts is provided in note 11 of the condensed financial statements (part 2 of this announcement).</w:t>
      </w:r>
    </w:p>
    <w:p w14:paraId="375609FF" w14:textId="77777777" w:rsidR="000265B9" w:rsidRPr="00A845B7" w:rsidRDefault="000265B9" w:rsidP="000265B9">
      <w:pPr>
        <w:jc w:val="left"/>
        <w:rPr>
          <w:rFonts w:ascii="Arial" w:hAnsi="Arial" w:cs="Arial"/>
          <w:iCs/>
        </w:rPr>
      </w:pPr>
    </w:p>
    <w:p w14:paraId="7ACA4B6F" w14:textId="77777777" w:rsidR="000265B9" w:rsidRPr="00A845B7" w:rsidRDefault="000265B9" w:rsidP="000265B9">
      <w:pPr>
        <w:jc w:val="left"/>
        <w:rPr>
          <w:rFonts w:ascii="Arial" w:hAnsi="Arial" w:cs="Arial"/>
          <w:iCs/>
        </w:rPr>
      </w:pPr>
      <w:r w:rsidRPr="00A845B7">
        <w:rPr>
          <w:rFonts w:ascii="Arial" w:hAnsi="Arial" w:cs="Arial"/>
          <w:b/>
          <w:iCs/>
        </w:rPr>
        <w:t xml:space="preserve">New </w:t>
      </w:r>
      <w:r w:rsidR="003678C1" w:rsidRPr="00A845B7">
        <w:rPr>
          <w:rFonts w:ascii="Arial" w:hAnsi="Arial" w:cs="Arial"/>
          <w:b/>
          <w:iCs/>
        </w:rPr>
        <w:t>C</w:t>
      </w:r>
      <w:r w:rsidRPr="00A845B7">
        <w:rPr>
          <w:rFonts w:ascii="Arial" w:hAnsi="Arial" w:cs="Arial"/>
          <w:b/>
          <w:iCs/>
        </w:rPr>
        <w:t xml:space="preserve">ountry </w:t>
      </w:r>
      <w:r w:rsidR="003678C1" w:rsidRPr="00A845B7">
        <w:rPr>
          <w:rFonts w:ascii="Arial" w:hAnsi="Arial" w:cs="Arial"/>
          <w:b/>
          <w:iCs/>
        </w:rPr>
        <w:t>D</w:t>
      </w:r>
      <w:r w:rsidRPr="00A845B7">
        <w:rPr>
          <w:rFonts w:ascii="Arial" w:hAnsi="Arial" w:cs="Arial"/>
          <w:b/>
          <w:iCs/>
        </w:rPr>
        <w:t xml:space="preserve">evelopment </w:t>
      </w:r>
      <w:r w:rsidRPr="00A845B7">
        <w:rPr>
          <w:rFonts w:ascii="Arial" w:hAnsi="Arial" w:cs="Arial"/>
          <w:iCs/>
        </w:rPr>
        <w:t xml:space="preserve">consists of </w:t>
      </w:r>
      <w:r w:rsidR="00681C26" w:rsidRPr="00A845B7">
        <w:rPr>
          <w:rFonts w:ascii="Arial" w:hAnsi="Arial" w:cs="Arial"/>
          <w:iCs/>
        </w:rPr>
        <w:t xml:space="preserve">Screwfix Europe, </w:t>
      </w:r>
      <w:r w:rsidRPr="00A845B7">
        <w:rPr>
          <w:rFonts w:ascii="Arial" w:hAnsi="Arial" w:cs="Arial"/>
          <w:iCs/>
        </w:rPr>
        <w:t>Portugal and Romania.</w:t>
      </w:r>
    </w:p>
    <w:p w14:paraId="3DBCCC53" w14:textId="77777777" w:rsidR="000F752B" w:rsidRPr="00A845B7" w:rsidRDefault="000F752B" w:rsidP="008355A5">
      <w:pPr>
        <w:jc w:val="left"/>
        <w:rPr>
          <w:rFonts w:ascii="Arial" w:hAnsi="Arial" w:cs="Arial"/>
          <w:b/>
          <w:iCs/>
        </w:rPr>
      </w:pPr>
    </w:p>
    <w:p w14:paraId="0EF74E51" w14:textId="77777777" w:rsidR="000265B9" w:rsidRPr="00A845B7" w:rsidRDefault="000265B9" w:rsidP="000265B9">
      <w:pPr>
        <w:jc w:val="left"/>
        <w:rPr>
          <w:rFonts w:ascii="Arial" w:hAnsi="Arial" w:cs="Arial"/>
          <w:iCs/>
        </w:rPr>
      </w:pPr>
      <w:r w:rsidRPr="00A845B7">
        <w:rPr>
          <w:rFonts w:ascii="Arial" w:hAnsi="Arial" w:cs="Arial"/>
          <w:b/>
          <w:iCs/>
        </w:rPr>
        <w:t>Other International</w:t>
      </w:r>
      <w:r w:rsidRPr="00A845B7">
        <w:rPr>
          <w:rFonts w:ascii="Arial" w:hAnsi="Arial" w:cs="Arial"/>
          <w:iCs/>
        </w:rPr>
        <w:t xml:space="preserve"> consists of Poland, Portugal, Romania, Russia, </w:t>
      </w:r>
      <w:r w:rsidR="008355A5" w:rsidRPr="00A845B7">
        <w:rPr>
          <w:rFonts w:ascii="Arial" w:hAnsi="Arial" w:cs="Arial"/>
          <w:iCs/>
        </w:rPr>
        <w:t xml:space="preserve">Screwfix Europe, </w:t>
      </w:r>
      <w:r w:rsidRPr="00A845B7">
        <w:rPr>
          <w:rFonts w:ascii="Arial" w:hAnsi="Arial" w:cs="Arial"/>
          <w:iCs/>
        </w:rPr>
        <w:t>Spain and Turkey (</w:t>
      </w:r>
      <w:proofErr w:type="spellStart"/>
      <w:r w:rsidRPr="00A845B7">
        <w:rPr>
          <w:rFonts w:ascii="Arial" w:hAnsi="Arial" w:cs="Arial"/>
          <w:iCs/>
        </w:rPr>
        <w:t>Koçtaş</w:t>
      </w:r>
      <w:proofErr w:type="spellEnd"/>
      <w:r w:rsidRPr="00A845B7">
        <w:rPr>
          <w:rFonts w:ascii="Arial" w:hAnsi="Arial" w:cs="Arial"/>
          <w:iCs/>
        </w:rPr>
        <w:t xml:space="preserve"> JV).</w:t>
      </w:r>
    </w:p>
    <w:p w14:paraId="0B727330" w14:textId="77777777" w:rsidR="00474B6E" w:rsidRPr="00A845B7" w:rsidRDefault="00474B6E" w:rsidP="000265B9">
      <w:pPr>
        <w:jc w:val="left"/>
        <w:rPr>
          <w:rFonts w:ascii="Arial" w:hAnsi="Arial" w:cs="Arial"/>
          <w:iCs/>
        </w:rPr>
      </w:pPr>
    </w:p>
    <w:p w14:paraId="2BF771DB" w14:textId="0E8C4AB1" w:rsidR="000265B9" w:rsidRPr="00A845B7" w:rsidRDefault="000265B9" w:rsidP="000265B9">
      <w:pPr>
        <w:jc w:val="left"/>
        <w:rPr>
          <w:rFonts w:ascii="Arial" w:hAnsi="Arial" w:cs="Arial"/>
          <w:iCs/>
        </w:rPr>
      </w:pPr>
      <w:r w:rsidRPr="00A845B7">
        <w:rPr>
          <w:rFonts w:ascii="Arial" w:hAnsi="Arial" w:cs="Arial"/>
          <w:b/>
          <w:iCs/>
        </w:rPr>
        <w:t>Retail profit</w:t>
      </w:r>
      <w:r w:rsidR="00120C4A">
        <w:rPr>
          <w:rFonts w:ascii="Arial" w:hAnsi="Arial" w:cs="Arial"/>
          <w:b/>
          <w:iCs/>
        </w:rPr>
        <w:t xml:space="preserve"> </w:t>
      </w:r>
      <w:r w:rsidR="00120C4A" w:rsidRPr="00120C4A">
        <w:rPr>
          <w:rFonts w:ascii="Arial" w:hAnsi="Arial" w:cs="Arial"/>
          <w:iCs/>
          <w:szCs w:val="24"/>
        </w:rPr>
        <w:t>†</w:t>
      </w:r>
      <w:r w:rsidRPr="00A845B7">
        <w:rPr>
          <w:rFonts w:ascii="Arial" w:hAnsi="Arial" w:cs="Arial"/>
          <w:iCs/>
        </w:rPr>
        <w:t xml:space="preserve"> </w:t>
      </w:r>
      <w:r w:rsidR="00B94BBA" w:rsidRPr="00A845B7">
        <w:rPr>
          <w:rFonts w:ascii="Arial" w:hAnsi="Arial" w:cs="Arial"/>
          <w:iCs/>
        </w:rPr>
        <w:t xml:space="preserve">is </w:t>
      </w:r>
      <w:r w:rsidRPr="00A845B7">
        <w:rPr>
          <w:rFonts w:ascii="Arial" w:hAnsi="Arial" w:cs="Arial"/>
          <w:iCs/>
        </w:rPr>
        <w:t>stated before</w:t>
      </w:r>
      <w:r w:rsidR="00B94BBA" w:rsidRPr="00A845B7">
        <w:rPr>
          <w:rFonts w:ascii="Arial" w:hAnsi="Arial" w:cs="Arial"/>
          <w:iCs/>
        </w:rPr>
        <w:t xml:space="preserve"> </w:t>
      </w:r>
      <w:r w:rsidRPr="00A845B7">
        <w:rPr>
          <w:rFonts w:ascii="Arial" w:hAnsi="Arial" w:cs="Arial"/>
          <w:iCs/>
        </w:rPr>
        <w:t xml:space="preserve">central costs, </w:t>
      </w:r>
      <w:r w:rsidR="00B94BBA" w:rsidRPr="00A845B7">
        <w:rPr>
          <w:rFonts w:ascii="Arial" w:hAnsi="Arial" w:cs="Arial"/>
          <w:iCs/>
        </w:rPr>
        <w:t xml:space="preserve">transformation costs, </w:t>
      </w:r>
      <w:r w:rsidRPr="00A845B7">
        <w:rPr>
          <w:rFonts w:ascii="Arial" w:hAnsi="Arial" w:cs="Arial"/>
          <w:iCs/>
        </w:rPr>
        <w:t>exceptional items</w:t>
      </w:r>
      <w:r w:rsidR="00072B44" w:rsidRPr="00A845B7">
        <w:rPr>
          <w:rFonts w:ascii="Arial" w:hAnsi="Arial" w:cs="Arial"/>
          <w:iCs/>
        </w:rPr>
        <w:t xml:space="preserve"> </w:t>
      </w:r>
      <w:r w:rsidR="00CD58E9" w:rsidRPr="00A845B7">
        <w:rPr>
          <w:rFonts w:ascii="Arial" w:hAnsi="Arial" w:cs="Arial"/>
          <w:iCs/>
        </w:rPr>
        <w:t>and</w:t>
      </w:r>
      <w:r w:rsidRPr="00A845B7">
        <w:rPr>
          <w:rFonts w:ascii="Arial" w:hAnsi="Arial" w:cs="Arial"/>
          <w:iCs/>
        </w:rPr>
        <w:t xml:space="preserve"> the Group’s share of interest and tax of JVs and associates. </w:t>
      </w:r>
      <w:r w:rsidR="00A824DF" w:rsidRPr="00A824DF">
        <w:rPr>
          <w:rFonts w:ascii="Arial" w:hAnsi="Arial" w:cs="Arial"/>
          <w:iCs/>
        </w:rPr>
        <w:t>This is the Group’s operating profit measure used to report the underlying performance of our retail businesses including the sustainable benefits of our transformation p</w:t>
      </w:r>
      <w:r w:rsidR="00A824DF">
        <w:rPr>
          <w:rFonts w:ascii="Arial" w:hAnsi="Arial" w:cs="Arial"/>
          <w:iCs/>
        </w:rPr>
        <w:t>lan</w:t>
      </w:r>
      <w:r w:rsidR="00A824DF" w:rsidRPr="00A824DF">
        <w:rPr>
          <w:rFonts w:ascii="Arial" w:hAnsi="Arial" w:cs="Arial"/>
          <w:iCs/>
        </w:rPr>
        <w:t>. A reconciliation to operating profit is provided in note 3 of the condensed financial statements (part 2 of this announcement).</w:t>
      </w:r>
    </w:p>
    <w:p w14:paraId="4ED7A97C" w14:textId="77777777" w:rsidR="000265B9" w:rsidRPr="00A845B7" w:rsidRDefault="000265B9" w:rsidP="000265B9">
      <w:pPr>
        <w:tabs>
          <w:tab w:val="left" w:pos="357"/>
        </w:tabs>
        <w:ind w:right="-282"/>
        <w:jc w:val="left"/>
        <w:rPr>
          <w:rFonts w:ascii="Arial" w:hAnsi="Arial" w:cs="Arial"/>
          <w:b/>
        </w:rPr>
      </w:pPr>
    </w:p>
    <w:p w14:paraId="1C332D3F" w14:textId="3BCA10FD" w:rsidR="000265B9" w:rsidRPr="00A845B7" w:rsidRDefault="00B5184B" w:rsidP="000265B9">
      <w:pPr>
        <w:tabs>
          <w:tab w:val="left" w:pos="357"/>
        </w:tabs>
        <w:ind w:right="-282"/>
        <w:jc w:val="left"/>
        <w:rPr>
          <w:rFonts w:ascii="Arial" w:hAnsi="Arial" w:cs="Arial"/>
          <w:iCs/>
        </w:rPr>
      </w:pPr>
      <w:r>
        <w:rPr>
          <w:rFonts w:ascii="Arial" w:hAnsi="Arial" w:cs="Arial"/>
          <w:b/>
        </w:rPr>
        <w:t>S</w:t>
      </w:r>
      <w:r w:rsidR="000265B9" w:rsidRPr="00A845B7">
        <w:rPr>
          <w:rFonts w:ascii="Arial" w:hAnsi="Arial" w:cs="Arial"/>
          <w:b/>
        </w:rPr>
        <w:t>ales</w:t>
      </w:r>
      <w:r w:rsidR="000265B9" w:rsidRPr="00A845B7">
        <w:rPr>
          <w:rFonts w:ascii="Arial" w:hAnsi="Arial" w:cs="Arial"/>
          <w:iCs/>
        </w:rPr>
        <w:t xml:space="preserve"> </w:t>
      </w:r>
      <w:r w:rsidR="006568D3">
        <w:rPr>
          <w:rFonts w:ascii="Arial" w:hAnsi="Arial" w:cs="Arial"/>
          <w:iCs/>
        </w:rPr>
        <w:t>refer to</w:t>
      </w:r>
      <w:r w:rsidR="000265B9" w:rsidRPr="00A845B7">
        <w:rPr>
          <w:rFonts w:ascii="Arial" w:hAnsi="Arial" w:cs="Arial"/>
          <w:iCs/>
        </w:rPr>
        <w:t xml:space="preserve"> Group sales exclud</w:t>
      </w:r>
      <w:r w:rsidR="00F14597">
        <w:rPr>
          <w:rFonts w:ascii="Arial" w:hAnsi="Arial" w:cs="Arial"/>
          <w:iCs/>
        </w:rPr>
        <w:t>ing</w:t>
      </w:r>
      <w:r w:rsidR="000265B9" w:rsidRPr="00A845B7">
        <w:rPr>
          <w:rFonts w:ascii="Arial" w:hAnsi="Arial" w:cs="Arial"/>
          <w:iCs/>
        </w:rPr>
        <w:t xml:space="preserve"> Joint Venture (</w:t>
      </w:r>
      <w:proofErr w:type="spellStart"/>
      <w:r w:rsidR="000265B9" w:rsidRPr="00A845B7">
        <w:rPr>
          <w:rFonts w:ascii="Arial" w:hAnsi="Arial" w:cs="Arial"/>
          <w:iCs/>
        </w:rPr>
        <w:t>Koçtaş</w:t>
      </w:r>
      <w:proofErr w:type="spellEnd"/>
      <w:r w:rsidR="000265B9" w:rsidRPr="00A845B7">
        <w:rPr>
          <w:rFonts w:ascii="Arial" w:hAnsi="Arial" w:cs="Arial"/>
          <w:iCs/>
        </w:rPr>
        <w:t xml:space="preserve"> JV) sales.</w:t>
      </w:r>
    </w:p>
    <w:p w14:paraId="725B798A" w14:textId="77777777" w:rsidR="000265B9" w:rsidRPr="00A845B7" w:rsidRDefault="000265B9" w:rsidP="000265B9">
      <w:pPr>
        <w:tabs>
          <w:tab w:val="left" w:pos="357"/>
        </w:tabs>
        <w:ind w:right="-282"/>
        <w:jc w:val="left"/>
        <w:rPr>
          <w:rFonts w:ascii="Arial" w:hAnsi="Arial" w:cs="Arial"/>
          <w:iCs/>
        </w:rPr>
      </w:pPr>
    </w:p>
    <w:p w14:paraId="3A52910E" w14:textId="77777777" w:rsidR="000265B9" w:rsidRPr="00A845B7" w:rsidRDefault="000265B9" w:rsidP="000265B9">
      <w:pPr>
        <w:tabs>
          <w:tab w:val="left" w:pos="357"/>
        </w:tabs>
        <w:ind w:right="-282"/>
        <w:jc w:val="left"/>
        <w:rPr>
          <w:rFonts w:ascii="Arial" w:hAnsi="Arial" w:cs="Arial"/>
          <w:iCs/>
        </w:rPr>
      </w:pPr>
      <w:r w:rsidRPr="00A845B7">
        <w:rPr>
          <w:rFonts w:ascii="Arial" w:hAnsi="Arial" w:cs="Arial"/>
          <w:b/>
          <w:iCs/>
        </w:rPr>
        <w:t xml:space="preserve">SKU </w:t>
      </w:r>
      <w:r w:rsidRPr="00A845B7">
        <w:rPr>
          <w:rFonts w:ascii="Arial" w:hAnsi="Arial" w:cs="Arial"/>
          <w:iCs/>
        </w:rPr>
        <w:t>(Stock Keeping Unit)</w:t>
      </w:r>
      <w:r w:rsidRPr="00A845B7">
        <w:rPr>
          <w:rFonts w:ascii="Arial" w:hAnsi="Arial" w:cs="Arial"/>
          <w:b/>
          <w:iCs/>
        </w:rPr>
        <w:t xml:space="preserve"> </w:t>
      </w:r>
      <w:r w:rsidR="006568D3">
        <w:rPr>
          <w:rFonts w:ascii="Arial" w:hAnsi="Arial" w:cs="Arial"/>
          <w:iCs/>
        </w:rPr>
        <w:t>is defined as</w:t>
      </w:r>
      <w:r w:rsidRPr="00A845B7">
        <w:rPr>
          <w:rFonts w:ascii="Arial" w:hAnsi="Arial" w:cs="Arial"/>
          <w:iCs/>
        </w:rPr>
        <w:t xml:space="preserve"> the number of individual variants of products sold or remaining in stock. It is a distinct type of item for sale, such as a product and all attributes associated with the item type that distinguish it from others. These attributes could include, but are not limited to, manufacturer, description, material, size, colour, packaging and warranty terms.</w:t>
      </w:r>
    </w:p>
    <w:p w14:paraId="0C938B8C" w14:textId="77777777" w:rsidR="000265B9" w:rsidRPr="00A845B7" w:rsidRDefault="000265B9" w:rsidP="000265B9">
      <w:pPr>
        <w:rPr>
          <w:rFonts w:ascii="Arial" w:hAnsi="Arial" w:cs="Arial"/>
          <w:b/>
          <w:iCs/>
        </w:rPr>
      </w:pPr>
    </w:p>
    <w:p w14:paraId="135D3BF3" w14:textId="77A8AEB7" w:rsidR="00FF4F74" w:rsidRPr="00A845B7" w:rsidRDefault="00FF4F74" w:rsidP="000265B9">
      <w:pPr>
        <w:jc w:val="left"/>
        <w:rPr>
          <w:rFonts w:ascii="Arial" w:hAnsi="Arial" w:cs="Arial"/>
          <w:iCs/>
        </w:rPr>
      </w:pPr>
      <w:r w:rsidRPr="00A845B7">
        <w:rPr>
          <w:rFonts w:ascii="Arial" w:hAnsi="Arial" w:cs="Arial"/>
          <w:b/>
          <w:iCs/>
        </w:rPr>
        <w:t>Transformation costs</w:t>
      </w:r>
      <w:r w:rsidR="00120C4A">
        <w:rPr>
          <w:rFonts w:ascii="Arial" w:hAnsi="Arial" w:cs="Arial"/>
          <w:b/>
          <w:iCs/>
        </w:rPr>
        <w:t xml:space="preserve"> </w:t>
      </w:r>
      <w:r w:rsidR="00120C4A" w:rsidRPr="00120C4A">
        <w:rPr>
          <w:rFonts w:ascii="Arial" w:hAnsi="Arial" w:cs="Arial"/>
          <w:iCs/>
          <w:szCs w:val="24"/>
        </w:rPr>
        <w:t>†</w:t>
      </w:r>
      <w:r w:rsidRPr="00A845B7">
        <w:rPr>
          <w:rFonts w:ascii="Arial" w:hAnsi="Arial" w:cs="Arial"/>
          <w:iCs/>
        </w:rPr>
        <w:t xml:space="preserve"> represent the additional costs of the ONE Kingfisher transformation programme launched in 2016/17. They comprise ‘transformation exceptional costs’, ‘transformation P&amp;L costs’ (i.e. non-exceptional items) and ‘transformation capex’ (capital expenditure).</w:t>
      </w:r>
      <w:r w:rsidR="009B24E8" w:rsidRPr="00A845B7">
        <w:rPr>
          <w:rFonts w:ascii="Arial" w:hAnsi="Arial" w:cs="Arial"/>
          <w:iCs/>
        </w:rPr>
        <w:t xml:space="preserve"> </w:t>
      </w:r>
    </w:p>
    <w:p w14:paraId="7AD194B1" w14:textId="77777777" w:rsidR="00FF4F74" w:rsidRPr="00A845B7" w:rsidRDefault="00FF4F74" w:rsidP="000265B9">
      <w:pPr>
        <w:jc w:val="left"/>
        <w:rPr>
          <w:rFonts w:ascii="Arial" w:hAnsi="Arial" w:cs="Arial"/>
          <w:b/>
          <w:iCs/>
        </w:rPr>
      </w:pPr>
    </w:p>
    <w:p w14:paraId="0F364B88" w14:textId="16DA5660" w:rsidR="00A824DF" w:rsidRPr="00940B1C" w:rsidRDefault="00A824DF" w:rsidP="000265B9">
      <w:pPr>
        <w:jc w:val="left"/>
        <w:rPr>
          <w:rFonts w:ascii="Arial" w:hAnsi="Arial" w:cs="Arial"/>
          <w:iCs/>
        </w:rPr>
      </w:pPr>
      <w:r w:rsidRPr="00120C4A">
        <w:rPr>
          <w:rFonts w:ascii="Arial" w:hAnsi="Arial" w:cs="Arial"/>
          <w:b/>
          <w:iCs/>
        </w:rPr>
        <w:lastRenderedPageBreak/>
        <w:t xml:space="preserve">Transformation P&amp;L </w:t>
      </w:r>
      <w:r w:rsidR="00120C4A" w:rsidRPr="00120C4A">
        <w:rPr>
          <w:rFonts w:ascii="Arial" w:hAnsi="Arial" w:cs="Arial"/>
          <w:iCs/>
          <w:szCs w:val="24"/>
        </w:rPr>
        <w:t xml:space="preserve">† </w:t>
      </w:r>
      <w:r w:rsidRPr="00940B1C">
        <w:rPr>
          <w:rFonts w:ascii="Arial" w:hAnsi="Arial" w:cs="Arial"/>
          <w:iCs/>
        </w:rPr>
        <w:t xml:space="preserve">costs represent the additional costs that arise only </w:t>
      </w:r>
      <w:proofErr w:type="gramStart"/>
      <w:r w:rsidRPr="00940B1C">
        <w:rPr>
          <w:rFonts w:ascii="Arial" w:hAnsi="Arial" w:cs="Arial"/>
          <w:iCs/>
        </w:rPr>
        <w:t>as a result of</w:t>
      </w:r>
      <w:proofErr w:type="gramEnd"/>
      <w:r w:rsidRPr="00940B1C">
        <w:rPr>
          <w:rFonts w:ascii="Arial" w:hAnsi="Arial" w:cs="Arial"/>
          <w:iCs/>
        </w:rPr>
        <w:t xml:space="preserve"> the transformation p</w:t>
      </w:r>
      <w:r w:rsidR="00BC12BC" w:rsidRPr="00120C4A">
        <w:rPr>
          <w:rFonts w:ascii="Arial" w:hAnsi="Arial" w:cs="Arial"/>
          <w:iCs/>
        </w:rPr>
        <w:t>lan</w:t>
      </w:r>
      <w:r w:rsidRPr="00940B1C">
        <w:rPr>
          <w:rFonts w:ascii="Arial" w:hAnsi="Arial" w:cs="Arial"/>
          <w:iCs/>
        </w:rPr>
        <w:t xml:space="preserve"> launched in 2016/17. These costs principally relate to the unified and unique offer range implementation and the digital strategic initiative. </w:t>
      </w:r>
    </w:p>
    <w:p w14:paraId="7039779E" w14:textId="77777777" w:rsidR="00A824DF" w:rsidRDefault="00A824DF" w:rsidP="000265B9">
      <w:pPr>
        <w:jc w:val="left"/>
        <w:rPr>
          <w:rFonts w:ascii="Arial" w:hAnsi="Arial" w:cs="Arial"/>
          <w:b/>
          <w:iCs/>
        </w:rPr>
      </w:pPr>
    </w:p>
    <w:p w14:paraId="55424C13" w14:textId="371A3255" w:rsidR="00B94BBA" w:rsidRPr="00A845B7" w:rsidRDefault="00791199" w:rsidP="000265B9">
      <w:pPr>
        <w:jc w:val="left"/>
        <w:rPr>
          <w:rFonts w:ascii="Arial" w:hAnsi="Arial" w:cs="Arial"/>
          <w:iCs/>
        </w:rPr>
      </w:pPr>
      <w:r w:rsidRPr="00A845B7">
        <w:rPr>
          <w:rFonts w:ascii="Arial" w:hAnsi="Arial" w:cs="Arial"/>
          <w:b/>
          <w:iCs/>
        </w:rPr>
        <w:t xml:space="preserve">Underlying </w:t>
      </w:r>
      <w:r w:rsidR="00B94BBA" w:rsidRPr="00A845B7">
        <w:rPr>
          <w:rFonts w:ascii="Arial" w:hAnsi="Arial" w:cs="Arial"/>
          <w:b/>
          <w:iCs/>
        </w:rPr>
        <w:t>pre-tax profit</w:t>
      </w:r>
      <w:r w:rsidR="00120C4A">
        <w:rPr>
          <w:rFonts w:ascii="Arial" w:hAnsi="Arial" w:cs="Arial"/>
          <w:b/>
          <w:iCs/>
        </w:rPr>
        <w:t xml:space="preserve"> </w:t>
      </w:r>
      <w:r w:rsidR="00120C4A" w:rsidRPr="00120C4A">
        <w:rPr>
          <w:rFonts w:ascii="Arial" w:hAnsi="Arial" w:cs="Arial"/>
          <w:iCs/>
          <w:szCs w:val="24"/>
        </w:rPr>
        <w:t xml:space="preserve">† is stated before transformation P&amp;L costs, exceptional items and FFVR. The exclusion of transformation P&amp;L costs (in addition to exceptional items and FFVR) helps provide an indication of the Group’s underlying business performance, which includes the sustainable benefits of the transformation </w:t>
      </w:r>
      <w:r w:rsidR="00FB4F3E" w:rsidRPr="00120C4A">
        <w:rPr>
          <w:rFonts w:ascii="Arial" w:hAnsi="Arial" w:cs="Arial"/>
          <w:iCs/>
          <w:szCs w:val="24"/>
        </w:rPr>
        <w:t>p</w:t>
      </w:r>
      <w:r w:rsidR="00FB4F3E">
        <w:rPr>
          <w:rFonts w:ascii="Arial" w:hAnsi="Arial" w:cs="Arial"/>
          <w:iCs/>
          <w:szCs w:val="24"/>
        </w:rPr>
        <w:t>lan</w:t>
      </w:r>
      <w:r w:rsidR="00120C4A" w:rsidRPr="00120C4A">
        <w:rPr>
          <w:rFonts w:ascii="Arial" w:hAnsi="Arial" w:cs="Arial"/>
          <w:iCs/>
          <w:szCs w:val="24"/>
        </w:rPr>
        <w:t>. A reconciliation to statutory pre-tax profit is set out in the Financial Review (Section 4).</w:t>
      </w:r>
    </w:p>
    <w:p w14:paraId="6B6D65D1" w14:textId="77777777" w:rsidR="00791199" w:rsidRPr="00A845B7" w:rsidRDefault="00791199" w:rsidP="000265B9">
      <w:pPr>
        <w:jc w:val="left"/>
        <w:rPr>
          <w:rFonts w:ascii="Arial" w:hAnsi="Arial" w:cs="Arial"/>
          <w:b/>
          <w:iCs/>
        </w:rPr>
      </w:pPr>
    </w:p>
    <w:p w14:paraId="736A2495" w14:textId="77777777" w:rsidR="003E47FC" w:rsidRPr="003E47FC" w:rsidRDefault="003E47FC" w:rsidP="003E47FC">
      <w:pPr>
        <w:jc w:val="left"/>
        <w:rPr>
          <w:rFonts w:ascii="Arial" w:hAnsi="Arial" w:cs="Arial"/>
          <w:b/>
          <w:iCs/>
        </w:rPr>
      </w:pPr>
      <w:r w:rsidRPr="003E47FC">
        <w:rPr>
          <w:rFonts w:ascii="Arial" w:hAnsi="Arial" w:cs="Arial"/>
          <w:b/>
          <w:iCs/>
        </w:rPr>
        <w:t xml:space="preserve">Unifying </w:t>
      </w:r>
      <w:r w:rsidRPr="00BF593B">
        <w:rPr>
          <w:rFonts w:ascii="Arial" w:hAnsi="Arial" w:cs="Arial"/>
          <w:iCs/>
        </w:rPr>
        <w:t>ranges means rationalising the number of global SKUs and suppliers whilst improving the quality and functionality for our customers and leveraging our scale. This generates cost price reduction and better prices for customers. Products are unified across the whole range; from selling the same product in all our markets to having some customer driven market adaptions where needed. Unified extends to our own exclusive brands alongside international and national brands.</w:t>
      </w:r>
      <w:r w:rsidRPr="003E47FC">
        <w:rPr>
          <w:rFonts w:ascii="Arial" w:hAnsi="Arial" w:cs="Arial"/>
          <w:b/>
          <w:iCs/>
        </w:rPr>
        <w:t xml:space="preserve"> </w:t>
      </w:r>
    </w:p>
    <w:p w14:paraId="4A0A6928" w14:textId="77777777" w:rsidR="003E47FC" w:rsidRPr="003E47FC" w:rsidRDefault="003E47FC" w:rsidP="003E47FC">
      <w:pPr>
        <w:jc w:val="left"/>
        <w:rPr>
          <w:rFonts w:ascii="Arial" w:hAnsi="Arial" w:cs="Arial"/>
          <w:b/>
          <w:iCs/>
        </w:rPr>
      </w:pPr>
    </w:p>
    <w:p w14:paraId="57DB2154" w14:textId="5C42A7A6" w:rsidR="003E47FC" w:rsidRPr="00BF593B" w:rsidRDefault="003E47FC" w:rsidP="003E47FC">
      <w:pPr>
        <w:jc w:val="left"/>
        <w:rPr>
          <w:rFonts w:ascii="Arial" w:hAnsi="Arial" w:cs="Arial"/>
          <w:iCs/>
        </w:rPr>
      </w:pPr>
      <w:r w:rsidRPr="003E47FC">
        <w:rPr>
          <w:rFonts w:ascii="Arial" w:hAnsi="Arial" w:cs="Arial"/>
          <w:b/>
          <w:iCs/>
        </w:rPr>
        <w:t xml:space="preserve">Unique </w:t>
      </w:r>
      <w:r w:rsidRPr="00BF593B">
        <w:rPr>
          <w:rFonts w:ascii="Arial" w:hAnsi="Arial" w:cs="Arial"/>
          <w:iCs/>
        </w:rPr>
        <w:t>ranges relate to the development of our own product ranges that excite customers. These ranges are not available elsewhere and are always sold under our own exclusive brands. Instead of buying products off the shelf from suppliers, we are designing the ranges ourselves based on our deep customer insights.</w:t>
      </w:r>
    </w:p>
    <w:p w14:paraId="04267CD3" w14:textId="77777777" w:rsidR="003E47FC" w:rsidRDefault="003E47FC" w:rsidP="003E47FC">
      <w:pPr>
        <w:jc w:val="left"/>
        <w:rPr>
          <w:rFonts w:ascii="Arial" w:hAnsi="Arial" w:cs="Arial"/>
          <w:b/>
          <w:iCs/>
        </w:rPr>
      </w:pPr>
    </w:p>
    <w:p w14:paraId="5EE7F8DD" w14:textId="76528C3E" w:rsidR="000265B9" w:rsidRPr="00A845B7" w:rsidRDefault="000265B9" w:rsidP="000265B9">
      <w:pPr>
        <w:jc w:val="left"/>
        <w:rPr>
          <w:rFonts w:ascii="Arial" w:hAnsi="Arial" w:cs="Arial"/>
          <w:b/>
          <w:bCs/>
        </w:rPr>
      </w:pPr>
      <w:r w:rsidRPr="00A845B7">
        <w:rPr>
          <w:rFonts w:ascii="Arial" w:hAnsi="Arial" w:cs="Arial"/>
          <w:b/>
          <w:iCs/>
        </w:rPr>
        <w:t>UK &amp; Ireland</w:t>
      </w:r>
      <w:r w:rsidRPr="00A845B7">
        <w:rPr>
          <w:rFonts w:ascii="Arial" w:hAnsi="Arial" w:cs="Arial"/>
          <w:iCs/>
        </w:rPr>
        <w:t xml:space="preserve"> consists of B&amp;Q in the UK &amp; Ireland and Screwfix</w:t>
      </w:r>
      <w:r w:rsidR="00EE0CD7" w:rsidRPr="00A845B7">
        <w:rPr>
          <w:rFonts w:ascii="Arial" w:hAnsi="Arial" w:cs="Arial"/>
          <w:iCs/>
        </w:rPr>
        <w:t xml:space="preserve"> UK</w:t>
      </w:r>
      <w:r w:rsidRPr="00A845B7">
        <w:rPr>
          <w:rFonts w:ascii="Arial" w:hAnsi="Arial" w:cs="Arial"/>
          <w:iCs/>
        </w:rPr>
        <w:t>.</w:t>
      </w:r>
    </w:p>
    <w:bookmarkEnd w:id="46"/>
    <w:p w14:paraId="04430C88" w14:textId="77777777" w:rsidR="008E3FF2" w:rsidRPr="00925EFB" w:rsidRDefault="008E3FF2">
      <w:pPr>
        <w:jc w:val="left"/>
        <w:rPr>
          <w:rFonts w:ascii="Arial" w:hAnsi="Arial" w:cs="Arial"/>
          <w:b/>
          <w:bCs/>
          <w:sz w:val="24"/>
          <w:szCs w:val="24"/>
          <w:highlight w:val="yellow"/>
        </w:rPr>
      </w:pPr>
      <w:r w:rsidRPr="00925EFB">
        <w:rPr>
          <w:rFonts w:ascii="Arial" w:hAnsi="Arial" w:cs="Arial"/>
          <w:b/>
          <w:bCs/>
          <w:sz w:val="24"/>
          <w:szCs w:val="24"/>
          <w:highlight w:val="yellow"/>
        </w:rPr>
        <w:br w:type="page"/>
      </w:r>
    </w:p>
    <w:p w14:paraId="1B447382" w14:textId="77777777" w:rsidR="003A298D" w:rsidRPr="00A845B7" w:rsidRDefault="003A298D" w:rsidP="00272A5E">
      <w:pPr>
        <w:rPr>
          <w:rFonts w:ascii="Arial" w:hAnsi="Arial" w:cs="Arial"/>
          <w:b/>
          <w:caps/>
        </w:rPr>
      </w:pPr>
      <w:r w:rsidRPr="00A845B7">
        <w:rPr>
          <w:rFonts w:ascii="Arial" w:hAnsi="Arial" w:cs="Arial"/>
          <w:b/>
          <w:bCs/>
        </w:rPr>
        <w:lastRenderedPageBreak/>
        <w:t xml:space="preserve">Section </w:t>
      </w:r>
      <w:r w:rsidR="00DD4F01" w:rsidRPr="00A845B7">
        <w:rPr>
          <w:rFonts w:ascii="Arial" w:hAnsi="Arial" w:cs="Arial"/>
          <w:b/>
          <w:bCs/>
        </w:rPr>
        <w:t>6</w:t>
      </w:r>
      <w:r w:rsidRPr="00A845B7">
        <w:rPr>
          <w:rFonts w:ascii="Arial" w:hAnsi="Arial" w:cs="Arial"/>
          <w:b/>
          <w:bCs/>
        </w:rPr>
        <w:t xml:space="preserve">: </w:t>
      </w:r>
      <w:r w:rsidRPr="00A845B7">
        <w:rPr>
          <w:rFonts w:ascii="Arial" w:hAnsi="Arial" w:cs="Arial"/>
          <w:b/>
        </w:rPr>
        <w:t>Forward-looking statements</w:t>
      </w:r>
    </w:p>
    <w:p w14:paraId="2C0FFB40" w14:textId="77777777" w:rsidR="003A298D" w:rsidRPr="00C85DB3" w:rsidRDefault="003A298D" w:rsidP="003A298D">
      <w:pPr>
        <w:jc w:val="left"/>
        <w:rPr>
          <w:rFonts w:ascii="Arial" w:hAnsi="Arial" w:cs="Arial"/>
          <w:sz w:val="24"/>
          <w:szCs w:val="24"/>
        </w:rPr>
      </w:pPr>
    </w:p>
    <w:p w14:paraId="7C26827D" w14:textId="77777777" w:rsidR="003A298D" w:rsidRPr="006B39C7" w:rsidRDefault="003A298D" w:rsidP="003A298D">
      <w:pPr>
        <w:jc w:val="left"/>
        <w:rPr>
          <w:rFonts w:ascii="Arial" w:hAnsi="Arial" w:cs="Arial"/>
        </w:rPr>
      </w:pPr>
      <w:r w:rsidRPr="006B39C7">
        <w:rPr>
          <w:rFonts w:ascii="Arial" w:hAnsi="Arial" w:cs="Arial"/>
        </w:rPr>
        <w:t>You are not to construe the content of this announcement as investment, legal or tax advice and you should make you own evaluation of the Company and the market.</w:t>
      </w:r>
      <w:r w:rsidR="00E87867">
        <w:rPr>
          <w:rFonts w:ascii="Arial" w:hAnsi="Arial" w:cs="Arial"/>
        </w:rPr>
        <w:t xml:space="preserve"> </w:t>
      </w:r>
      <w:r w:rsidRPr="006B39C7">
        <w:rPr>
          <w:rFonts w:ascii="Arial" w:hAnsi="Arial" w:cs="Arial"/>
        </w:rPr>
        <w:t xml:space="preserve">If you are in any doubt about the contents of this announcement or the action you should take, you should consult a person authorised under the Financial Services and Markets Act 2000 (as amended) (or if you are a person outside the UK, otherwise duly qualified in your jurisdiction). </w:t>
      </w:r>
    </w:p>
    <w:p w14:paraId="6C68F71C" w14:textId="77777777" w:rsidR="003A298D" w:rsidRPr="006B39C7" w:rsidRDefault="003A298D" w:rsidP="003A298D">
      <w:pPr>
        <w:jc w:val="left"/>
        <w:rPr>
          <w:rFonts w:ascii="Arial" w:hAnsi="Arial" w:cs="Arial"/>
        </w:rPr>
      </w:pPr>
    </w:p>
    <w:p w14:paraId="11DCD733" w14:textId="51FA9745" w:rsidR="003A298D" w:rsidRPr="006B39C7" w:rsidRDefault="003A298D" w:rsidP="003A298D">
      <w:pPr>
        <w:jc w:val="left"/>
        <w:rPr>
          <w:rFonts w:ascii="Arial" w:hAnsi="Arial" w:cs="Arial"/>
        </w:rPr>
      </w:pPr>
      <w:r w:rsidRPr="006B39C7">
        <w:rPr>
          <w:rFonts w:ascii="Arial" w:hAnsi="Arial" w:cs="Arial"/>
        </w:rPr>
        <w:t>This announcement has been prepared in relation to the financial r</w:t>
      </w:r>
      <w:r w:rsidR="008E7ABE" w:rsidRPr="006B39C7">
        <w:rPr>
          <w:rFonts w:ascii="Arial" w:hAnsi="Arial" w:cs="Arial"/>
        </w:rPr>
        <w:t xml:space="preserve">esults for the </w:t>
      </w:r>
      <w:r w:rsidR="0008206F" w:rsidRPr="006B39C7">
        <w:rPr>
          <w:rFonts w:ascii="Arial" w:hAnsi="Arial" w:cs="Arial"/>
        </w:rPr>
        <w:t xml:space="preserve">full </w:t>
      </w:r>
      <w:r w:rsidR="008E7ABE" w:rsidRPr="006B39C7">
        <w:rPr>
          <w:rFonts w:ascii="Arial" w:hAnsi="Arial" w:cs="Arial"/>
        </w:rPr>
        <w:t xml:space="preserve">year ended </w:t>
      </w:r>
      <w:r w:rsidR="008E3FF2" w:rsidRPr="006B39C7">
        <w:rPr>
          <w:rFonts w:ascii="Arial" w:hAnsi="Arial" w:cs="Arial"/>
        </w:rPr>
        <w:t>31</w:t>
      </w:r>
      <w:r w:rsidRPr="006B39C7">
        <w:rPr>
          <w:rFonts w:ascii="Arial" w:hAnsi="Arial" w:cs="Arial"/>
        </w:rPr>
        <w:t xml:space="preserve"> </w:t>
      </w:r>
      <w:r w:rsidR="0008206F" w:rsidRPr="006B39C7">
        <w:rPr>
          <w:rFonts w:ascii="Arial" w:hAnsi="Arial" w:cs="Arial"/>
        </w:rPr>
        <w:t xml:space="preserve">January </w:t>
      </w:r>
      <w:r w:rsidRPr="006B39C7">
        <w:rPr>
          <w:rFonts w:ascii="Arial" w:hAnsi="Arial" w:cs="Arial"/>
        </w:rPr>
        <w:t>201</w:t>
      </w:r>
      <w:r w:rsidR="004A1C1F">
        <w:rPr>
          <w:rFonts w:ascii="Arial" w:hAnsi="Arial" w:cs="Arial"/>
        </w:rPr>
        <w:t>8</w:t>
      </w:r>
      <w:r w:rsidRPr="006B39C7">
        <w:rPr>
          <w:rFonts w:ascii="Arial" w:hAnsi="Arial" w:cs="Arial"/>
        </w:rPr>
        <w:t>.</w:t>
      </w:r>
      <w:r w:rsidR="000E7097" w:rsidRPr="006B39C7">
        <w:rPr>
          <w:rFonts w:ascii="Arial" w:hAnsi="Arial" w:cs="Arial"/>
        </w:rPr>
        <w:t xml:space="preserve"> </w:t>
      </w:r>
      <w:r w:rsidRPr="006B39C7">
        <w:rPr>
          <w:rFonts w:ascii="Arial" w:hAnsi="Arial" w:cs="Arial"/>
        </w:rPr>
        <w:t>The financial information referenced in this announcement is not audited and does not contain sufficient detail to allow a full understanding of the results of the group.</w:t>
      </w:r>
      <w:r w:rsidR="00E87867">
        <w:rPr>
          <w:rFonts w:ascii="Arial" w:hAnsi="Arial" w:cs="Arial"/>
        </w:rPr>
        <w:t xml:space="preserve"> </w:t>
      </w:r>
      <w:r w:rsidRPr="006B39C7">
        <w:rPr>
          <w:rFonts w:ascii="Arial" w:hAnsi="Arial" w:cs="Arial"/>
        </w:rPr>
        <w:t>Nothing in this announcement should be construed as either an offer or invitation to sell or any offering of securities or any invitation or inducement to any person to underwrite, subscribe for or otherwise acquire securities in any company within the group or an invitation or inducement to engage in investment activity under section 21 of the Financial Services and Markets Act 2000 (as amended).</w:t>
      </w:r>
      <w:r w:rsidRPr="006B39C7">
        <w:t xml:space="preserve"> </w:t>
      </w:r>
    </w:p>
    <w:p w14:paraId="603873E7" w14:textId="77777777" w:rsidR="003A298D" w:rsidRPr="006B39C7" w:rsidRDefault="003A298D" w:rsidP="003A298D">
      <w:pPr>
        <w:jc w:val="left"/>
        <w:rPr>
          <w:rFonts w:ascii="Arial" w:hAnsi="Arial" w:cs="Arial"/>
        </w:rPr>
      </w:pPr>
      <w:r w:rsidRPr="006B39C7">
        <w:rPr>
          <w:rFonts w:ascii="Arial" w:hAnsi="Arial" w:cs="Arial"/>
        </w:rPr>
        <w:t>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w:t>
      </w:r>
      <w:r w:rsidR="001A5F2E">
        <w:rPr>
          <w:rFonts w:ascii="Arial" w:hAnsi="Arial" w:cs="Arial"/>
        </w:rPr>
        <w:t>,</w:t>
      </w:r>
      <w:r w:rsidRPr="006B39C7">
        <w:rPr>
          <w:rFonts w:ascii="Arial" w:hAnsi="Arial" w:cs="Arial"/>
        </w:rPr>
        <w:t xml:space="preserve"> “target”, “plan”, “goal”, “aim” or “believe” (or the negatives thereof) or other variations thereon or comparable terminology. These forward-looking statements include all matters that are not historical facts and include statements regarding the Company’s intentions, beliefs or current expectations concerning, among other things, the Company’s results of operations, financial condition, changes in tax rates, liquidity, prospects, growth and strategies.</w:t>
      </w:r>
      <w:r w:rsidR="00E87867">
        <w:rPr>
          <w:rFonts w:ascii="Arial" w:hAnsi="Arial" w:cs="Arial"/>
        </w:rPr>
        <w:t xml:space="preserve"> </w:t>
      </w:r>
      <w:r w:rsidRPr="006B39C7">
        <w:rPr>
          <w:rFonts w:ascii="Arial" w:hAnsi="Arial" w:cs="Arial"/>
        </w:rPr>
        <w:t>By their nature, forward-looking statements involve risks, assumptions and uncertainties that could cause actual events or results or actual performance of the Company to differ materially from those reflected or contemplated in such forward-looking statements. No representation or warranty is made as to the achievement or reasonableness of and no reliance should be placed on such forward-looking statements.</w:t>
      </w:r>
    </w:p>
    <w:p w14:paraId="70C33D7B" w14:textId="77777777" w:rsidR="003A298D" w:rsidRPr="006B39C7" w:rsidRDefault="003A298D" w:rsidP="003A298D">
      <w:pPr>
        <w:jc w:val="left"/>
        <w:rPr>
          <w:rFonts w:ascii="Arial" w:hAnsi="Arial" w:cs="Arial"/>
        </w:rPr>
      </w:pPr>
    </w:p>
    <w:p w14:paraId="0D1A8C5A" w14:textId="77777777" w:rsidR="003A298D" w:rsidRPr="006B39C7" w:rsidRDefault="003A298D" w:rsidP="003A298D">
      <w:pPr>
        <w:jc w:val="left"/>
        <w:rPr>
          <w:rFonts w:ascii="Arial" w:hAnsi="Arial" w:cs="Arial"/>
        </w:rPr>
      </w:pPr>
      <w:r w:rsidRPr="006B39C7">
        <w:rPr>
          <w:rFonts w:ascii="Arial" w:hAnsi="Arial" w:cs="Arial"/>
        </w:rPr>
        <w:t>The Company does not undertake any obligation to update or revise any forward-looking statement to reflect any change in circumstances or in the Company’s expectations.</w:t>
      </w:r>
    </w:p>
    <w:p w14:paraId="4E870521" w14:textId="77777777" w:rsidR="003A298D" w:rsidRPr="00506D26" w:rsidRDefault="003A298D" w:rsidP="003A298D">
      <w:pPr>
        <w:spacing w:after="240"/>
        <w:jc w:val="left"/>
        <w:rPr>
          <w:rFonts w:cs="Times New Roman"/>
          <w:sz w:val="24"/>
          <w:szCs w:val="24"/>
        </w:rPr>
      </w:pPr>
    </w:p>
    <w:p w14:paraId="2CDC91D0" w14:textId="77777777" w:rsidR="00181E03" w:rsidRPr="00506D26" w:rsidRDefault="00181E03" w:rsidP="003A298D">
      <w:pPr>
        <w:jc w:val="left"/>
        <w:rPr>
          <w:rFonts w:cs="Times New Roman"/>
          <w:sz w:val="24"/>
          <w:szCs w:val="24"/>
        </w:rPr>
      </w:pPr>
    </w:p>
    <w:sectPr w:rsidR="00181E03" w:rsidRPr="00506D26" w:rsidSect="005F0DA3">
      <w:headerReference w:type="default" r:id="rId12"/>
      <w:footerReference w:type="default" r:id="rId13"/>
      <w:type w:val="continuous"/>
      <w:pgSz w:w="11909" w:h="16834" w:code="9"/>
      <w:pgMar w:top="1077" w:right="1134" w:bottom="720" w:left="1134" w:header="113"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FD6E9" w14:textId="77777777" w:rsidR="00D94A6B" w:rsidRDefault="00D94A6B">
      <w:pPr>
        <w:rPr>
          <w:rFonts w:cs="Times New Roman"/>
        </w:rPr>
      </w:pPr>
      <w:r>
        <w:rPr>
          <w:rFonts w:cs="Times New Roman"/>
        </w:rPr>
        <w:separator/>
      </w:r>
    </w:p>
  </w:endnote>
  <w:endnote w:type="continuationSeparator" w:id="0">
    <w:p w14:paraId="182A265B" w14:textId="77777777" w:rsidR="00D94A6B" w:rsidRDefault="00D94A6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charset w:val="00"/>
    <w:family w:val="swiss"/>
    <w:pitch w:val="variable"/>
    <w:sig w:usb0="80000287" w:usb1="00000000" w:usb2="00000000" w:usb3="00000000" w:csb0="0000000F" w:csb1="00000000"/>
  </w:font>
  <w:font w:name="ZapfCalligr BT">
    <w:altName w:val="Palatino Linotyp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35">
    <w:altName w:val="Calibri"/>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Trade Gothic LT Std Bold">
    <w:altName w:val="Calibri"/>
    <w:panose1 w:val="00000000000000000000"/>
    <w:charset w:val="00"/>
    <w:family w:val="moder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157898"/>
      <w:docPartObj>
        <w:docPartGallery w:val="Page Numbers (Bottom of Page)"/>
        <w:docPartUnique/>
      </w:docPartObj>
    </w:sdtPr>
    <w:sdtEndPr>
      <w:rPr>
        <w:noProof/>
      </w:rPr>
    </w:sdtEndPr>
    <w:sdtContent>
      <w:p w14:paraId="010F6175" w14:textId="7F0D4B3F" w:rsidR="00D94A6B" w:rsidRDefault="00D94A6B">
        <w:pPr>
          <w:pStyle w:val="Footer"/>
          <w:jc w:val="right"/>
        </w:pPr>
        <w:r>
          <w:fldChar w:fldCharType="begin"/>
        </w:r>
        <w:r>
          <w:instrText xml:space="preserve"> PAGE   \* MERGEFORMAT </w:instrText>
        </w:r>
        <w:r>
          <w:fldChar w:fldCharType="separate"/>
        </w:r>
        <w:r w:rsidR="006A167E">
          <w:rPr>
            <w:noProof/>
          </w:rPr>
          <w:t>2</w:t>
        </w:r>
        <w:r>
          <w:rPr>
            <w:noProof/>
          </w:rPr>
          <w:fldChar w:fldCharType="end"/>
        </w:r>
      </w:p>
    </w:sdtContent>
  </w:sdt>
  <w:p w14:paraId="461A6353" w14:textId="77777777" w:rsidR="00D94A6B" w:rsidRPr="00930C11" w:rsidRDefault="00D94A6B" w:rsidP="00965768">
    <w:pPr>
      <w:pStyle w:val="Footer"/>
      <w:ind w:right="360"/>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A7887" w14:textId="77777777" w:rsidR="00D94A6B" w:rsidRDefault="00D94A6B">
      <w:pPr>
        <w:rPr>
          <w:rFonts w:cs="Times New Roman"/>
        </w:rPr>
      </w:pPr>
      <w:r>
        <w:rPr>
          <w:rFonts w:cs="Times New Roman"/>
        </w:rPr>
        <w:separator/>
      </w:r>
    </w:p>
  </w:footnote>
  <w:footnote w:type="continuationSeparator" w:id="0">
    <w:p w14:paraId="03BD2372" w14:textId="77777777" w:rsidR="00D94A6B" w:rsidRDefault="00D94A6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DE11" w14:textId="6A7963FA" w:rsidR="00D94A6B" w:rsidRPr="00341E1C" w:rsidRDefault="00D94A6B" w:rsidP="006E1748">
    <w:pPr>
      <w:pStyle w:val="Header"/>
      <w:jc w:val="center"/>
    </w:pPr>
    <w:r>
      <w:rPr>
        <w:noProof/>
      </w:rPr>
      <w:drawing>
        <wp:inline distT="0" distB="0" distL="0" distR="0" wp14:anchorId="26A7F231" wp14:editId="1403181F">
          <wp:extent cx="2066925" cy="586740"/>
          <wp:effectExtent l="0" t="0" r="9525" b="381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066925" cy="5867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3499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3606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1D8A4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B48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8A01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C0444"/>
    <w:lvl w:ilvl="0">
      <w:start w:val="1"/>
      <w:numFmt w:val="bullet"/>
      <w:pStyle w:val="ListBullet4"/>
      <w:lvlText w:val=""/>
      <w:lvlJc w:val="left"/>
      <w:pPr>
        <w:tabs>
          <w:tab w:val="num" w:pos="1440"/>
        </w:tabs>
        <w:ind w:left="1440" w:hanging="360"/>
      </w:pPr>
      <w:rPr>
        <w:rFonts w:ascii="Symbol" w:hAnsi="Symbol" w:hint="default"/>
        <w:lang w:val="en-GB"/>
      </w:rPr>
    </w:lvl>
  </w:abstractNum>
  <w:abstractNum w:abstractNumId="6" w15:restartNumberingAfterBreak="0">
    <w:nsid w:val="FFFFFF82"/>
    <w:multiLevelType w:val="singleLevel"/>
    <w:tmpl w:val="6CECF4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E0E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9CDD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74A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D6DE8"/>
    <w:multiLevelType w:val="hybridMultilevel"/>
    <w:tmpl w:val="3F842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9318E6"/>
    <w:multiLevelType w:val="hybridMultilevel"/>
    <w:tmpl w:val="DB6C4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9A3632"/>
    <w:multiLevelType w:val="hybridMultilevel"/>
    <w:tmpl w:val="D7E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5C2513"/>
    <w:multiLevelType w:val="hybridMultilevel"/>
    <w:tmpl w:val="65DAC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EF13B7"/>
    <w:multiLevelType w:val="hybridMultilevel"/>
    <w:tmpl w:val="EA96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D55372"/>
    <w:multiLevelType w:val="hybridMultilevel"/>
    <w:tmpl w:val="17963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1E1499"/>
    <w:multiLevelType w:val="hybridMultilevel"/>
    <w:tmpl w:val="BAB8B0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35182C"/>
    <w:multiLevelType w:val="hybridMultilevel"/>
    <w:tmpl w:val="10C4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8F5D74"/>
    <w:multiLevelType w:val="hybridMultilevel"/>
    <w:tmpl w:val="2AB0F004"/>
    <w:lvl w:ilvl="0" w:tplc="4FD05FAC">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067F96"/>
    <w:multiLevelType w:val="multilevel"/>
    <w:tmpl w:val="BE7656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FE52A26"/>
    <w:multiLevelType w:val="hybridMultilevel"/>
    <w:tmpl w:val="E0B40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7C500E"/>
    <w:multiLevelType w:val="hybridMultilevel"/>
    <w:tmpl w:val="EE4EE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247120"/>
    <w:multiLevelType w:val="hybridMultilevel"/>
    <w:tmpl w:val="3DFC674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3C7931"/>
    <w:multiLevelType w:val="hybridMultilevel"/>
    <w:tmpl w:val="3A1A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5B56CD"/>
    <w:multiLevelType w:val="hybridMultilevel"/>
    <w:tmpl w:val="94EA48B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51E573B"/>
    <w:multiLevelType w:val="hybridMultilevel"/>
    <w:tmpl w:val="7BEE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B4D43"/>
    <w:multiLevelType w:val="hybridMultilevel"/>
    <w:tmpl w:val="A0881DB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E66CB0"/>
    <w:multiLevelType w:val="hybridMultilevel"/>
    <w:tmpl w:val="22B27A28"/>
    <w:lvl w:ilvl="0" w:tplc="17241C32">
      <w:start w:val="10"/>
      <w:numFmt w:val="bullet"/>
      <w:lvlText w:val="-"/>
      <w:lvlJc w:val="left"/>
      <w:pPr>
        <w:ind w:left="432" w:hanging="360"/>
      </w:pPr>
      <w:rPr>
        <w:rFonts w:ascii="Arial" w:eastAsia="Batang"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8" w15:restartNumberingAfterBreak="0">
    <w:nsid w:val="4B390885"/>
    <w:multiLevelType w:val="hybridMultilevel"/>
    <w:tmpl w:val="EE46B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5F6498"/>
    <w:multiLevelType w:val="hybridMultilevel"/>
    <w:tmpl w:val="B9C2E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230557"/>
    <w:multiLevelType w:val="hybridMultilevel"/>
    <w:tmpl w:val="A918AD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692612D"/>
    <w:multiLevelType w:val="hybridMultilevel"/>
    <w:tmpl w:val="76E47E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9E3E01"/>
    <w:multiLevelType w:val="multilevel"/>
    <w:tmpl w:val="D722E8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72739BF"/>
    <w:multiLevelType w:val="hybridMultilevel"/>
    <w:tmpl w:val="3C481F76"/>
    <w:lvl w:ilvl="0" w:tplc="651C7084">
      <w:start w:val="1"/>
      <w:numFmt w:val="decimal"/>
      <w:lvlText w:val="%1)"/>
      <w:lvlJc w:val="left"/>
      <w:pPr>
        <w:ind w:left="720" w:hanging="360"/>
      </w:pPr>
      <w:rPr>
        <w:rFonts w:hint="default"/>
        <w:b w:val="0"/>
        <w:sz w:val="24"/>
        <w:szCs w:val="24"/>
      </w:rPr>
    </w:lvl>
    <w:lvl w:ilvl="1" w:tplc="738402EC">
      <w:start w:val="1"/>
      <w:numFmt w:val="bullet"/>
      <w:lvlText w:val="-"/>
      <w:lvlJc w:val="left"/>
      <w:pPr>
        <w:ind w:left="1440" w:hanging="360"/>
      </w:pPr>
      <w:rPr>
        <w:rFonts w:ascii="Univers" w:hAnsi="Univers"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15:restartNumberingAfterBreak="0">
    <w:nsid w:val="58823DC3"/>
    <w:multiLevelType w:val="hybridMultilevel"/>
    <w:tmpl w:val="0B844188"/>
    <w:lvl w:ilvl="0" w:tplc="85CED406">
      <w:start w:val="1"/>
      <w:numFmt w:val="decimal"/>
      <w:lvlText w:val="%1."/>
      <w:lvlJc w:val="left"/>
      <w:pPr>
        <w:ind w:left="1080"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3410252"/>
    <w:multiLevelType w:val="hybridMultilevel"/>
    <w:tmpl w:val="57364E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0F0866"/>
    <w:multiLevelType w:val="hybridMultilevel"/>
    <w:tmpl w:val="A268D8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746B20"/>
    <w:multiLevelType w:val="hybridMultilevel"/>
    <w:tmpl w:val="C9B6D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CA07E4"/>
    <w:multiLevelType w:val="hybridMultilevel"/>
    <w:tmpl w:val="CE0A0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361BCF"/>
    <w:multiLevelType w:val="hybridMultilevel"/>
    <w:tmpl w:val="F904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7F0B9B"/>
    <w:multiLevelType w:val="hybridMultilevel"/>
    <w:tmpl w:val="FB44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5"/>
  </w:num>
  <w:num w:numId="4">
    <w:abstractNumId w:val="13"/>
  </w:num>
  <w:num w:numId="5">
    <w:abstractNumId w:val="27"/>
  </w:num>
  <w:num w:numId="6">
    <w:abstractNumId w:val="37"/>
  </w:num>
  <w:num w:numId="7">
    <w:abstractNumId w:val="20"/>
  </w:num>
  <w:num w:numId="8">
    <w:abstractNumId w:val="29"/>
  </w:num>
  <w:num w:numId="9">
    <w:abstractNumId w:val="16"/>
  </w:num>
  <w:num w:numId="10">
    <w:abstractNumId w:val="31"/>
  </w:num>
  <w:num w:numId="11">
    <w:abstractNumId w:val="34"/>
  </w:num>
  <w:num w:numId="12">
    <w:abstractNumId w:val="10"/>
  </w:num>
  <w:num w:numId="13">
    <w:abstractNumId w:val="24"/>
  </w:num>
  <w:num w:numId="14">
    <w:abstractNumId w:val="12"/>
  </w:num>
  <w:num w:numId="15">
    <w:abstractNumId w:val="11"/>
  </w:num>
  <w:num w:numId="16">
    <w:abstractNumId w:val="9"/>
  </w:num>
  <w:num w:numId="17">
    <w:abstractNumId w:val="7"/>
  </w:num>
  <w:num w:numId="18">
    <w:abstractNumId w:val="6"/>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5"/>
  </w:num>
  <w:num w:numId="47">
    <w:abstractNumId w:val="14"/>
  </w:num>
  <w:num w:numId="48">
    <w:abstractNumId w:val="21"/>
  </w:num>
  <w:num w:numId="49">
    <w:abstractNumId w:val="36"/>
  </w:num>
  <w:num w:numId="50">
    <w:abstractNumId w:val="30"/>
  </w:num>
  <w:num w:numId="51">
    <w:abstractNumId w:val="38"/>
  </w:num>
  <w:num w:numId="52">
    <w:abstractNumId w:val="22"/>
  </w:num>
  <w:num w:numId="53">
    <w:abstractNumId w:val="26"/>
  </w:num>
  <w:num w:numId="54">
    <w:abstractNumId w:val="39"/>
  </w:num>
  <w:num w:numId="55">
    <w:abstractNumId w:val="40"/>
  </w:num>
  <w:num w:numId="56">
    <w:abstractNumId w:val="25"/>
  </w:num>
  <w:num w:numId="57">
    <w:abstractNumId w:val="17"/>
  </w:num>
  <w:num w:numId="58">
    <w:abstractNumId w:val="23"/>
  </w:num>
  <w:num w:numId="59">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69"/>
    <w:rsid w:val="0000047F"/>
    <w:rsid w:val="000006D2"/>
    <w:rsid w:val="000007F7"/>
    <w:rsid w:val="00000FE7"/>
    <w:rsid w:val="000010CD"/>
    <w:rsid w:val="000012DD"/>
    <w:rsid w:val="0000154D"/>
    <w:rsid w:val="000015BF"/>
    <w:rsid w:val="00001E1A"/>
    <w:rsid w:val="000026D0"/>
    <w:rsid w:val="00002DFA"/>
    <w:rsid w:val="00002F27"/>
    <w:rsid w:val="00002FBD"/>
    <w:rsid w:val="0000303B"/>
    <w:rsid w:val="000030F0"/>
    <w:rsid w:val="000034A6"/>
    <w:rsid w:val="00003A9F"/>
    <w:rsid w:val="00003FF5"/>
    <w:rsid w:val="0000423D"/>
    <w:rsid w:val="000045F9"/>
    <w:rsid w:val="000047E4"/>
    <w:rsid w:val="00005607"/>
    <w:rsid w:val="00005EB4"/>
    <w:rsid w:val="00006863"/>
    <w:rsid w:val="000068BF"/>
    <w:rsid w:val="00006B3B"/>
    <w:rsid w:val="00006C01"/>
    <w:rsid w:val="00006F66"/>
    <w:rsid w:val="00007058"/>
    <w:rsid w:val="000071ED"/>
    <w:rsid w:val="000077C7"/>
    <w:rsid w:val="00007BD0"/>
    <w:rsid w:val="0001042A"/>
    <w:rsid w:val="00010672"/>
    <w:rsid w:val="000109D7"/>
    <w:rsid w:val="00010EC9"/>
    <w:rsid w:val="00011156"/>
    <w:rsid w:val="00011491"/>
    <w:rsid w:val="000119D5"/>
    <w:rsid w:val="00012085"/>
    <w:rsid w:val="000125AC"/>
    <w:rsid w:val="00012C17"/>
    <w:rsid w:val="00012C99"/>
    <w:rsid w:val="00012FF2"/>
    <w:rsid w:val="00013088"/>
    <w:rsid w:val="00013174"/>
    <w:rsid w:val="000138C0"/>
    <w:rsid w:val="00013A12"/>
    <w:rsid w:val="00013AD9"/>
    <w:rsid w:val="00013BFF"/>
    <w:rsid w:val="00014458"/>
    <w:rsid w:val="00014608"/>
    <w:rsid w:val="000147F4"/>
    <w:rsid w:val="00014AB9"/>
    <w:rsid w:val="00014C8E"/>
    <w:rsid w:val="00014F94"/>
    <w:rsid w:val="00015283"/>
    <w:rsid w:val="000156C2"/>
    <w:rsid w:val="00015B14"/>
    <w:rsid w:val="00016040"/>
    <w:rsid w:val="00016C9C"/>
    <w:rsid w:val="00016E58"/>
    <w:rsid w:val="0001743F"/>
    <w:rsid w:val="00020047"/>
    <w:rsid w:val="000206F6"/>
    <w:rsid w:val="00020713"/>
    <w:rsid w:val="00020B7F"/>
    <w:rsid w:val="00020DCF"/>
    <w:rsid w:val="00020E6F"/>
    <w:rsid w:val="0002185E"/>
    <w:rsid w:val="00021ADE"/>
    <w:rsid w:val="00021E77"/>
    <w:rsid w:val="00021FC5"/>
    <w:rsid w:val="00021FCA"/>
    <w:rsid w:val="00022100"/>
    <w:rsid w:val="000221CC"/>
    <w:rsid w:val="00022456"/>
    <w:rsid w:val="00022687"/>
    <w:rsid w:val="00022B0D"/>
    <w:rsid w:val="00023169"/>
    <w:rsid w:val="000232E9"/>
    <w:rsid w:val="000234FE"/>
    <w:rsid w:val="0002395F"/>
    <w:rsid w:val="00023D1F"/>
    <w:rsid w:val="00023E6F"/>
    <w:rsid w:val="0002460F"/>
    <w:rsid w:val="00024CBC"/>
    <w:rsid w:val="00025399"/>
    <w:rsid w:val="00025774"/>
    <w:rsid w:val="000261CC"/>
    <w:rsid w:val="000265B9"/>
    <w:rsid w:val="00026714"/>
    <w:rsid w:val="00026977"/>
    <w:rsid w:val="00026E0C"/>
    <w:rsid w:val="00027033"/>
    <w:rsid w:val="00027085"/>
    <w:rsid w:val="00027B8D"/>
    <w:rsid w:val="00027E09"/>
    <w:rsid w:val="000300B8"/>
    <w:rsid w:val="0003078B"/>
    <w:rsid w:val="00030D76"/>
    <w:rsid w:val="00030DEB"/>
    <w:rsid w:val="00030F90"/>
    <w:rsid w:val="00031334"/>
    <w:rsid w:val="0003137D"/>
    <w:rsid w:val="00031453"/>
    <w:rsid w:val="000317BC"/>
    <w:rsid w:val="000317F9"/>
    <w:rsid w:val="000318DF"/>
    <w:rsid w:val="00031C7B"/>
    <w:rsid w:val="00031D82"/>
    <w:rsid w:val="00031E2E"/>
    <w:rsid w:val="0003213B"/>
    <w:rsid w:val="00032390"/>
    <w:rsid w:val="00032C17"/>
    <w:rsid w:val="00033259"/>
    <w:rsid w:val="00033342"/>
    <w:rsid w:val="0003393C"/>
    <w:rsid w:val="00033A05"/>
    <w:rsid w:val="00033A74"/>
    <w:rsid w:val="00033C19"/>
    <w:rsid w:val="00033D2D"/>
    <w:rsid w:val="00033D3C"/>
    <w:rsid w:val="00033D68"/>
    <w:rsid w:val="000341AB"/>
    <w:rsid w:val="000344B3"/>
    <w:rsid w:val="000346AA"/>
    <w:rsid w:val="000349E8"/>
    <w:rsid w:val="00034CB7"/>
    <w:rsid w:val="00034CC9"/>
    <w:rsid w:val="00034DDC"/>
    <w:rsid w:val="000359DA"/>
    <w:rsid w:val="00035B51"/>
    <w:rsid w:val="00035FDA"/>
    <w:rsid w:val="00036114"/>
    <w:rsid w:val="000364BF"/>
    <w:rsid w:val="00036C2F"/>
    <w:rsid w:val="00037404"/>
    <w:rsid w:val="0003744D"/>
    <w:rsid w:val="00037641"/>
    <w:rsid w:val="00037997"/>
    <w:rsid w:val="00037A15"/>
    <w:rsid w:val="00037AEB"/>
    <w:rsid w:val="00040085"/>
    <w:rsid w:val="00040303"/>
    <w:rsid w:val="0004034D"/>
    <w:rsid w:val="000407D5"/>
    <w:rsid w:val="00040C08"/>
    <w:rsid w:val="000413C4"/>
    <w:rsid w:val="00041831"/>
    <w:rsid w:val="00041BD0"/>
    <w:rsid w:val="00041D18"/>
    <w:rsid w:val="0004258A"/>
    <w:rsid w:val="0004288F"/>
    <w:rsid w:val="00042926"/>
    <w:rsid w:val="00042F33"/>
    <w:rsid w:val="00043801"/>
    <w:rsid w:val="00043BA4"/>
    <w:rsid w:val="00043CDA"/>
    <w:rsid w:val="00044165"/>
    <w:rsid w:val="0004430A"/>
    <w:rsid w:val="0004443C"/>
    <w:rsid w:val="00044627"/>
    <w:rsid w:val="000446E4"/>
    <w:rsid w:val="000448DF"/>
    <w:rsid w:val="00044BCA"/>
    <w:rsid w:val="00044C1B"/>
    <w:rsid w:val="00044F00"/>
    <w:rsid w:val="00044F13"/>
    <w:rsid w:val="000457B5"/>
    <w:rsid w:val="00045BC4"/>
    <w:rsid w:val="00045E54"/>
    <w:rsid w:val="0004608E"/>
    <w:rsid w:val="00046120"/>
    <w:rsid w:val="00046AEE"/>
    <w:rsid w:val="00046B2D"/>
    <w:rsid w:val="00046BDE"/>
    <w:rsid w:val="00046C27"/>
    <w:rsid w:val="000471A5"/>
    <w:rsid w:val="000474BB"/>
    <w:rsid w:val="0004773B"/>
    <w:rsid w:val="0004782C"/>
    <w:rsid w:val="000478E9"/>
    <w:rsid w:val="000504ED"/>
    <w:rsid w:val="00050886"/>
    <w:rsid w:val="00050BDB"/>
    <w:rsid w:val="00050CE5"/>
    <w:rsid w:val="0005114B"/>
    <w:rsid w:val="00051573"/>
    <w:rsid w:val="00051EBF"/>
    <w:rsid w:val="00052140"/>
    <w:rsid w:val="0005238F"/>
    <w:rsid w:val="000523F7"/>
    <w:rsid w:val="000526A4"/>
    <w:rsid w:val="0005276B"/>
    <w:rsid w:val="00052A6C"/>
    <w:rsid w:val="00052C44"/>
    <w:rsid w:val="00052C90"/>
    <w:rsid w:val="000533AE"/>
    <w:rsid w:val="000537E2"/>
    <w:rsid w:val="000539A9"/>
    <w:rsid w:val="00053DE2"/>
    <w:rsid w:val="0005410D"/>
    <w:rsid w:val="00054194"/>
    <w:rsid w:val="0005473A"/>
    <w:rsid w:val="00054A32"/>
    <w:rsid w:val="00054D9E"/>
    <w:rsid w:val="00054DE9"/>
    <w:rsid w:val="00054FD6"/>
    <w:rsid w:val="000550AF"/>
    <w:rsid w:val="000552CC"/>
    <w:rsid w:val="00055323"/>
    <w:rsid w:val="00055787"/>
    <w:rsid w:val="000561C7"/>
    <w:rsid w:val="00056513"/>
    <w:rsid w:val="000568B5"/>
    <w:rsid w:val="00056BAD"/>
    <w:rsid w:val="00056CA7"/>
    <w:rsid w:val="00056F7A"/>
    <w:rsid w:val="0005739A"/>
    <w:rsid w:val="00057892"/>
    <w:rsid w:val="0005796C"/>
    <w:rsid w:val="00060482"/>
    <w:rsid w:val="000604E7"/>
    <w:rsid w:val="0006063A"/>
    <w:rsid w:val="00060679"/>
    <w:rsid w:val="00060680"/>
    <w:rsid w:val="000606BF"/>
    <w:rsid w:val="00060E8F"/>
    <w:rsid w:val="00061A66"/>
    <w:rsid w:val="000622E7"/>
    <w:rsid w:val="00062381"/>
    <w:rsid w:val="000629AB"/>
    <w:rsid w:val="00062AB6"/>
    <w:rsid w:val="0006315F"/>
    <w:rsid w:val="000634B6"/>
    <w:rsid w:val="00063EB2"/>
    <w:rsid w:val="000643D9"/>
    <w:rsid w:val="000645AA"/>
    <w:rsid w:val="00064E7C"/>
    <w:rsid w:val="00065198"/>
    <w:rsid w:val="00065824"/>
    <w:rsid w:val="0006589E"/>
    <w:rsid w:val="0006596C"/>
    <w:rsid w:val="00065A51"/>
    <w:rsid w:val="00065AA7"/>
    <w:rsid w:val="00065E95"/>
    <w:rsid w:val="00065F74"/>
    <w:rsid w:val="0006601F"/>
    <w:rsid w:val="00066649"/>
    <w:rsid w:val="000669CD"/>
    <w:rsid w:val="00066FEB"/>
    <w:rsid w:val="0006717E"/>
    <w:rsid w:val="0006778C"/>
    <w:rsid w:val="00067B95"/>
    <w:rsid w:val="000700B7"/>
    <w:rsid w:val="00070120"/>
    <w:rsid w:val="00070779"/>
    <w:rsid w:val="00070A63"/>
    <w:rsid w:val="00070D5F"/>
    <w:rsid w:val="00070F3E"/>
    <w:rsid w:val="00071152"/>
    <w:rsid w:val="00071858"/>
    <w:rsid w:val="00071D72"/>
    <w:rsid w:val="00071F89"/>
    <w:rsid w:val="00072063"/>
    <w:rsid w:val="000723A4"/>
    <w:rsid w:val="00072489"/>
    <w:rsid w:val="000728CF"/>
    <w:rsid w:val="00072B44"/>
    <w:rsid w:val="000730F3"/>
    <w:rsid w:val="000734F4"/>
    <w:rsid w:val="000735D9"/>
    <w:rsid w:val="00073851"/>
    <w:rsid w:val="00073EFC"/>
    <w:rsid w:val="00074103"/>
    <w:rsid w:val="00074233"/>
    <w:rsid w:val="00074443"/>
    <w:rsid w:val="0007468C"/>
    <w:rsid w:val="0007470C"/>
    <w:rsid w:val="00074BF9"/>
    <w:rsid w:val="00074C6A"/>
    <w:rsid w:val="000754C8"/>
    <w:rsid w:val="000754CF"/>
    <w:rsid w:val="00075A92"/>
    <w:rsid w:val="000760C0"/>
    <w:rsid w:val="000761DC"/>
    <w:rsid w:val="0007631F"/>
    <w:rsid w:val="00076513"/>
    <w:rsid w:val="00076530"/>
    <w:rsid w:val="00076649"/>
    <w:rsid w:val="000770A2"/>
    <w:rsid w:val="000770D6"/>
    <w:rsid w:val="0007726C"/>
    <w:rsid w:val="000773CF"/>
    <w:rsid w:val="00077704"/>
    <w:rsid w:val="00077F5C"/>
    <w:rsid w:val="00080311"/>
    <w:rsid w:val="00080538"/>
    <w:rsid w:val="00080DD2"/>
    <w:rsid w:val="00080F1A"/>
    <w:rsid w:val="000810B7"/>
    <w:rsid w:val="0008111F"/>
    <w:rsid w:val="00081216"/>
    <w:rsid w:val="00081230"/>
    <w:rsid w:val="0008136D"/>
    <w:rsid w:val="00081417"/>
    <w:rsid w:val="000814F6"/>
    <w:rsid w:val="000819DF"/>
    <w:rsid w:val="00081CC8"/>
    <w:rsid w:val="0008206F"/>
    <w:rsid w:val="00082B7C"/>
    <w:rsid w:val="00083039"/>
    <w:rsid w:val="000835E6"/>
    <w:rsid w:val="000840E2"/>
    <w:rsid w:val="0008484C"/>
    <w:rsid w:val="00084CB8"/>
    <w:rsid w:val="00084E72"/>
    <w:rsid w:val="00085149"/>
    <w:rsid w:val="00085179"/>
    <w:rsid w:val="000861D8"/>
    <w:rsid w:val="00086349"/>
    <w:rsid w:val="000864BF"/>
    <w:rsid w:val="00087019"/>
    <w:rsid w:val="00087315"/>
    <w:rsid w:val="00087389"/>
    <w:rsid w:val="00087C26"/>
    <w:rsid w:val="00087D55"/>
    <w:rsid w:val="00087E41"/>
    <w:rsid w:val="0009025C"/>
    <w:rsid w:val="00090297"/>
    <w:rsid w:val="00090A60"/>
    <w:rsid w:val="00090AE2"/>
    <w:rsid w:val="00090B70"/>
    <w:rsid w:val="00090CF9"/>
    <w:rsid w:val="000910B9"/>
    <w:rsid w:val="000913CA"/>
    <w:rsid w:val="000918E1"/>
    <w:rsid w:val="00091980"/>
    <w:rsid w:val="00091A6A"/>
    <w:rsid w:val="00091FD4"/>
    <w:rsid w:val="00092194"/>
    <w:rsid w:val="000923E0"/>
    <w:rsid w:val="000924F7"/>
    <w:rsid w:val="00092DF5"/>
    <w:rsid w:val="00093029"/>
    <w:rsid w:val="00093517"/>
    <w:rsid w:val="000937B3"/>
    <w:rsid w:val="00093C1A"/>
    <w:rsid w:val="00093F7F"/>
    <w:rsid w:val="000943C0"/>
    <w:rsid w:val="00094F50"/>
    <w:rsid w:val="00095120"/>
    <w:rsid w:val="000952F8"/>
    <w:rsid w:val="00095327"/>
    <w:rsid w:val="0009560E"/>
    <w:rsid w:val="000959E8"/>
    <w:rsid w:val="00095F8B"/>
    <w:rsid w:val="00096816"/>
    <w:rsid w:val="000968DE"/>
    <w:rsid w:val="000971B9"/>
    <w:rsid w:val="000975F7"/>
    <w:rsid w:val="00097698"/>
    <w:rsid w:val="00097D37"/>
    <w:rsid w:val="00097DD9"/>
    <w:rsid w:val="000A0129"/>
    <w:rsid w:val="000A0209"/>
    <w:rsid w:val="000A02C6"/>
    <w:rsid w:val="000A02EF"/>
    <w:rsid w:val="000A0CAC"/>
    <w:rsid w:val="000A0EFF"/>
    <w:rsid w:val="000A107E"/>
    <w:rsid w:val="000A1234"/>
    <w:rsid w:val="000A14C5"/>
    <w:rsid w:val="000A17AE"/>
    <w:rsid w:val="000A23C5"/>
    <w:rsid w:val="000A25C5"/>
    <w:rsid w:val="000A2C95"/>
    <w:rsid w:val="000A2E03"/>
    <w:rsid w:val="000A2E55"/>
    <w:rsid w:val="000A3006"/>
    <w:rsid w:val="000A3330"/>
    <w:rsid w:val="000A35D3"/>
    <w:rsid w:val="000A37A0"/>
    <w:rsid w:val="000A3A1C"/>
    <w:rsid w:val="000A3AC5"/>
    <w:rsid w:val="000A4351"/>
    <w:rsid w:val="000A45C8"/>
    <w:rsid w:val="000A4B7D"/>
    <w:rsid w:val="000A4D5A"/>
    <w:rsid w:val="000A51C2"/>
    <w:rsid w:val="000A60E5"/>
    <w:rsid w:val="000A6215"/>
    <w:rsid w:val="000A66C7"/>
    <w:rsid w:val="000A761B"/>
    <w:rsid w:val="000A79F5"/>
    <w:rsid w:val="000A7C3E"/>
    <w:rsid w:val="000B0535"/>
    <w:rsid w:val="000B09FC"/>
    <w:rsid w:val="000B0B47"/>
    <w:rsid w:val="000B0CB0"/>
    <w:rsid w:val="000B0F79"/>
    <w:rsid w:val="000B1C32"/>
    <w:rsid w:val="000B202B"/>
    <w:rsid w:val="000B25D8"/>
    <w:rsid w:val="000B266B"/>
    <w:rsid w:val="000B2C8D"/>
    <w:rsid w:val="000B32F7"/>
    <w:rsid w:val="000B34A0"/>
    <w:rsid w:val="000B3DB1"/>
    <w:rsid w:val="000B3FD3"/>
    <w:rsid w:val="000B430F"/>
    <w:rsid w:val="000B4452"/>
    <w:rsid w:val="000B4470"/>
    <w:rsid w:val="000B4EFA"/>
    <w:rsid w:val="000B53D0"/>
    <w:rsid w:val="000B5B78"/>
    <w:rsid w:val="000B5C0B"/>
    <w:rsid w:val="000B5D6F"/>
    <w:rsid w:val="000B61C5"/>
    <w:rsid w:val="000B641C"/>
    <w:rsid w:val="000B67C0"/>
    <w:rsid w:val="000B6AD0"/>
    <w:rsid w:val="000B71EB"/>
    <w:rsid w:val="000B76FF"/>
    <w:rsid w:val="000B7CF2"/>
    <w:rsid w:val="000B7CF4"/>
    <w:rsid w:val="000B7DFF"/>
    <w:rsid w:val="000C0248"/>
    <w:rsid w:val="000C04E8"/>
    <w:rsid w:val="000C05C9"/>
    <w:rsid w:val="000C0AFD"/>
    <w:rsid w:val="000C10EC"/>
    <w:rsid w:val="000C1266"/>
    <w:rsid w:val="000C1FD6"/>
    <w:rsid w:val="000C30BC"/>
    <w:rsid w:val="000C33C3"/>
    <w:rsid w:val="000C347E"/>
    <w:rsid w:val="000C382A"/>
    <w:rsid w:val="000C3C41"/>
    <w:rsid w:val="000C3DF2"/>
    <w:rsid w:val="000C40FC"/>
    <w:rsid w:val="000C431F"/>
    <w:rsid w:val="000C47B3"/>
    <w:rsid w:val="000C4AAD"/>
    <w:rsid w:val="000C4C21"/>
    <w:rsid w:val="000C574B"/>
    <w:rsid w:val="000C57DF"/>
    <w:rsid w:val="000C59E4"/>
    <w:rsid w:val="000C5B09"/>
    <w:rsid w:val="000C5B45"/>
    <w:rsid w:val="000C5C21"/>
    <w:rsid w:val="000C5D0A"/>
    <w:rsid w:val="000C5D1B"/>
    <w:rsid w:val="000C5F79"/>
    <w:rsid w:val="000C67CC"/>
    <w:rsid w:val="000C69C8"/>
    <w:rsid w:val="000C6C27"/>
    <w:rsid w:val="000C7415"/>
    <w:rsid w:val="000C7426"/>
    <w:rsid w:val="000C7A93"/>
    <w:rsid w:val="000C7C51"/>
    <w:rsid w:val="000D0336"/>
    <w:rsid w:val="000D07E5"/>
    <w:rsid w:val="000D0A03"/>
    <w:rsid w:val="000D0DCD"/>
    <w:rsid w:val="000D16B8"/>
    <w:rsid w:val="000D1772"/>
    <w:rsid w:val="000D21AF"/>
    <w:rsid w:val="000D2867"/>
    <w:rsid w:val="000D2B97"/>
    <w:rsid w:val="000D2F02"/>
    <w:rsid w:val="000D30A7"/>
    <w:rsid w:val="000D37B0"/>
    <w:rsid w:val="000D381E"/>
    <w:rsid w:val="000D3AE7"/>
    <w:rsid w:val="000D432E"/>
    <w:rsid w:val="000D49CD"/>
    <w:rsid w:val="000D4BE1"/>
    <w:rsid w:val="000D4DD5"/>
    <w:rsid w:val="000D502B"/>
    <w:rsid w:val="000D503E"/>
    <w:rsid w:val="000D569F"/>
    <w:rsid w:val="000D5F1B"/>
    <w:rsid w:val="000D645B"/>
    <w:rsid w:val="000D67DC"/>
    <w:rsid w:val="000D7D54"/>
    <w:rsid w:val="000E0032"/>
    <w:rsid w:val="000E0314"/>
    <w:rsid w:val="000E03E0"/>
    <w:rsid w:val="000E0BFB"/>
    <w:rsid w:val="000E0D80"/>
    <w:rsid w:val="000E0EB7"/>
    <w:rsid w:val="000E0FB9"/>
    <w:rsid w:val="000E1109"/>
    <w:rsid w:val="000E155B"/>
    <w:rsid w:val="000E1B45"/>
    <w:rsid w:val="000E1C7B"/>
    <w:rsid w:val="000E1D6E"/>
    <w:rsid w:val="000E1F6A"/>
    <w:rsid w:val="000E2220"/>
    <w:rsid w:val="000E22DF"/>
    <w:rsid w:val="000E2675"/>
    <w:rsid w:val="000E3241"/>
    <w:rsid w:val="000E329D"/>
    <w:rsid w:val="000E330A"/>
    <w:rsid w:val="000E3683"/>
    <w:rsid w:val="000E37CA"/>
    <w:rsid w:val="000E3AA8"/>
    <w:rsid w:val="000E3BC6"/>
    <w:rsid w:val="000E43AB"/>
    <w:rsid w:val="000E4433"/>
    <w:rsid w:val="000E4D33"/>
    <w:rsid w:val="000E4D3A"/>
    <w:rsid w:val="000E4ED4"/>
    <w:rsid w:val="000E50AD"/>
    <w:rsid w:val="000E51EF"/>
    <w:rsid w:val="000E5636"/>
    <w:rsid w:val="000E566A"/>
    <w:rsid w:val="000E5899"/>
    <w:rsid w:val="000E5933"/>
    <w:rsid w:val="000E602D"/>
    <w:rsid w:val="000E66AC"/>
    <w:rsid w:val="000E6720"/>
    <w:rsid w:val="000E693E"/>
    <w:rsid w:val="000E695E"/>
    <w:rsid w:val="000E6AA6"/>
    <w:rsid w:val="000E6BB6"/>
    <w:rsid w:val="000E6C79"/>
    <w:rsid w:val="000E6DE6"/>
    <w:rsid w:val="000E7097"/>
    <w:rsid w:val="000E74CA"/>
    <w:rsid w:val="000E792C"/>
    <w:rsid w:val="000E7C80"/>
    <w:rsid w:val="000E7CBF"/>
    <w:rsid w:val="000E7DA1"/>
    <w:rsid w:val="000E7DD2"/>
    <w:rsid w:val="000F00F9"/>
    <w:rsid w:val="000F03E3"/>
    <w:rsid w:val="000F06B1"/>
    <w:rsid w:val="000F07BB"/>
    <w:rsid w:val="000F0998"/>
    <w:rsid w:val="000F0A81"/>
    <w:rsid w:val="000F105E"/>
    <w:rsid w:val="000F10A7"/>
    <w:rsid w:val="000F1261"/>
    <w:rsid w:val="000F14C3"/>
    <w:rsid w:val="000F14C6"/>
    <w:rsid w:val="000F14D4"/>
    <w:rsid w:val="000F1B86"/>
    <w:rsid w:val="000F2115"/>
    <w:rsid w:val="000F2179"/>
    <w:rsid w:val="000F2813"/>
    <w:rsid w:val="000F3278"/>
    <w:rsid w:val="000F36CC"/>
    <w:rsid w:val="000F376D"/>
    <w:rsid w:val="000F3A45"/>
    <w:rsid w:val="000F3B5F"/>
    <w:rsid w:val="000F3BA5"/>
    <w:rsid w:val="000F3BA7"/>
    <w:rsid w:val="000F3EF1"/>
    <w:rsid w:val="000F4496"/>
    <w:rsid w:val="000F45CE"/>
    <w:rsid w:val="000F480A"/>
    <w:rsid w:val="000F4BB3"/>
    <w:rsid w:val="000F4C2D"/>
    <w:rsid w:val="000F4E80"/>
    <w:rsid w:val="000F4FBC"/>
    <w:rsid w:val="000F5397"/>
    <w:rsid w:val="000F547C"/>
    <w:rsid w:val="000F593D"/>
    <w:rsid w:val="000F5D2A"/>
    <w:rsid w:val="000F5ECE"/>
    <w:rsid w:val="000F621A"/>
    <w:rsid w:val="000F6423"/>
    <w:rsid w:val="000F68C6"/>
    <w:rsid w:val="000F6944"/>
    <w:rsid w:val="000F6A44"/>
    <w:rsid w:val="000F6C48"/>
    <w:rsid w:val="000F6F92"/>
    <w:rsid w:val="000F752B"/>
    <w:rsid w:val="000F7781"/>
    <w:rsid w:val="000F7E4C"/>
    <w:rsid w:val="000F7FC4"/>
    <w:rsid w:val="001003DE"/>
    <w:rsid w:val="0010042D"/>
    <w:rsid w:val="0010057A"/>
    <w:rsid w:val="0010133E"/>
    <w:rsid w:val="00101D68"/>
    <w:rsid w:val="0010261D"/>
    <w:rsid w:val="00102A51"/>
    <w:rsid w:val="00102D39"/>
    <w:rsid w:val="0010341A"/>
    <w:rsid w:val="00103485"/>
    <w:rsid w:val="00103C76"/>
    <w:rsid w:val="00103E5A"/>
    <w:rsid w:val="00103FAD"/>
    <w:rsid w:val="00103FCE"/>
    <w:rsid w:val="00104057"/>
    <w:rsid w:val="00104159"/>
    <w:rsid w:val="00104D21"/>
    <w:rsid w:val="00104E76"/>
    <w:rsid w:val="001052D4"/>
    <w:rsid w:val="0010539C"/>
    <w:rsid w:val="00105632"/>
    <w:rsid w:val="0010566B"/>
    <w:rsid w:val="00105890"/>
    <w:rsid w:val="00105A25"/>
    <w:rsid w:val="00105DCF"/>
    <w:rsid w:val="00105DD3"/>
    <w:rsid w:val="0010640D"/>
    <w:rsid w:val="00106539"/>
    <w:rsid w:val="00106815"/>
    <w:rsid w:val="001068E7"/>
    <w:rsid w:val="00106BDC"/>
    <w:rsid w:val="00106E6B"/>
    <w:rsid w:val="001075FB"/>
    <w:rsid w:val="00107924"/>
    <w:rsid w:val="00107DC8"/>
    <w:rsid w:val="00110FD8"/>
    <w:rsid w:val="001113B5"/>
    <w:rsid w:val="00112117"/>
    <w:rsid w:val="0011220C"/>
    <w:rsid w:val="001123D6"/>
    <w:rsid w:val="0011248C"/>
    <w:rsid w:val="001125A1"/>
    <w:rsid w:val="00112D48"/>
    <w:rsid w:val="001132B5"/>
    <w:rsid w:val="00113FDA"/>
    <w:rsid w:val="0011451D"/>
    <w:rsid w:val="00114781"/>
    <w:rsid w:val="00114869"/>
    <w:rsid w:val="0011509F"/>
    <w:rsid w:val="00115135"/>
    <w:rsid w:val="00115399"/>
    <w:rsid w:val="001156D0"/>
    <w:rsid w:val="00115731"/>
    <w:rsid w:val="0011658F"/>
    <w:rsid w:val="00116CA5"/>
    <w:rsid w:val="001172A6"/>
    <w:rsid w:val="001174B7"/>
    <w:rsid w:val="001176F2"/>
    <w:rsid w:val="001177E6"/>
    <w:rsid w:val="001178CC"/>
    <w:rsid w:val="001179F4"/>
    <w:rsid w:val="00117BBF"/>
    <w:rsid w:val="0012027D"/>
    <w:rsid w:val="00120567"/>
    <w:rsid w:val="00120C4A"/>
    <w:rsid w:val="00120E79"/>
    <w:rsid w:val="00121339"/>
    <w:rsid w:val="001214EC"/>
    <w:rsid w:val="0012154B"/>
    <w:rsid w:val="0012195C"/>
    <w:rsid w:val="00121D1E"/>
    <w:rsid w:val="00121D2D"/>
    <w:rsid w:val="00121D66"/>
    <w:rsid w:val="00121EB0"/>
    <w:rsid w:val="00122311"/>
    <w:rsid w:val="00122998"/>
    <w:rsid w:val="0012310C"/>
    <w:rsid w:val="001238A3"/>
    <w:rsid w:val="00123FB3"/>
    <w:rsid w:val="00124093"/>
    <w:rsid w:val="001240D4"/>
    <w:rsid w:val="001241B9"/>
    <w:rsid w:val="0012450C"/>
    <w:rsid w:val="001248E5"/>
    <w:rsid w:val="00124A9D"/>
    <w:rsid w:val="00124B7C"/>
    <w:rsid w:val="00124D21"/>
    <w:rsid w:val="00125011"/>
    <w:rsid w:val="00125156"/>
    <w:rsid w:val="001254D4"/>
    <w:rsid w:val="001255A5"/>
    <w:rsid w:val="00125606"/>
    <w:rsid w:val="00125621"/>
    <w:rsid w:val="001258AE"/>
    <w:rsid w:val="001259B8"/>
    <w:rsid w:val="00125FF5"/>
    <w:rsid w:val="00126394"/>
    <w:rsid w:val="0012667F"/>
    <w:rsid w:val="001267F5"/>
    <w:rsid w:val="00126A7C"/>
    <w:rsid w:val="00126C3C"/>
    <w:rsid w:val="00126DDD"/>
    <w:rsid w:val="0012761F"/>
    <w:rsid w:val="00127849"/>
    <w:rsid w:val="00127950"/>
    <w:rsid w:val="001279C4"/>
    <w:rsid w:val="00127D81"/>
    <w:rsid w:val="001306D8"/>
    <w:rsid w:val="00130825"/>
    <w:rsid w:val="00130A12"/>
    <w:rsid w:val="0013193D"/>
    <w:rsid w:val="00132109"/>
    <w:rsid w:val="001323D4"/>
    <w:rsid w:val="00132841"/>
    <w:rsid w:val="00132C25"/>
    <w:rsid w:val="00132DA1"/>
    <w:rsid w:val="00132E7F"/>
    <w:rsid w:val="0013374D"/>
    <w:rsid w:val="00133ED6"/>
    <w:rsid w:val="00134488"/>
    <w:rsid w:val="001346F4"/>
    <w:rsid w:val="00134B83"/>
    <w:rsid w:val="00134C67"/>
    <w:rsid w:val="001350EA"/>
    <w:rsid w:val="00135512"/>
    <w:rsid w:val="001367DD"/>
    <w:rsid w:val="00136898"/>
    <w:rsid w:val="001368E3"/>
    <w:rsid w:val="00136BEE"/>
    <w:rsid w:val="00136C20"/>
    <w:rsid w:val="00137504"/>
    <w:rsid w:val="00137696"/>
    <w:rsid w:val="00137A9B"/>
    <w:rsid w:val="00137D76"/>
    <w:rsid w:val="00137F69"/>
    <w:rsid w:val="001406FE"/>
    <w:rsid w:val="00140960"/>
    <w:rsid w:val="001409EC"/>
    <w:rsid w:val="00140B2F"/>
    <w:rsid w:val="00140DDA"/>
    <w:rsid w:val="001414FB"/>
    <w:rsid w:val="00141725"/>
    <w:rsid w:val="001419E6"/>
    <w:rsid w:val="00141F58"/>
    <w:rsid w:val="00142342"/>
    <w:rsid w:val="00142A02"/>
    <w:rsid w:val="00143087"/>
    <w:rsid w:val="001430D1"/>
    <w:rsid w:val="00143169"/>
    <w:rsid w:val="00143242"/>
    <w:rsid w:val="00143717"/>
    <w:rsid w:val="001437C2"/>
    <w:rsid w:val="001440B0"/>
    <w:rsid w:val="00144266"/>
    <w:rsid w:val="00144881"/>
    <w:rsid w:val="00144892"/>
    <w:rsid w:val="00144DA6"/>
    <w:rsid w:val="00144DF2"/>
    <w:rsid w:val="00145253"/>
    <w:rsid w:val="001459A8"/>
    <w:rsid w:val="00145B45"/>
    <w:rsid w:val="001463FD"/>
    <w:rsid w:val="00146976"/>
    <w:rsid w:val="00147033"/>
    <w:rsid w:val="00147242"/>
    <w:rsid w:val="00147529"/>
    <w:rsid w:val="00147604"/>
    <w:rsid w:val="0014764A"/>
    <w:rsid w:val="00147758"/>
    <w:rsid w:val="00147B4B"/>
    <w:rsid w:val="00147D09"/>
    <w:rsid w:val="00147E0E"/>
    <w:rsid w:val="001500FF"/>
    <w:rsid w:val="001505B3"/>
    <w:rsid w:val="00151602"/>
    <w:rsid w:val="00151CB3"/>
    <w:rsid w:val="00151DE3"/>
    <w:rsid w:val="00151E36"/>
    <w:rsid w:val="001521BF"/>
    <w:rsid w:val="00152970"/>
    <w:rsid w:val="001530C9"/>
    <w:rsid w:val="001530E5"/>
    <w:rsid w:val="00153546"/>
    <w:rsid w:val="00154498"/>
    <w:rsid w:val="00154569"/>
    <w:rsid w:val="001545E7"/>
    <w:rsid w:val="00154BD5"/>
    <w:rsid w:val="00154E06"/>
    <w:rsid w:val="00155091"/>
    <w:rsid w:val="001550F0"/>
    <w:rsid w:val="0015554A"/>
    <w:rsid w:val="00155560"/>
    <w:rsid w:val="001555BA"/>
    <w:rsid w:val="001559A1"/>
    <w:rsid w:val="00155BA5"/>
    <w:rsid w:val="00155BF2"/>
    <w:rsid w:val="00155E46"/>
    <w:rsid w:val="001561D8"/>
    <w:rsid w:val="0015666B"/>
    <w:rsid w:val="00156680"/>
    <w:rsid w:val="00156BCF"/>
    <w:rsid w:val="0015723F"/>
    <w:rsid w:val="00157321"/>
    <w:rsid w:val="0015740A"/>
    <w:rsid w:val="0015753E"/>
    <w:rsid w:val="00157A7A"/>
    <w:rsid w:val="00157AF0"/>
    <w:rsid w:val="00157D7C"/>
    <w:rsid w:val="0016009C"/>
    <w:rsid w:val="00160179"/>
    <w:rsid w:val="00160253"/>
    <w:rsid w:val="001603A4"/>
    <w:rsid w:val="001618DA"/>
    <w:rsid w:val="00161BD1"/>
    <w:rsid w:val="00161FB0"/>
    <w:rsid w:val="00162253"/>
    <w:rsid w:val="00162348"/>
    <w:rsid w:val="0016260A"/>
    <w:rsid w:val="00162625"/>
    <w:rsid w:val="0016285F"/>
    <w:rsid w:val="00162CED"/>
    <w:rsid w:val="00162D50"/>
    <w:rsid w:val="00162ED2"/>
    <w:rsid w:val="00162F7E"/>
    <w:rsid w:val="001633F9"/>
    <w:rsid w:val="00163576"/>
    <w:rsid w:val="00163CD6"/>
    <w:rsid w:val="00163CE5"/>
    <w:rsid w:val="00163F65"/>
    <w:rsid w:val="001642CA"/>
    <w:rsid w:val="001645BA"/>
    <w:rsid w:val="00164E76"/>
    <w:rsid w:val="001657B6"/>
    <w:rsid w:val="00165942"/>
    <w:rsid w:val="00165A9B"/>
    <w:rsid w:val="00165F09"/>
    <w:rsid w:val="001663A2"/>
    <w:rsid w:val="00166698"/>
    <w:rsid w:val="001668C9"/>
    <w:rsid w:val="00166D70"/>
    <w:rsid w:val="00167400"/>
    <w:rsid w:val="00167502"/>
    <w:rsid w:val="00167897"/>
    <w:rsid w:val="00167E65"/>
    <w:rsid w:val="001702A2"/>
    <w:rsid w:val="00170B1B"/>
    <w:rsid w:val="00170F08"/>
    <w:rsid w:val="00170F16"/>
    <w:rsid w:val="0017169D"/>
    <w:rsid w:val="001717DD"/>
    <w:rsid w:val="00171828"/>
    <w:rsid w:val="00171D95"/>
    <w:rsid w:val="0017212B"/>
    <w:rsid w:val="001721E1"/>
    <w:rsid w:val="001728D4"/>
    <w:rsid w:val="00172940"/>
    <w:rsid w:val="00172D06"/>
    <w:rsid w:val="00172F2D"/>
    <w:rsid w:val="00173093"/>
    <w:rsid w:val="00173180"/>
    <w:rsid w:val="00173491"/>
    <w:rsid w:val="0017367D"/>
    <w:rsid w:val="00173760"/>
    <w:rsid w:val="0017384D"/>
    <w:rsid w:val="001740EC"/>
    <w:rsid w:val="001744CB"/>
    <w:rsid w:val="00174B61"/>
    <w:rsid w:val="00174C13"/>
    <w:rsid w:val="001756D9"/>
    <w:rsid w:val="00175763"/>
    <w:rsid w:val="001759EF"/>
    <w:rsid w:val="001760E8"/>
    <w:rsid w:val="00176254"/>
    <w:rsid w:val="001773CE"/>
    <w:rsid w:val="00177B0B"/>
    <w:rsid w:val="00180355"/>
    <w:rsid w:val="001804FE"/>
    <w:rsid w:val="00180574"/>
    <w:rsid w:val="00180729"/>
    <w:rsid w:val="001807FA"/>
    <w:rsid w:val="00180AAA"/>
    <w:rsid w:val="00180B88"/>
    <w:rsid w:val="0018100A"/>
    <w:rsid w:val="00181411"/>
    <w:rsid w:val="001817D5"/>
    <w:rsid w:val="001819B5"/>
    <w:rsid w:val="00181D50"/>
    <w:rsid w:val="00181D91"/>
    <w:rsid w:val="00181E03"/>
    <w:rsid w:val="00182126"/>
    <w:rsid w:val="00182416"/>
    <w:rsid w:val="00182848"/>
    <w:rsid w:val="0018289C"/>
    <w:rsid w:val="00182A58"/>
    <w:rsid w:val="00182DC2"/>
    <w:rsid w:val="001832FA"/>
    <w:rsid w:val="001833EF"/>
    <w:rsid w:val="001834B9"/>
    <w:rsid w:val="0018372E"/>
    <w:rsid w:val="0018398E"/>
    <w:rsid w:val="001844E0"/>
    <w:rsid w:val="001847AC"/>
    <w:rsid w:val="001847F0"/>
    <w:rsid w:val="001848CB"/>
    <w:rsid w:val="00184DF4"/>
    <w:rsid w:val="001851E5"/>
    <w:rsid w:val="00185741"/>
    <w:rsid w:val="00185D09"/>
    <w:rsid w:val="00185D0E"/>
    <w:rsid w:val="00185D83"/>
    <w:rsid w:val="00185E72"/>
    <w:rsid w:val="001863A8"/>
    <w:rsid w:val="0018667C"/>
    <w:rsid w:val="00186B39"/>
    <w:rsid w:val="00186CF0"/>
    <w:rsid w:val="00186E27"/>
    <w:rsid w:val="00186FB0"/>
    <w:rsid w:val="0018703F"/>
    <w:rsid w:val="001903E1"/>
    <w:rsid w:val="001904C5"/>
    <w:rsid w:val="00190730"/>
    <w:rsid w:val="001907D6"/>
    <w:rsid w:val="001908E1"/>
    <w:rsid w:val="00190DD9"/>
    <w:rsid w:val="00190E69"/>
    <w:rsid w:val="00191239"/>
    <w:rsid w:val="001920B5"/>
    <w:rsid w:val="0019224E"/>
    <w:rsid w:val="00192DE9"/>
    <w:rsid w:val="001931FB"/>
    <w:rsid w:val="00193BD3"/>
    <w:rsid w:val="00193ED2"/>
    <w:rsid w:val="00193EF4"/>
    <w:rsid w:val="0019409B"/>
    <w:rsid w:val="001941E7"/>
    <w:rsid w:val="001949E2"/>
    <w:rsid w:val="00195B4C"/>
    <w:rsid w:val="00195C53"/>
    <w:rsid w:val="00196317"/>
    <w:rsid w:val="001963AA"/>
    <w:rsid w:val="00196439"/>
    <w:rsid w:val="00197094"/>
    <w:rsid w:val="0019717A"/>
    <w:rsid w:val="00197495"/>
    <w:rsid w:val="00197597"/>
    <w:rsid w:val="00197611"/>
    <w:rsid w:val="00197636"/>
    <w:rsid w:val="001A00C5"/>
    <w:rsid w:val="001A096E"/>
    <w:rsid w:val="001A0AF9"/>
    <w:rsid w:val="001A0C15"/>
    <w:rsid w:val="001A1A90"/>
    <w:rsid w:val="001A1C02"/>
    <w:rsid w:val="001A208F"/>
    <w:rsid w:val="001A210E"/>
    <w:rsid w:val="001A2467"/>
    <w:rsid w:val="001A24CD"/>
    <w:rsid w:val="001A262A"/>
    <w:rsid w:val="001A2641"/>
    <w:rsid w:val="001A2711"/>
    <w:rsid w:val="001A2812"/>
    <w:rsid w:val="001A2A64"/>
    <w:rsid w:val="001A2AE7"/>
    <w:rsid w:val="001A2CFD"/>
    <w:rsid w:val="001A2E65"/>
    <w:rsid w:val="001A31DE"/>
    <w:rsid w:val="001A32E2"/>
    <w:rsid w:val="001A3654"/>
    <w:rsid w:val="001A3734"/>
    <w:rsid w:val="001A38A9"/>
    <w:rsid w:val="001A3993"/>
    <w:rsid w:val="001A3D04"/>
    <w:rsid w:val="001A46A3"/>
    <w:rsid w:val="001A4EB0"/>
    <w:rsid w:val="001A5124"/>
    <w:rsid w:val="001A5347"/>
    <w:rsid w:val="001A5A94"/>
    <w:rsid w:val="001A5B46"/>
    <w:rsid w:val="001A5DAF"/>
    <w:rsid w:val="001A5F2E"/>
    <w:rsid w:val="001A6658"/>
    <w:rsid w:val="001A666F"/>
    <w:rsid w:val="001A6B97"/>
    <w:rsid w:val="001A7079"/>
    <w:rsid w:val="001A767F"/>
    <w:rsid w:val="001A7725"/>
    <w:rsid w:val="001A786D"/>
    <w:rsid w:val="001A79E0"/>
    <w:rsid w:val="001A7C96"/>
    <w:rsid w:val="001B0660"/>
    <w:rsid w:val="001B09B8"/>
    <w:rsid w:val="001B0BE4"/>
    <w:rsid w:val="001B0DE1"/>
    <w:rsid w:val="001B10B5"/>
    <w:rsid w:val="001B157F"/>
    <w:rsid w:val="001B1D8A"/>
    <w:rsid w:val="001B22FA"/>
    <w:rsid w:val="001B2A81"/>
    <w:rsid w:val="001B2D28"/>
    <w:rsid w:val="001B2D85"/>
    <w:rsid w:val="001B30B2"/>
    <w:rsid w:val="001B32DB"/>
    <w:rsid w:val="001B36A0"/>
    <w:rsid w:val="001B3847"/>
    <w:rsid w:val="001B38B3"/>
    <w:rsid w:val="001B3B55"/>
    <w:rsid w:val="001B3CC2"/>
    <w:rsid w:val="001B403F"/>
    <w:rsid w:val="001B40F9"/>
    <w:rsid w:val="001B4454"/>
    <w:rsid w:val="001B4529"/>
    <w:rsid w:val="001B4B71"/>
    <w:rsid w:val="001B4B8A"/>
    <w:rsid w:val="001B5062"/>
    <w:rsid w:val="001B551E"/>
    <w:rsid w:val="001B5D4F"/>
    <w:rsid w:val="001B5F27"/>
    <w:rsid w:val="001B616C"/>
    <w:rsid w:val="001B61AE"/>
    <w:rsid w:val="001B63A5"/>
    <w:rsid w:val="001B64A1"/>
    <w:rsid w:val="001B6B52"/>
    <w:rsid w:val="001C0410"/>
    <w:rsid w:val="001C05A0"/>
    <w:rsid w:val="001C09D1"/>
    <w:rsid w:val="001C0A2B"/>
    <w:rsid w:val="001C0C20"/>
    <w:rsid w:val="001C14B2"/>
    <w:rsid w:val="001C1AD9"/>
    <w:rsid w:val="001C1B4B"/>
    <w:rsid w:val="001C1F71"/>
    <w:rsid w:val="001C1FD6"/>
    <w:rsid w:val="001C226C"/>
    <w:rsid w:val="001C236D"/>
    <w:rsid w:val="001C3A3B"/>
    <w:rsid w:val="001C3FF6"/>
    <w:rsid w:val="001C41B3"/>
    <w:rsid w:val="001C43C3"/>
    <w:rsid w:val="001C449D"/>
    <w:rsid w:val="001C495A"/>
    <w:rsid w:val="001C4A40"/>
    <w:rsid w:val="001C576D"/>
    <w:rsid w:val="001C5B77"/>
    <w:rsid w:val="001C61AF"/>
    <w:rsid w:val="001C6248"/>
    <w:rsid w:val="001C644B"/>
    <w:rsid w:val="001C66BB"/>
    <w:rsid w:val="001C68F7"/>
    <w:rsid w:val="001C6B19"/>
    <w:rsid w:val="001C74EC"/>
    <w:rsid w:val="001C7824"/>
    <w:rsid w:val="001C7B9C"/>
    <w:rsid w:val="001C7E42"/>
    <w:rsid w:val="001D0081"/>
    <w:rsid w:val="001D0858"/>
    <w:rsid w:val="001D0C2E"/>
    <w:rsid w:val="001D0F76"/>
    <w:rsid w:val="001D0FD4"/>
    <w:rsid w:val="001D10B9"/>
    <w:rsid w:val="001D11D3"/>
    <w:rsid w:val="001D17A4"/>
    <w:rsid w:val="001D19CC"/>
    <w:rsid w:val="001D209D"/>
    <w:rsid w:val="001D2341"/>
    <w:rsid w:val="001D3130"/>
    <w:rsid w:val="001D3670"/>
    <w:rsid w:val="001D3D6A"/>
    <w:rsid w:val="001D3FF2"/>
    <w:rsid w:val="001D40C4"/>
    <w:rsid w:val="001D4CA3"/>
    <w:rsid w:val="001D4F4F"/>
    <w:rsid w:val="001D6C65"/>
    <w:rsid w:val="001D6E75"/>
    <w:rsid w:val="001D7300"/>
    <w:rsid w:val="001D750C"/>
    <w:rsid w:val="001D7D5D"/>
    <w:rsid w:val="001D7DCF"/>
    <w:rsid w:val="001D7F11"/>
    <w:rsid w:val="001E032B"/>
    <w:rsid w:val="001E0B77"/>
    <w:rsid w:val="001E0CF3"/>
    <w:rsid w:val="001E0F90"/>
    <w:rsid w:val="001E0F97"/>
    <w:rsid w:val="001E0FB3"/>
    <w:rsid w:val="001E167F"/>
    <w:rsid w:val="001E1B55"/>
    <w:rsid w:val="001E1C57"/>
    <w:rsid w:val="001E22FD"/>
    <w:rsid w:val="001E23D7"/>
    <w:rsid w:val="001E25DC"/>
    <w:rsid w:val="001E26A5"/>
    <w:rsid w:val="001E3374"/>
    <w:rsid w:val="001E3481"/>
    <w:rsid w:val="001E35B4"/>
    <w:rsid w:val="001E3970"/>
    <w:rsid w:val="001E3E62"/>
    <w:rsid w:val="001E44C2"/>
    <w:rsid w:val="001E49DC"/>
    <w:rsid w:val="001E4AA8"/>
    <w:rsid w:val="001E4B6A"/>
    <w:rsid w:val="001E4B8F"/>
    <w:rsid w:val="001E4FF1"/>
    <w:rsid w:val="001E51D1"/>
    <w:rsid w:val="001E5224"/>
    <w:rsid w:val="001E5448"/>
    <w:rsid w:val="001E549F"/>
    <w:rsid w:val="001E54BE"/>
    <w:rsid w:val="001E5FE6"/>
    <w:rsid w:val="001E612D"/>
    <w:rsid w:val="001E69BA"/>
    <w:rsid w:val="001E6AFC"/>
    <w:rsid w:val="001E6C2E"/>
    <w:rsid w:val="001E7802"/>
    <w:rsid w:val="001E7DAF"/>
    <w:rsid w:val="001E7E51"/>
    <w:rsid w:val="001F0057"/>
    <w:rsid w:val="001F01A0"/>
    <w:rsid w:val="001F02E4"/>
    <w:rsid w:val="001F052B"/>
    <w:rsid w:val="001F0554"/>
    <w:rsid w:val="001F058F"/>
    <w:rsid w:val="001F0815"/>
    <w:rsid w:val="001F0AC0"/>
    <w:rsid w:val="001F141B"/>
    <w:rsid w:val="001F151F"/>
    <w:rsid w:val="001F155F"/>
    <w:rsid w:val="001F197F"/>
    <w:rsid w:val="001F1F9A"/>
    <w:rsid w:val="001F240F"/>
    <w:rsid w:val="001F25DD"/>
    <w:rsid w:val="001F2637"/>
    <w:rsid w:val="001F3047"/>
    <w:rsid w:val="001F31B0"/>
    <w:rsid w:val="001F33BF"/>
    <w:rsid w:val="001F344B"/>
    <w:rsid w:val="001F3480"/>
    <w:rsid w:val="001F4090"/>
    <w:rsid w:val="001F449D"/>
    <w:rsid w:val="001F46A7"/>
    <w:rsid w:val="001F47C5"/>
    <w:rsid w:val="001F4B82"/>
    <w:rsid w:val="001F4E9A"/>
    <w:rsid w:val="001F4FD9"/>
    <w:rsid w:val="001F5359"/>
    <w:rsid w:val="001F5390"/>
    <w:rsid w:val="001F56B2"/>
    <w:rsid w:val="001F62BE"/>
    <w:rsid w:val="001F6476"/>
    <w:rsid w:val="001F64C9"/>
    <w:rsid w:val="001F678F"/>
    <w:rsid w:val="001F68BC"/>
    <w:rsid w:val="001F6CD3"/>
    <w:rsid w:val="001F717E"/>
    <w:rsid w:val="001F73BC"/>
    <w:rsid w:val="001F73F4"/>
    <w:rsid w:val="001F74B0"/>
    <w:rsid w:val="001F74E8"/>
    <w:rsid w:val="001F7951"/>
    <w:rsid w:val="001F7F62"/>
    <w:rsid w:val="002000C7"/>
    <w:rsid w:val="002004B5"/>
    <w:rsid w:val="0020069F"/>
    <w:rsid w:val="00200789"/>
    <w:rsid w:val="00200984"/>
    <w:rsid w:val="002009E5"/>
    <w:rsid w:val="00201642"/>
    <w:rsid w:val="00201908"/>
    <w:rsid w:val="00201A93"/>
    <w:rsid w:val="00201B7D"/>
    <w:rsid w:val="00201BE8"/>
    <w:rsid w:val="0020209B"/>
    <w:rsid w:val="00202469"/>
    <w:rsid w:val="00202558"/>
    <w:rsid w:val="002025ED"/>
    <w:rsid w:val="00202B2B"/>
    <w:rsid w:val="00202DE9"/>
    <w:rsid w:val="00203083"/>
    <w:rsid w:val="00204CC6"/>
    <w:rsid w:val="002053C1"/>
    <w:rsid w:val="00205885"/>
    <w:rsid w:val="00205974"/>
    <w:rsid w:val="002059DB"/>
    <w:rsid w:val="00205DE3"/>
    <w:rsid w:val="0020685A"/>
    <w:rsid w:val="00206EA1"/>
    <w:rsid w:val="0020716C"/>
    <w:rsid w:val="0020782F"/>
    <w:rsid w:val="0020786D"/>
    <w:rsid w:val="00207A9C"/>
    <w:rsid w:val="00207DB9"/>
    <w:rsid w:val="00210466"/>
    <w:rsid w:val="00210A4F"/>
    <w:rsid w:val="00210C30"/>
    <w:rsid w:val="00210C5B"/>
    <w:rsid w:val="00211A24"/>
    <w:rsid w:val="00211C22"/>
    <w:rsid w:val="002120B5"/>
    <w:rsid w:val="002125F7"/>
    <w:rsid w:val="00212750"/>
    <w:rsid w:val="00212BEF"/>
    <w:rsid w:val="00212CEB"/>
    <w:rsid w:val="00212E20"/>
    <w:rsid w:val="00213517"/>
    <w:rsid w:val="0021353B"/>
    <w:rsid w:val="00213633"/>
    <w:rsid w:val="0021373C"/>
    <w:rsid w:val="0021398F"/>
    <w:rsid w:val="002139FD"/>
    <w:rsid w:val="00213A90"/>
    <w:rsid w:val="00213B91"/>
    <w:rsid w:val="002143ED"/>
    <w:rsid w:val="002146A2"/>
    <w:rsid w:val="00215200"/>
    <w:rsid w:val="00215212"/>
    <w:rsid w:val="00216069"/>
    <w:rsid w:val="00216651"/>
    <w:rsid w:val="0021682C"/>
    <w:rsid w:val="00216902"/>
    <w:rsid w:val="00216B3D"/>
    <w:rsid w:val="002174C6"/>
    <w:rsid w:val="00217643"/>
    <w:rsid w:val="0021776A"/>
    <w:rsid w:val="0021781B"/>
    <w:rsid w:val="00217AE1"/>
    <w:rsid w:val="00217BA0"/>
    <w:rsid w:val="00217BC0"/>
    <w:rsid w:val="00217F26"/>
    <w:rsid w:val="00220117"/>
    <w:rsid w:val="00220559"/>
    <w:rsid w:val="002209D6"/>
    <w:rsid w:val="00220AFB"/>
    <w:rsid w:val="00220E0D"/>
    <w:rsid w:val="00220F00"/>
    <w:rsid w:val="002214BA"/>
    <w:rsid w:val="0022150B"/>
    <w:rsid w:val="00221D83"/>
    <w:rsid w:val="00221DAD"/>
    <w:rsid w:val="00221EEC"/>
    <w:rsid w:val="00221F1D"/>
    <w:rsid w:val="002224AB"/>
    <w:rsid w:val="002224B8"/>
    <w:rsid w:val="00222677"/>
    <w:rsid w:val="00222907"/>
    <w:rsid w:val="00222C58"/>
    <w:rsid w:val="002236FA"/>
    <w:rsid w:val="00223701"/>
    <w:rsid w:val="00223745"/>
    <w:rsid w:val="00223A4C"/>
    <w:rsid w:val="00224235"/>
    <w:rsid w:val="0022459D"/>
    <w:rsid w:val="00224662"/>
    <w:rsid w:val="00224FE9"/>
    <w:rsid w:val="00225554"/>
    <w:rsid w:val="0022587A"/>
    <w:rsid w:val="00225A73"/>
    <w:rsid w:val="00225C77"/>
    <w:rsid w:val="00226281"/>
    <w:rsid w:val="00226292"/>
    <w:rsid w:val="00226435"/>
    <w:rsid w:val="002268B8"/>
    <w:rsid w:val="00226B44"/>
    <w:rsid w:val="0022714E"/>
    <w:rsid w:val="0022756D"/>
    <w:rsid w:val="00227A42"/>
    <w:rsid w:val="0023055D"/>
    <w:rsid w:val="002305B6"/>
    <w:rsid w:val="00230F47"/>
    <w:rsid w:val="00230F98"/>
    <w:rsid w:val="002316B2"/>
    <w:rsid w:val="00231DE7"/>
    <w:rsid w:val="0023201E"/>
    <w:rsid w:val="00232125"/>
    <w:rsid w:val="00232433"/>
    <w:rsid w:val="00232507"/>
    <w:rsid w:val="00232566"/>
    <w:rsid w:val="00232DF6"/>
    <w:rsid w:val="0023327C"/>
    <w:rsid w:val="00233E21"/>
    <w:rsid w:val="00234ACC"/>
    <w:rsid w:val="00234B68"/>
    <w:rsid w:val="00234C19"/>
    <w:rsid w:val="00234FFB"/>
    <w:rsid w:val="00235259"/>
    <w:rsid w:val="00235459"/>
    <w:rsid w:val="002356B1"/>
    <w:rsid w:val="00236551"/>
    <w:rsid w:val="00236BC0"/>
    <w:rsid w:val="00236C76"/>
    <w:rsid w:val="002372D8"/>
    <w:rsid w:val="002374D7"/>
    <w:rsid w:val="002374FC"/>
    <w:rsid w:val="0023760C"/>
    <w:rsid w:val="00237B8A"/>
    <w:rsid w:val="00240184"/>
    <w:rsid w:val="002408D1"/>
    <w:rsid w:val="00240A37"/>
    <w:rsid w:val="00240E07"/>
    <w:rsid w:val="00240E0C"/>
    <w:rsid w:val="00240F3E"/>
    <w:rsid w:val="002410F3"/>
    <w:rsid w:val="0024124E"/>
    <w:rsid w:val="0024127A"/>
    <w:rsid w:val="00241539"/>
    <w:rsid w:val="00241592"/>
    <w:rsid w:val="00241697"/>
    <w:rsid w:val="00241E2E"/>
    <w:rsid w:val="00241F07"/>
    <w:rsid w:val="00242044"/>
    <w:rsid w:val="002421EB"/>
    <w:rsid w:val="002426BF"/>
    <w:rsid w:val="002427BB"/>
    <w:rsid w:val="00242856"/>
    <w:rsid w:val="002428ED"/>
    <w:rsid w:val="00242EEA"/>
    <w:rsid w:val="00242F12"/>
    <w:rsid w:val="00243175"/>
    <w:rsid w:val="00243A8E"/>
    <w:rsid w:val="00244016"/>
    <w:rsid w:val="00244602"/>
    <w:rsid w:val="00244E28"/>
    <w:rsid w:val="00244F3A"/>
    <w:rsid w:val="00244FA0"/>
    <w:rsid w:val="002461B0"/>
    <w:rsid w:val="002462B5"/>
    <w:rsid w:val="002468B9"/>
    <w:rsid w:val="00246F58"/>
    <w:rsid w:val="00247602"/>
    <w:rsid w:val="00247C2C"/>
    <w:rsid w:val="00247DF8"/>
    <w:rsid w:val="00250000"/>
    <w:rsid w:val="00250A7A"/>
    <w:rsid w:val="00250AB1"/>
    <w:rsid w:val="00250E3C"/>
    <w:rsid w:val="00251194"/>
    <w:rsid w:val="00251EB0"/>
    <w:rsid w:val="00252063"/>
    <w:rsid w:val="002520A3"/>
    <w:rsid w:val="00252245"/>
    <w:rsid w:val="0025268D"/>
    <w:rsid w:val="002527B3"/>
    <w:rsid w:val="00252BA1"/>
    <w:rsid w:val="002530C8"/>
    <w:rsid w:val="00253618"/>
    <w:rsid w:val="00253707"/>
    <w:rsid w:val="0025382B"/>
    <w:rsid w:val="00253898"/>
    <w:rsid w:val="0025390B"/>
    <w:rsid w:val="00253A2D"/>
    <w:rsid w:val="00253C4D"/>
    <w:rsid w:val="0025400C"/>
    <w:rsid w:val="0025420C"/>
    <w:rsid w:val="002545D0"/>
    <w:rsid w:val="002547A7"/>
    <w:rsid w:val="002552C7"/>
    <w:rsid w:val="0025575D"/>
    <w:rsid w:val="002559A5"/>
    <w:rsid w:val="002559B4"/>
    <w:rsid w:val="00255EE9"/>
    <w:rsid w:val="0025641A"/>
    <w:rsid w:val="00256589"/>
    <w:rsid w:val="0025676F"/>
    <w:rsid w:val="00256A04"/>
    <w:rsid w:val="00257085"/>
    <w:rsid w:val="00257167"/>
    <w:rsid w:val="00257330"/>
    <w:rsid w:val="00257522"/>
    <w:rsid w:val="00257ABF"/>
    <w:rsid w:val="00257BE5"/>
    <w:rsid w:val="002600D2"/>
    <w:rsid w:val="0026099B"/>
    <w:rsid w:val="00260A45"/>
    <w:rsid w:val="00260B50"/>
    <w:rsid w:val="00260E7F"/>
    <w:rsid w:val="0026145B"/>
    <w:rsid w:val="0026182A"/>
    <w:rsid w:val="0026186D"/>
    <w:rsid w:val="002618DF"/>
    <w:rsid w:val="00261C09"/>
    <w:rsid w:val="002620BE"/>
    <w:rsid w:val="0026281D"/>
    <w:rsid w:val="00262B01"/>
    <w:rsid w:val="00262E5E"/>
    <w:rsid w:val="0026331C"/>
    <w:rsid w:val="00263422"/>
    <w:rsid w:val="00263A9D"/>
    <w:rsid w:val="00263B3A"/>
    <w:rsid w:val="00263FE7"/>
    <w:rsid w:val="00264215"/>
    <w:rsid w:val="00264277"/>
    <w:rsid w:val="0026532B"/>
    <w:rsid w:val="0026533A"/>
    <w:rsid w:val="0026543C"/>
    <w:rsid w:val="00265513"/>
    <w:rsid w:val="00265815"/>
    <w:rsid w:val="0026599C"/>
    <w:rsid w:val="002662A2"/>
    <w:rsid w:val="0026633C"/>
    <w:rsid w:val="0026648B"/>
    <w:rsid w:val="00266517"/>
    <w:rsid w:val="00266730"/>
    <w:rsid w:val="00267128"/>
    <w:rsid w:val="00267361"/>
    <w:rsid w:val="002678E4"/>
    <w:rsid w:val="00267DE7"/>
    <w:rsid w:val="00267F24"/>
    <w:rsid w:val="00267F41"/>
    <w:rsid w:val="00270132"/>
    <w:rsid w:val="002701D1"/>
    <w:rsid w:val="002704E7"/>
    <w:rsid w:val="00270D26"/>
    <w:rsid w:val="00270DC3"/>
    <w:rsid w:val="00270F04"/>
    <w:rsid w:val="002712F3"/>
    <w:rsid w:val="00271502"/>
    <w:rsid w:val="002715F0"/>
    <w:rsid w:val="00271C02"/>
    <w:rsid w:val="00271CF2"/>
    <w:rsid w:val="00271DBF"/>
    <w:rsid w:val="00272183"/>
    <w:rsid w:val="0027277E"/>
    <w:rsid w:val="00272937"/>
    <w:rsid w:val="00272A5E"/>
    <w:rsid w:val="00272C73"/>
    <w:rsid w:val="00272E91"/>
    <w:rsid w:val="00273005"/>
    <w:rsid w:val="0027300D"/>
    <w:rsid w:val="00273314"/>
    <w:rsid w:val="00273430"/>
    <w:rsid w:val="0027369E"/>
    <w:rsid w:val="00274209"/>
    <w:rsid w:val="002742F1"/>
    <w:rsid w:val="00274313"/>
    <w:rsid w:val="002749FB"/>
    <w:rsid w:val="00274B89"/>
    <w:rsid w:val="00274E3C"/>
    <w:rsid w:val="00274F2B"/>
    <w:rsid w:val="00275065"/>
    <w:rsid w:val="002750F2"/>
    <w:rsid w:val="00275B89"/>
    <w:rsid w:val="00276B89"/>
    <w:rsid w:val="00276D77"/>
    <w:rsid w:val="0027721D"/>
    <w:rsid w:val="00277824"/>
    <w:rsid w:val="00277DC8"/>
    <w:rsid w:val="00277ECC"/>
    <w:rsid w:val="00280042"/>
    <w:rsid w:val="002802A9"/>
    <w:rsid w:val="00280659"/>
    <w:rsid w:val="0028139B"/>
    <w:rsid w:val="00281C9C"/>
    <w:rsid w:val="00282067"/>
    <w:rsid w:val="00282130"/>
    <w:rsid w:val="00282177"/>
    <w:rsid w:val="002821BE"/>
    <w:rsid w:val="00282502"/>
    <w:rsid w:val="00282800"/>
    <w:rsid w:val="00282941"/>
    <w:rsid w:val="00284592"/>
    <w:rsid w:val="0028461B"/>
    <w:rsid w:val="00284889"/>
    <w:rsid w:val="00284D28"/>
    <w:rsid w:val="0028512B"/>
    <w:rsid w:val="00285BAC"/>
    <w:rsid w:val="00285D1A"/>
    <w:rsid w:val="00285F60"/>
    <w:rsid w:val="002864DA"/>
    <w:rsid w:val="00286B83"/>
    <w:rsid w:val="00286D70"/>
    <w:rsid w:val="002873DC"/>
    <w:rsid w:val="00287449"/>
    <w:rsid w:val="00287573"/>
    <w:rsid w:val="00287B80"/>
    <w:rsid w:val="00287F41"/>
    <w:rsid w:val="00290146"/>
    <w:rsid w:val="00290517"/>
    <w:rsid w:val="002908E9"/>
    <w:rsid w:val="00290B48"/>
    <w:rsid w:val="00291095"/>
    <w:rsid w:val="002910BD"/>
    <w:rsid w:val="0029137E"/>
    <w:rsid w:val="002914DE"/>
    <w:rsid w:val="0029193E"/>
    <w:rsid w:val="00291BBE"/>
    <w:rsid w:val="00291E13"/>
    <w:rsid w:val="0029201B"/>
    <w:rsid w:val="0029216A"/>
    <w:rsid w:val="002929E2"/>
    <w:rsid w:val="00292A9C"/>
    <w:rsid w:val="00292E9C"/>
    <w:rsid w:val="00292FDF"/>
    <w:rsid w:val="002938BD"/>
    <w:rsid w:val="00293C10"/>
    <w:rsid w:val="00294032"/>
    <w:rsid w:val="00294126"/>
    <w:rsid w:val="002945DC"/>
    <w:rsid w:val="00294947"/>
    <w:rsid w:val="00294A44"/>
    <w:rsid w:val="00294A6C"/>
    <w:rsid w:val="00294D87"/>
    <w:rsid w:val="002952BA"/>
    <w:rsid w:val="0029539A"/>
    <w:rsid w:val="002959B8"/>
    <w:rsid w:val="00295B76"/>
    <w:rsid w:val="00295D2C"/>
    <w:rsid w:val="00295D85"/>
    <w:rsid w:val="00296819"/>
    <w:rsid w:val="0029725A"/>
    <w:rsid w:val="00297530"/>
    <w:rsid w:val="002978F8"/>
    <w:rsid w:val="00297B4B"/>
    <w:rsid w:val="002A009D"/>
    <w:rsid w:val="002A043D"/>
    <w:rsid w:val="002A05B5"/>
    <w:rsid w:val="002A0831"/>
    <w:rsid w:val="002A094A"/>
    <w:rsid w:val="002A0A6C"/>
    <w:rsid w:val="002A2133"/>
    <w:rsid w:val="002A254E"/>
    <w:rsid w:val="002A28D5"/>
    <w:rsid w:val="002A2BF6"/>
    <w:rsid w:val="002A2FCD"/>
    <w:rsid w:val="002A3337"/>
    <w:rsid w:val="002A414F"/>
    <w:rsid w:val="002A42D4"/>
    <w:rsid w:val="002A431F"/>
    <w:rsid w:val="002A447C"/>
    <w:rsid w:val="002A482E"/>
    <w:rsid w:val="002A4B25"/>
    <w:rsid w:val="002A4C6F"/>
    <w:rsid w:val="002A4D46"/>
    <w:rsid w:val="002A4F73"/>
    <w:rsid w:val="002A4FC2"/>
    <w:rsid w:val="002A4FF0"/>
    <w:rsid w:val="002A5005"/>
    <w:rsid w:val="002A56B9"/>
    <w:rsid w:val="002A58A9"/>
    <w:rsid w:val="002A5DD1"/>
    <w:rsid w:val="002A60B3"/>
    <w:rsid w:val="002A6143"/>
    <w:rsid w:val="002A6209"/>
    <w:rsid w:val="002A67F5"/>
    <w:rsid w:val="002A68AA"/>
    <w:rsid w:val="002A6CB7"/>
    <w:rsid w:val="002A79FF"/>
    <w:rsid w:val="002A7FB8"/>
    <w:rsid w:val="002B01C2"/>
    <w:rsid w:val="002B0726"/>
    <w:rsid w:val="002B078D"/>
    <w:rsid w:val="002B088B"/>
    <w:rsid w:val="002B08ED"/>
    <w:rsid w:val="002B0937"/>
    <w:rsid w:val="002B1626"/>
    <w:rsid w:val="002B17E5"/>
    <w:rsid w:val="002B18CF"/>
    <w:rsid w:val="002B1A71"/>
    <w:rsid w:val="002B1C75"/>
    <w:rsid w:val="002B2071"/>
    <w:rsid w:val="002B26AC"/>
    <w:rsid w:val="002B26D8"/>
    <w:rsid w:val="002B2E28"/>
    <w:rsid w:val="002B2E9B"/>
    <w:rsid w:val="002B30CD"/>
    <w:rsid w:val="002B310B"/>
    <w:rsid w:val="002B3284"/>
    <w:rsid w:val="002B34E6"/>
    <w:rsid w:val="002B3E94"/>
    <w:rsid w:val="002B3EBF"/>
    <w:rsid w:val="002B3FF3"/>
    <w:rsid w:val="002B42FC"/>
    <w:rsid w:val="002B46B6"/>
    <w:rsid w:val="002B48A6"/>
    <w:rsid w:val="002B5199"/>
    <w:rsid w:val="002B5358"/>
    <w:rsid w:val="002B53D5"/>
    <w:rsid w:val="002B5AF4"/>
    <w:rsid w:val="002B5FB2"/>
    <w:rsid w:val="002B6637"/>
    <w:rsid w:val="002B6725"/>
    <w:rsid w:val="002B69AA"/>
    <w:rsid w:val="002B6BB5"/>
    <w:rsid w:val="002B6BD1"/>
    <w:rsid w:val="002B7140"/>
    <w:rsid w:val="002B72A6"/>
    <w:rsid w:val="002B731A"/>
    <w:rsid w:val="002B7495"/>
    <w:rsid w:val="002B7600"/>
    <w:rsid w:val="002B7721"/>
    <w:rsid w:val="002B78B6"/>
    <w:rsid w:val="002B7A7E"/>
    <w:rsid w:val="002B7D6B"/>
    <w:rsid w:val="002B7DBE"/>
    <w:rsid w:val="002C020D"/>
    <w:rsid w:val="002C0288"/>
    <w:rsid w:val="002C0ADD"/>
    <w:rsid w:val="002C1177"/>
    <w:rsid w:val="002C1526"/>
    <w:rsid w:val="002C1592"/>
    <w:rsid w:val="002C1697"/>
    <w:rsid w:val="002C169D"/>
    <w:rsid w:val="002C1874"/>
    <w:rsid w:val="002C18B3"/>
    <w:rsid w:val="002C18DA"/>
    <w:rsid w:val="002C1B97"/>
    <w:rsid w:val="002C26CF"/>
    <w:rsid w:val="002C2876"/>
    <w:rsid w:val="002C29DB"/>
    <w:rsid w:val="002C36EF"/>
    <w:rsid w:val="002C3A51"/>
    <w:rsid w:val="002C408D"/>
    <w:rsid w:val="002C4729"/>
    <w:rsid w:val="002C4A8A"/>
    <w:rsid w:val="002C4B2A"/>
    <w:rsid w:val="002C5038"/>
    <w:rsid w:val="002C56F9"/>
    <w:rsid w:val="002C5CD5"/>
    <w:rsid w:val="002C5E09"/>
    <w:rsid w:val="002C5F40"/>
    <w:rsid w:val="002C6749"/>
    <w:rsid w:val="002C7040"/>
    <w:rsid w:val="002C7078"/>
    <w:rsid w:val="002C721A"/>
    <w:rsid w:val="002C75DE"/>
    <w:rsid w:val="002C7AC8"/>
    <w:rsid w:val="002C7B3B"/>
    <w:rsid w:val="002C7C60"/>
    <w:rsid w:val="002C7E9A"/>
    <w:rsid w:val="002D01E7"/>
    <w:rsid w:val="002D0337"/>
    <w:rsid w:val="002D03C6"/>
    <w:rsid w:val="002D042F"/>
    <w:rsid w:val="002D0B4C"/>
    <w:rsid w:val="002D0C07"/>
    <w:rsid w:val="002D1012"/>
    <w:rsid w:val="002D1185"/>
    <w:rsid w:val="002D1709"/>
    <w:rsid w:val="002D180D"/>
    <w:rsid w:val="002D18EA"/>
    <w:rsid w:val="002D2375"/>
    <w:rsid w:val="002D24D5"/>
    <w:rsid w:val="002D2823"/>
    <w:rsid w:val="002D2BAC"/>
    <w:rsid w:val="002D2CC0"/>
    <w:rsid w:val="002D2D9D"/>
    <w:rsid w:val="002D4402"/>
    <w:rsid w:val="002D4A60"/>
    <w:rsid w:val="002D4E61"/>
    <w:rsid w:val="002D5207"/>
    <w:rsid w:val="002D531F"/>
    <w:rsid w:val="002D541F"/>
    <w:rsid w:val="002D6187"/>
    <w:rsid w:val="002D666E"/>
    <w:rsid w:val="002D7583"/>
    <w:rsid w:val="002D7796"/>
    <w:rsid w:val="002D7815"/>
    <w:rsid w:val="002D7B68"/>
    <w:rsid w:val="002D7BCB"/>
    <w:rsid w:val="002E0088"/>
    <w:rsid w:val="002E03CF"/>
    <w:rsid w:val="002E04A3"/>
    <w:rsid w:val="002E0500"/>
    <w:rsid w:val="002E05B3"/>
    <w:rsid w:val="002E12A5"/>
    <w:rsid w:val="002E159F"/>
    <w:rsid w:val="002E1699"/>
    <w:rsid w:val="002E1BA5"/>
    <w:rsid w:val="002E1C49"/>
    <w:rsid w:val="002E1C7A"/>
    <w:rsid w:val="002E24BE"/>
    <w:rsid w:val="002E261F"/>
    <w:rsid w:val="002E32B2"/>
    <w:rsid w:val="002E34F6"/>
    <w:rsid w:val="002E35F8"/>
    <w:rsid w:val="002E38A5"/>
    <w:rsid w:val="002E4587"/>
    <w:rsid w:val="002E4648"/>
    <w:rsid w:val="002E46EB"/>
    <w:rsid w:val="002E4AA6"/>
    <w:rsid w:val="002E501D"/>
    <w:rsid w:val="002E5203"/>
    <w:rsid w:val="002E554A"/>
    <w:rsid w:val="002E55DD"/>
    <w:rsid w:val="002E560A"/>
    <w:rsid w:val="002E570E"/>
    <w:rsid w:val="002E5D72"/>
    <w:rsid w:val="002E62C3"/>
    <w:rsid w:val="002E669A"/>
    <w:rsid w:val="002E6A9E"/>
    <w:rsid w:val="002E7046"/>
    <w:rsid w:val="002E707A"/>
    <w:rsid w:val="002F01C0"/>
    <w:rsid w:val="002F1560"/>
    <w:rsid w:val="002F16C7"/>
    <w:rsid w:val="002F1ABE"/>
    <w:rsid w:val="002F1F0F"/>
    <w:rsid w:val="002F2502"/>
    <w:rsid w:val="002F2556"/>
    <w:rsid w:val="002F25D1"/>
    <w:rsid w:val="002F2F2E"/>
    <w:rsid w:val="002F2FAB"/>
    <w:rsid w:val="002F3169"/>
    <w:rsid w:val="002F321F"/>
    <w:rsid w:val="002F3483"/>
    <w:rsid w:val="002F34AA"/>
    <w:rsid w:val="002F35FE"/>
    <w:rsid w:val="002F3897"/>
    <w:rsid w:val="002F3946"/>
    <w:rsid w:val="002F4045"/>
    <w:rsid w:val="002F421C"/>
    <w:rsid w:val="002F4384"/>
    <w:rsid w:val="002F4662"/>
    <w:rsid w:val="002F532B"/>
    <w:rsid w:val="002F5458"/>
    <w:rsid w:val="002F5C9B"/>
    <w:rsid w:val="002F5D64"/>
    <w:rsid w:val="002F65D9"/>
    <w:rsid w:val="002F6E24"/>
    <w:rsid w:val="002F73FE"/>
    <w:rsid w:val="002F75B6"/>
    <w:rsid w:val="002F7839"/>
    <w:rsid w:val="002F7C45"/>
    <w:rsid w:val="0030015E"/>
    <w:rsid w:val="003004E6"/>
    <w:rsid w:val="00300D1C"/>
    <w:rsid w:val="00301624"/>
    <w:rsid w:val="0030180A"/>
    <w:rsid w:val="00301851"/>
    <w:rsid w:val="0030198A"/>
    <w:rsid w:val="00301EA3"/>
    <w:rsid w:val="003022D1"/>
    <w:rsid w:val="00302318"/>
    <w:rsid w:val="003024F1"/>
    <w:rsid w:val="00302ADC"/>
    <w:rsid w:val="00303155"/>
    <w:rsid w:val="00303364"/>
    <w:rsid w:val="0030381D"/>
    <w:rsid w:val="00303BD0"/>
    <w:rsid w:val="00303C17"/>
    <w:rsid w:val="0030452F"/>
    <w:rsid w:val="003049FA"/>
    <w:rsid w:val="00304A8F"/>
    <w:rsid w:val="00304ADD"/>
    <w:rsid w:val="00304B68"/>
    <w:rsid w:val="00304C3E"/>
    <w:rsid w:val="00304EF1"/>
    <w:rsid w:val="0030528C"/>
    <w:rsid w:val="003055DB"/>
    <w:rsid w:val="003056F3"/>
    <w:rsid w:val="0030578B"/>
    <w:rsid w:val="003066A5"/>
    <w:rsid w:val="00306B43"/>
    <w:rsid w:val="00306F64"/>
    <w:rsid w:val="003072F6"/>
    <w:rsid w:val="00307402"/>
    <w:rsid w:val="00307E4B"/>
    <w:rsid w:val="0031026D"/>
    <w:rsid w:val="0031044C"/>
    <w:rsid w:val="00310945"/>
    <w:rsid w:val="0031095C"/>
    <w:rsid w:val="00310C83"/>
    <w:rsid w:val="00310DFA"/>
    <w:rsid w:val="003111A9"/>
    <w:rsid w:val="00311566"/>
    <w:rsid w:val="00311A91"/>
    <w:rsid w:val="00311D38"/>
    <w:rsid w:val="003122FE"/>
    <w:rsid w:val="00312A17"/>
    <w:rsid w:val="00312A5D"/>
    <w:rsid w:val="00312DC6"/>
    <w:rsid w:val="003130EE"/>
    <w:rsid w:val="00313306"/>
    <w:rsid w:val="00313324"/>
    <w:rsid w:val="003134CC"/>
    <w:rsid w:val="003146E2"/>
    <w:rsid w:val="0031499B"/>
    <w:rsid w:val="00315200"/>
    <w:rsid w:val="003152E6"/>
    <w:rsid w:val="00315B25"/>
    <w:rsid w:val="003160EE"/>
    <w:rsid w:val="0031622A"/>
    <w:rsid w:val="003163E5"/>
    <w:rsid w:val="0031695E"/>
    <w:rsid w:val="003169D4"/>
    <w:rsid w:val="00316CF3"/>
    <w:rsid w:val="003170E4"/>
    <w:rsid w:val="00317387"/>
    <w:rsid w:val="0031747B"/>
    <w:rsid w:val="00317708"/>
    <w:rsid w:val="00317918"/>
    <w:rsid w:val="00317C77"/>
    <w:rsid w:val="00317EDE"/>
    <w:rsid w:val="003204FB"/>
    <w:rsid w:val="0032067A"/>
    <w:rsid w:val="00320771"/>
    <w:rsid w:val="00320919"/>
    <w:rsid w:val="00320B71"/>
    <w:rsid w:val="00321260"/>
    <w:rsid w:val="00321A64"/>
    <w:rsid w:val="00321E6A"/>
    <w:rsid w:val="00321E6E"/>
    <w:rsid w:val="0032210D"/>
    <w:rsid w:val="00322163"/>
    <w:rsid w:val="00322474"/>
    <w:rsid w:val="0032264B"/>
    <w:rsid w:val="00322B58"/>
    <w:rsid w:val="00322BF0"/>
    <w:rsid w:val="00323224"/>
    <w:rsid w:val="00323C03"/>
    <w:rsid w:val="0032411D"/>
    <w:rsid w:val="003248EF"/>
    <w:rsid w:val="00324C0C"/>
    <w:rsid w:val="003254BC"/>
    <w:rsid w:val="003255F5"/>
    <w:rsid w:val="00325BF5"/>
    <w:rsid w:val="00325F22"/>
    <w:rsid w:val="003261A1"/>
    <w:rsid w:val="00326CDE"/>
    <w:rsid w:val="00326DF5"/>
    <w:rsid w:val="00327804"/>
    <w:rsid w:val="00327C39"/>
    <w:rsid w:val="0033015D"/>
    <w:rsid w:val="003303A6"/>
    <w:rsid w:val="003305F3"/>
    <w:rsid w:val="003307BC"/>
    <w:rsid w:val="003307C5"/>
    <w:rsid w:val="0033091A"/>
    <w:rsid w:val="00330AA1"/>
    <w:rsid w:val="00330B19"/>
    <w:rsid w:val="00330D2D"/>
    <w:rsid w:val="00331159"/>
    <w:rsid w:val="00331D37"/>
    <w:rsid w:val="00331E8F"/>
    <w:rsid w:val="00332A96"/>
    <w:rsid w:val="00332AA3"/>
    <w:rsid w:val="00332AE1"/>
    <w:rsid w:val="00332C10"/>
    <w:rsid w:val="00332C39"/>
    <w:rsid w:val="00332F21"/>
    <w:rsid w:val="00332FD3"/>
    <w:rsid w:val="00333F06"/>
    <w:rsid w:val="003344AC"/>
    <w:rsid w:val="00334E78"/>
    <w:rsid w:val="00335128"/>
    <w:rsid w:val="00335273"/>
    <w:rsid w:val="003353D8"/>
    <w:rsid w:val="00335566"/>
    <w:rsid w:val="00335B8C"/>
    <w:rsid w:val="00335E11"/>
    <w:rsid w:val="003363CA"/>
    <w:rsid w:val="00336822"/>
    <w:rsid w:val="00336BEA"/>
    <w:rsid w:val="00336E31"/>
    <w:rsid w:val="00336FF8"/>
    <w:rsid w:val="003375B0"/>
    <w:rsid w:val="003375B9"/>
    <w:rsid w:val="003379E0"/>
    <w:rsid w:val="00337F91"/>
    <w:rsid w:val="00337FBB"/>
    <w:rsid w:val="00340045"/>
    <w:rsid w:val="00340291"/>
    <w:rsid w:val="003409A1"/>
    <w:rsid w:val="00340B57"/>
    <w:rsid w:val="00340F94"/>
    <w:rsid w:val="003410A8"/>
    <w:rsid w:val="0034180B"/>
    <w:rsid w:val="00341E1C"/>
    <w:rsid w:val="00342365"/>
    <w:rsid w:val="003424E1"/>
    <w:rsid w:val="00342F25"/>
    <w:rsid w:val="00343147"/>
    <w:rsid w:val="003431EE"/>
    <w:rsid w:val="003437E5"/>
    <w:rsid w:val="003438D6"/>
    <w:rsid w:val="003445C3"/>
    <w:rsid w:val="0034489E"/>
    <w:rsid w:val="003448A0"/>
    <w:rsid w:val="0034492B"/>
    <w:rsid w:val="00344CBB"/>
    <w:rsid w:val="00344E56"/>
    <w:rsid w:val="00345676"/>
    <w:rsid w:val="00345954"/>
    <w:rsid w:val="00345B78"/>
    <w:rsid w:val="00345C19"/>
    <w:rsid w:val="00345CAF"/>
    <w:rsid w:val="00345CB5"/>
    <w:rsid w:val="00345DD4"/>
    <w:rsid w:val="003464B5"/>
    <w:rsid w:val="003465BA"/>
    <w:rsid w:val="00346779"/>
    <w:rsid w:val="00346C2F"/>
    <w:rsid w:val="00346CD5"/>
    <w:rsid w:val="00346DB7"/>
    <w:rsid w:val="00346F79"/>
    <w:rsid w:val="00346F7D"/>
    <w:rsid w:val="00347018"/>
    <w:rsid w:val="00347DB1"/>
    <w:rsid w:val="0035035B"/>
    <w:rsid w:val="003509E5"/>
    <w:rsid w:val="003510FB"/>
    <w:rsid w:val="003516AA"/>
    <w:rsid w:val="0035187F"/>
    <w:rsid w:val="00351935"/>
    <w:rsid w:val="00351970"/>
    <w:rsid w:val="00351BD6"/>
    <w:rsid w:val="003520CA"/>
    <w:rsid w:val="0035230C"/>
    <w:rsid w:val="00352523"/>
    <w:rsid w:val="003525D9"/>
    <w:rsid w:val="00352BDA"/>
    <w:rsid w:val="00353071"/>
    <w:rsid w:val="003531AA"/>
    <w:rsid w:val="00353542"/>
    <w:rsid w:val="003536BB"/>
    <w:rsid w:val="003536D4"/>
    <w:rsid w:val="003537BD"/>
    <w:rsid w:val="003539C5"/>
    <w:rsid w:val="00353AC0"/>
    <w:rsid w:val="00353B5A"/>
    <w:rsid w:val="003547D3"/>
    <w:rsid w:val="00354A9E"/>
    <w:rsid w:val="00354CD5"/>
    <w:rsid w:val="003550B1"/>
    <w:rsid w:val="00355753"/>
    <w:rsid w:val="003559CA"/>
    <w:rsid w:val="00355C45"/>
    <w:rsid w:val="00355EF2"/>
    <w:rsid w:val="00356010"/>
    <w:rsid w:val="003562A6"/>
    <w:rsid w:val="003570FA"/>
    <w:rsid w:val="003572CA"/>
    <w:rsid w:val="003574DC"/>
    <w:rsid w:val="003577E0"/>
    <w:rsid w:val="00357915"/>
    <w:rsid w:val="0036007D"/>
    <w:rsid w:val="00360422"/>
    <w:rsid w:val="00360995"/>
    <w:rsid w:val="00361345"/>
    <w:rsid w:val="00361718"/>
    <w:rsid w:val="003622F2"/>
    <w:rsid w:val="0036279F"/>
    <w:rsid w:val="003632E0"/>
    <w:rsid w:val="003639D6"/>
    <w:rsid w:val="003639F0"/>
    <w:rsid w:val="00364734"/>
    <w:rsid w:val="00364D8E"/>
    <w:rsid w:val="00364E33"/>
    <w:rsid w:val="0036518A"/>
    <w:rsid w:val="00365335"/>
    <w:rsid w:val="0036570B"/>
    <w:rsid w:val="00365752"/>
    <w:rsid w:val="0036583C"/>
    <w:rsid w:val="00365B2C"/>
    <w:rsid w:val="00365E32"/>
    <w:rsid w:val="00365F16"/>
    <w:rsid w:val="003664BB"/>
    <w:rsid w:val="003665CB"/>
    <w:rsid w:val="003666D3"/>
    <w:rsid w:val="00366833"/>
    <w:rsid w:val="00367006"/>
    <w:rsid w:val="0036719C"/>
    <w:rsid w:val="0036777F"/>
    <w:rsid w:val="003677DE"/>
    <w:rsid w:val="003678C1"/>
    <w:rsid w:val="0036794A"/>
    <w:rsid w:val="00367EE5"/>
    <w:rsid w:val="003702A2"/>
    <w:rsid w:val="00370C48"/>
    <w:rsid w:val="00371182"/>
    <w:rsid w:val="003716BE"/>
    <w:rsid w:val="00371834"/>
    <w:rsid w:val="00371E6A"/>
    <w:rsid w:val="00372217"/>
    <w:rsid w:val="00372302"/>
    <w:rsid w:val="00372886"/>
    <w:rsid w:val="00372D95"/>
    <w:rsid w:val="00372FA8"/>
    <w:rsid w:val="00372FF1"/>
    <w:rsid w:val="003735B7"/>
    <w:rsid w:val="003739DE"/>
    <w:rsid w:val="00373C86"/>
    <w:rsid w:val="00373E56"/>
    <w:rsid w:val="00374041"/>
    <w:rsid w:val="0037475F"/>
    <w:rsid w:val="00375646"/>
    <w:rsid w:val="003757EC"/>
    <w:rsid w:val="00375A4F"/>
    <w:rsid w:val="00375B34"/>
    <w:rsid w:val="00375E3F"/>
    <w:rsid w:val="003760FF"/>
    <w:rsid w:val="00376203"/>
    <w:rsid w:val="00376255"/>
    <w:rsid w:val="00376788"/>
    <w:rsid w:val="00376A7D"/>
    <w:rsid w:val="00376C53"/>
    <w:rsid w:val="00376D36"/>
    <w:rsid w:val="00376E50"/>
    <w:rsid w:val="00377045"/>
    <w:rsid w:val="003773F9"/>
    <w:rsid w:val="00377708"/>
    <w:rsid w:val="0037791F"/>
    <w:rsid w:val="00377934"/>
    <w:rsid w:val="00377B17"/>
    <w:rsid w:val="00377CEE"/>
    <w:rsid w:val="00377F1B"/>
    <w:rsid w:val="003801C7"/>
    <w:rsid w:val="003803A5"/>
    <w:rsid w:val="0038053F"/>
    <w:rsid w:val="0038068E"/>
    <w:rsid w:val="0038093C"/>
    <w:rsid w:val="0038098D"/>
    <w:rsid w:val="0038109A"/>
    <w:rsid w:val="003814F5"/>
    <w:rsid w:val="00381719"/>
    <w:rsid w:val="00381760"/>
    <w:rsid w:val="0038176E"/>
    <w:rsid w:val="003817A7"/>
    <w:rsid w:val="00381C1A"/>
    <w:rsid w:val="00381F34"/>
    <w:rsid w:val="00382193"/>
    <w:rsid w:val="00382355"/>
    <w:rsid w:val="00382473"/>
    <w:rsid w:val="0038260D"/>
    <w:rsid w:val="003828F1"/>
    <w:rsid w:val="00382F1B"/>
    <w:rsid w:val="003830FB"/>
    <w:rsid w:val="003831E8"/>
    <w:rsid w:val="00383F78"/>
    <w:rsid w:val="00384060"/>
    <w:rsid w:val="003840E9"/>
    <w:rsid w:val="00384C21"/>
    <w:rsid w:val="00384DD9"/>
    <w:rsid w:val="00384FC0"/>
    <w:rsid w:val="0038502C"/>
    <w:rsid w:val="003850DC"/>
    <w:rsid w:val="00386651"/>
    <w:rsid w:val="00386E10"/>
    <w:rsid w:val="003871E2"/>
    <w:rsid w:val="00387496"/>
    <w:rsid w:val="00387E98"/>
    <w:rsid w:val="003907B0"/>
    <w:rsid w:val="00390866"/>
    <w:rsid w:val="00390B05"/>
    <w:rsid w:val="00390B7E"/>
    <w:rsid w:val="00390E01"/>
    <w:rsid w:val="00390F42"/>
    <w:rsid w:val="00391C05"/>
    <w:rsid w:val="00391F32"/>
    <w:rsid w:val="00392367"/>
    <w:rsid w:val="00392595"/>
    <w:rsid w:val="003925E2"/>
    <w:rsid w:val="00392C3A"/>
    <w:rsid w:val="00392DAD"/>
    <w:rsid w:val="00392F37"/>
    <w:rsid w:val="00393E7C"/>
    <w:rsid w:val="00393FBA"/>
    <w:rsid w:val="00394079"/>
    <w:rsid w:val="003943C8"/>
    <w:rsid w:val="003943FD"/>
    <w:rsid w:val="00394A23"/>
    <w:rsid w:val="00394D4C"/>
    <w:rsid w:val="00394EE4"/>
    <w:rsid w:val="003954A4"/>
    <w:rsid w:val="003954FA"/>
    <w:rsid w:val="003956CC"/>
    <w:rsid w:val="00396099"/>
    <w:rsid w:val="003960EA"/>
    <w:rsid w:val="0039643E"/>
    <w:rsid w:val="0039678E"/>
    <w:rsid w:val="0039782F"/>
    <w:rsid w:val="003A037B"/>
    <w:rsid w:val="003A0D23"/>
    <w:rsid w:val="003A137B"/>
    <w:rsid w:val="003A1476"/>
    <w:rsid w:val="003A14F2"/>
    <w:rsid w:val="003A179E"/>
    <w:rsid w:val="003A1DC8"/>
    <w:rsid w:val="003A23E0"/>
    <w:rsid w:val="003A24DF"/>
    <w:rsid w:val="003A298D"/>
    <w:rsid w:val="003A32C1"/>
    <w:rsid w:val="003A34BD"/>
    <w:rsid w:val="003A35D2"/>
    <w:rsid w:val="003A43B1"/>
    <w:rsid w:val="003A4588"/>
    <w:rsid w:val="003A4D48"/>
    <w:rsid w:val="003A4E1C"/>
    <w:rsid w:val="003A5261"/>
    <w:rsid w:val="003A588B"/>
    <w:rsid w:val="003A5C67"/>
    <w:rsid w:val="003A5D6A"/>
    <w:rsid w:val="003A5EC5"/>
    <w:rsid w:val="003A6656"/>
    <w:rsid w:val="003A6689"/>
    <w:rsid w:val="003A6965"/>
    <w:rsid w:val="003A6C6A"/>
    <w:rsid w:val="003A748E"/>
    <w:rsid w:val="003A7885"/>
    <w:rsid w:val="003A7B31"/>
    <w:rsid w:val="003A7CEC"/>
    <w:rsid w:val="003A7D7C"/>
    <w:rsid w:val="003B04B8"/>
    <w:rsid w:val="003B0512"/>
    <w:rsid w:val="003B06F1"/>
    <w:rsid w:val="003B0ADC"/>
    <w:rsid w:val="003B0C14"/>
    <w:rsid w:val="003B0D78"/>
    <w:rsid w:val="003B1F01"/>
    <w:rsid w:val="003B2552"/>
    <w:rsid w:val="003B2736"/>
    <w:rsid w:val="003B2E71"/>
    <w:rsid w:val="003B3335"/>
    <w:rsid w:val="003B41A5"/>
    <w:rsid w:val="003B456F"/>
    <w:rsid w:val="003B4647"/>
    <w:rsid w:val="003B570F"/>
    <w:rsid w:val="003B5713"/>
    <w:rsid w:val="003B5A2D"/>
    <w:rsid w:val="003B5CDA"/>
    <w:rsid w:val="003B5EEF"/>
    <w:rsid w:val="003B6486"/>
    <w:rsid w:val="003B64D6"/>
    <w:rsid w:val="003B65DD"/>
    <w:rsid w:val="003B6F0E"/>
    <w:rsid w:val="003B72BB"/>
    <w:rsid w:val="003B736B"/>
    <w:rsid w:val="003B7467"/>
    <w:rsid w:val="003B7625"/>
    <w:rsid w:val="003B7D7F"/>
    <w:rsid w:val="003C0742"/>
    <w:rsid w:val="003C0B1C"/>
    <w:rsid w:val="003C0F37"/>
    <w:rsid w:val="003C1551"/>
    <w:rsid w:val="003C15B9"/>
    <w:rsid w:val="003C1CE9"/>
    <w:rsid w:val="003C1F8C"/>
    <w:rsid w:val="003C278C"/>
    <w:rsid w:val="003C304F"/>
    <w:rsid w:val="003C3085"/>
    <w:rsid w:val="003C3643"/>
    <w:rsid w:val="003C3E6A"/>
    <w:rsid w:val="003C3EAC"/>
    <w:rsid w:val="003C41D6"/>
    <w:rsid w:val="003C424F"/>
    <w:rsid w:val="003C4657"/>
    <w:rsid w:val="003C4989"/>
    <w:rsid w:val="003C4FFB"/>
    <w:rsid w:val="003C58D7"/>
    <w:rsid w:val="003C5CCE"/>
    <w:rsid w:val="003C6173"/>
    <w:rsid w:val="003C6D67"/>
    <w:rsid w:val="003C6DEA"/>
    <w:rsid w:val="003C6F01"/>
    <w:rsid w:val="003C7210"/>
    <w:rsid w:val="003C759A"/>
    <w:rsid w:val="003C75BF"/>
    <w:rsid w:val="003C7887"/>
    <w:rsid w:val="003C7EE1"/>
    <w:rsid w:val="003D04F6"/>
    <w:rsid w:val="003D0830"/>
    <w:rsid w:val="003D095E"/>
    <w:rsid w:val="003D0DF2"/>
    <w:rsid w:val="003D132C"/>
    <w:rsid w:val="003D1572"/>
    <w:rsid w:val="003D16A4"/>
    <w:rsid w:val="003D1769"/>
    <w:rsid w:val="003D1DC2"/>
    <w:rsid w:val="003D21AF"/>
    <w:rsid w:val="003D235F"/>
    <w:rsid w:val="003D285E"/>
    <w:rsid w:val="003D37B0"/>
    <w:rsid w:val="003D3821"/>
    <w:rsid w:val="003D39B7"/>
    <w:rsid w:val="003D3A55"/>
    <w:rsid w:val="003D4EB0"/>
    <w:rsid w:val="003D5005"/>
    <w:rsid w:val="003D560B"/>
    <w:rsid w:val="003D5AB1"/>
    <w:rsid w:val="003D5D63"/>
    <w:rsid w:val="003D642E"/>
    <w:rsid w:val="003D644B"/>
    <w:rsid w:val="003D6732"/>
    <w:rsid w:val="003D79DC"/>
    <w:rsid w:val="003D7E43"/>
    <w:rsid w:val="003D7EA8"/>
    <w:rsid w:val="003D7F0E"/>
    <w:rsid w:val="003D7F3E"/>
    <w:rsid w:val="003D7FFA"/>
    <w:rsid w:val="003E05CB"/>
    <w:rsid w:val="003E0858"/>
    <w:rsid w:val="003E0F26"/>
    <w:rsid w:val="003E148F"/>
    <w:rsid w:val="003E1A6B"/>
    <w:rsid w:val="003E26CF"/>
    <w:rsid w:val="003E26ED"/>
    <w:rsid w:val="003E2B26"/>
    <w:rsid w:val="003E2E6B"/>
    <w:rsid w:val="003E30AD"/>
    <w:rsid w:val="003E3617"/>
    <w:rsid w:val="003E37B2"/>
    <w:rsid w:val="003E3841"/>
    <w:rsid w:val="003E39DE"/>
    <w:rsid w:val="003E3C5C"/>
    <w:rsid w:val="003E3FEF"/>
    <w:rsid w:val="003E41A4"/>
    <w:rsid w:val="003E439A"/>
    <w:rsid w:val="003E47D2"/>
    <w:rsid w:val="003E47FC"/>
    <w:rsid w:val="003E4860"/>
    <w:rsid w:val="003E4933"/>
    <w:rsid w:val="003E4A7C"/>
    <w:rsid w:val="003E4D08"/>
    <w:rsid w:val="003E4D57"/>
    <w:rsid w:val="003E5440"/>
    <w:rsid w:val="003E568A"/>
    <w:rsid w:val="003E5F5A"/>
    <w:rsid w:val="003E60BC"/>
    <w:rsid w:val="003E6298"/>
    <w:rsid w:val="003E6906"/>
    <w:rsid w:val="003E6D82"/>
    <w:rsid w:val="003F0811"/>
    <w:rsid w:val="003F08D3"/>
    <w:rsid w:val="003F08E8"/>
    <w:rsid w:val="003F09F3"/>
    <w:rsid w:val="003F0AF7"/>
    <w:rsid w:val="003F0C90"/>
    <w:rsid w:val="003F0FF2"/>
    <w:rsid w:val="003F0FF4"/>
    <w:rsid w:val="003F129D"/>
    <w:rsid w:val="003F1B69"/>
    <w:rsid w:val="003F20FA"/>
    <w:rsid w:val="003F22D7"/>
    <w:rsid w:val="003F2516"/>
    <w:rsid w:val="003F2725"/>
    <w:rsid w:val="003F2937"/>
    <w:rsid w:val="003F2D13"/>
    <w:rsid w:val="003F359B"/>
    <w:rsid w:val="003F4319"/>
    <w:rsid w:val="003F45F2"/>
    <w:rsid w:val="003F4664"/>
    <w:rsid w:val="003F4AD0"/>
    <w:rsid w:val="003F5035"/>
    <w:rsid w:val="003F5673"/>
    <w:rsid w:val="003F5B6F"/>
    <w:rsid w:val="003F6658"/>
    <w:rsid w:val="003F6B1B"/>
    <w:rsid w:val="003F6DDB"/>
    <w:rsid w:val="003F6F54"/>
    <w:rsid w:val="003F78C3"/>
    <w:rsid w:val="003F7B37"/>
    <w:rsid w:val="003F7CFC"/>
    <w:rsid w:val="004002B1"/>
    <w:rsid w:val="00400731"/>
    <w:rsid w:val="00400799"/>
    <w:rsid w:val="00401614"/>
    <w:rsid w:val="004016BE"/>
    <w:rsid w:val="00401BE3"/>
    <w:rsid w:val="00401C3D"/>
    <w:rsid w:val="00401CD8"/>
    <w:rsid w:val="00401D29"/>
    <w:rsid w:val="00401D56"/>
    <w:rsid w:val="00401E3B"/>
    <w:rsid w:val="00401EEE"/>
    <w:rsid w:val="00401FAB"/>
    <w:rsid w:val="004029C5"/>
    <w:rsid w:val="00402BBF"/>
    <w:rsid w:val="0040320E"/>
    <w:rsid w:val="004035AE"/>
    <w:rsid w:val="00403B9A"/>
    <w:rsid w:val="00403C33"/>
    <w:rsid w:val="00403DE1"/>
    <w:rsid w:val="00403F56"/>
    <w:rsid w:val="004048A7"/>
    <w:rsid w:val="00404927"/>
    <w:rsid w:val="00404AB9"/>
    <w:rsid w:val="00404F59"/>
    <w:rsid w:val="0040525C"/>
    <w:rsid w:val="00405270"/>
    <w:rsid w:val="0040576B"/>
    <w:rsid w:val="00405C0A"/>
    <w:rsid w:val="00405E64"/>
    <w:rsid w:val="004061F9"/>
    <w:rsid w:val="004066FC"/>
    <w:rsid w:val="0040679D"/>
    <w:rsid w:val="00406B79"/>
    <w:rsid w:val="00407079"/>
    <w:rsid w:val="004071D7"/>
    <w:rsid w:val="00407204"/>
    <w:rsid w:val="0040721C"/>
    <w:rsid w:val="004072E4"/>
    <w:rsid w:val="00407551"/>
    <w:rsid w:val="0040768B"/>
    <w:rsid w:val="004079C3"/>
    <w:rsid w:val="00407B0F"/>
    <w:rsid w:val="00407B52"/>
    <w:rsid w:val="00407BDF"/>
    <w:rsid w:val="0041028C"/>
    <w:rsid w:val="00410307"/>
    <w:rsid w:val="0041163C"/>
    <w:rsid w:val="004117C3"/>
    <w:rsid w:val="004119B4"/>
    <w:rsid w:val="00411F1B"/>
    <w:rsid w:val="00412110"/>
    <w:rsid w:val="004123DC"/>
    <w:rsid w:val="00412AF0"/>
    <w:rsid w:val="0041325F"/>
    <w:rsid w:val="00413495"/>
    <w:rsid w:val="00413B28"/>
    <w:rsid w:val="00413BE0"/>
    <w:rsid w:val="0041417B"/>
    <w:rsid w:val="00414645"/>
    <w:rsid w:val="004149E7"/>
    <w:rsid w:val="00414C67"/>
    <w:rsid w:val="00414E7A"/>
    <w:rsid w:val="00415174"/>
    <w:rsid w:val="00415182"/>
    <w:rsid w:val="004153FD"/>
    <w:rsid w:val="00415458"/>
    <w:rsid w:val="0041570D"/>
    <w:rsid w:val="00415889"/>
    <w:rsid w:val="00415A1C"/>
    <w:rsid w:val="00415C38"/>
    <w:rsid w:val="004164DD"/>
    <w:rsid w:val="0041657F"/>
    <w:rsid w:val="0041662F"/>
    <w:rsid w:val="00416AE8"/>
    <w:rsid w:val="00417245"/>
    <w:rsid w:val="00417A9B"/>
    <w:rsid w:val="00420465"/>
    <w:rsid w:val="004204D7"/>
    <w:rsid w:val="00420754"/>
    <w:rsid w:val="004208A3"/>
    <w:rsid w:val="00420946"/>
    <w:rsid w:val="00420AA6"/>
    <w:rsid w:val="00420F18"/>
    <w:rsid w:val="0042140A"/>
    <w:rsid w:val="004215E6"/>
    <w:rsid w:val="00421716"/>
    <w:rsid w:val="0042190E"/>
    <w:rsid w:val="00421A9F"/>
    <w:rsid w:val="00421C36"/>
    <w:rsid w:val="00421D36"/>
    <w:rsid w:val="00421ED6"/>
    <w:rsid w:val="00421FDF"/>
    <w:rsid w:val="00422269"/>
    <w:rsid w:val="004229D5"/>
    <w:rsid w:val="00422A38"/>
    <w:rsid w:val="00422B92"/>
    <w:rsid w:val="00422CE2"/>
    <w:rsid w:val="00423669"/>
    <w:rsid w:val="00423701"/>
    <w:rsid w:val="0042371C"/>
    <w:rsid w:val="0042374E"/>
    <w:rsid w:val="00423845"/>
    <w:rsid w:val="00423B1E"/>
    <w:rsid w:val="0042420D"/>
    <w:rsid w:val="004244FF"/>
    <w:rsid w:val="004247D7"/>
    <w:rsid w:val="00424FC2"/>
    <w:rsid w:val="00425705"/>
    <w:rsid w:val="004257B4"/>
    <w:rsid w:val="00426054"/>
    <w:rsid w:val="00426693"/>
    <w:rsid w:val="004271AE"/>
    <w:rsid w:val="0042729E"/>
    <w:rsid w:val="00427370"/>
    <w:rsid w:val="00427799"/>
    <w:rsid w:val="00427A74"/>
    <w:rsid w:val="00427EF3"/>
    <w:rsid w:val="00427F95"/>
    <w:rsid w:val="00430224"/>
    <w:rsid w:val="004302BC"/>
    <w:rsid w:val="0043060F"/>
    <w:rsid w:val="00430AB7"/>
    <w:rsid w:val="004310C2"/>
    <w:rsid w:val="00431136"/>
    <w:rsid w:val="0043206B"/>
    <w:rsid w:val="00432463"/>
    <w:rsid w:val="00432A3A"/>
    <w:rsid w:val="00432AFC"/>
    <w:rsid w:val="00432B79"/>
    <w:rsid w:val="004335BA"/>
    <w:rsid w:val="00435274"/>
    <w:rsid w:val="00435570"/>
    <w:rsid w:val="004359B3"/>
    <w:rsid w:val="00435D19"/>
    <w:rsid w:val="00435EB5"/>
    <w:rsid w:val="00435F18"/>
    <w:rsid w:val="004361C7"/>
    <w:rsid w:val="0043628C"/>
    <w:rsid w:val="004368FD"/>
    <w:rsid w:val="00436BB2"/>
    <w:rsid w:val="00436D37"/>
    <w:rsid w:val="00436EB4"/>
    <w:rsid w:val="00437070"/>
    <w:rsid w:val="0043744F"/>
    <w:rsid w:val="004374E8"/>
    <w:rsid w:val="0043753C"/>
    <w:rsid w:val="00437A6E"/>
    <w:rsid w:val="00437C7D"/>
    <w:rsid w:val="00437CE5"/>
    <w:rsid w:val="00437EED"/>
    <w:rsid w:val="0044060E"/>
    <w:rsid w:val="00440A54"/>
    <w:rsid w:val="00440B16"/>
    <w:rsid w:val="00440EA5"/>
    <w:rsid w:val="0044113D"/>
    <w:rsid w:val="00441535"/>
    <w:rsid w:val="00441B42"/>
    <w:rsid w:val="00441E17"/>
    <w:rsid w:val="00442129"/>
    <w:rsid w:val="00442956"/>
    <w:rsid w:val="00442D67"/>
    <w:rsid w:val="00442ED1"/>
    <w:rsid w:val="00442EDC"/>
    <w:rsid w:val="00442F0E"/>
    <w:rsid w:val="004430B4"/>
    <w:rsid w:val="00443A2D"/>
    <w:rsid w:val="00443D9D"/>
    <w:rsid w:val="00443EF7"/>
    <w:rsid w:val="00443F45"/>
    <w:rsid w:val="0044410A"/>
    <w:rsid w:val="004441D9"/>
    <w:rsid w:val="004442CB"/>
    <w:rsid w:val="00444919"/>
    <w:rsid w:val="00444ADE"/>
    <w:rsid w:val="00444C30"/>
    <w:rsid w:val="00444EF4"/>
    <w:rsid w:val="0044545A"/>
    <w:rsid w:val="00445793"/>
    <w:rsid w:val="00445875"/>
    <w:rsid w:val="00446BC6"/>
    <w:rsid w:val="00446CB8"/>
    <w:rsid w:val="004474B4"/>
    <w:rsid w:val="004504A1"/>
    <w:rsid w:val="00450624"/>
    <w:rsid w:val="004506E7"/>
    <w:rsid w:val="004509F0"/>
    <w:rsid w:val="004509FF"/>
    <w:rsid w:val="00450BDF"/>
    <w:rsid w:val="00450C97"/>
    <w:rsid w:val="0045126A"/>
    <w:rsid w:val="00451994"/>
    <w:rsid w:val="00451BDE"/>
    <w:rsid w:val="00451C40"/>
    <w:rsid w:val="00451C5A"/>
    <w:rsid w:val="0045216E"/>
    <w:rsid w:val="0045217B"/>
    <w:rsid w:val="004521D1"/>
    <w:rsid w:val="0045287B"/>
    <w:rsid w:val="004530A8"/>
    <w:rsid w:val="00453172"/>
    <w:rsid w:val="004533CA"/>
    <w:rsid w:val="00453AB5"/>
    <w:rsid w:val="00453F2E"/>
    <w:rsid w:val="00454158"/>
    <w:rsid w:val="00454FEB"/>
    <w:rsid w:val="004554DD"/>
    <w:rsid w:val="00455ACD"/>
    <w:rsid w:val="00455C11"/>
    <w:rsid w:val="00455F1A"/>
    <w:rsid w:val="004565CF"/>
    <w:rsid w:val="004567F1"/>
    <w:rsid w:val="0045691F"/>
    <w:rsid w:val="00456A0C"/>
    <w:rsid w:val="00456E39"/>
    <w:rsid w:val="004576CB"/>
    <w:rsid w:val="004576DA"/>
    <w:rsid w:val="004576F5"/>
    <w:rsid w:val="00457EA9"/>
    <w:rsid w:val="00457FC2"/>
    <w:rsid w:val="00460AE5"/>
    <w:rsid w:val="004617ED"/>
    <w:rsid w:val="00461A73"/>
    <w:rsid w:val="00461AEC"/>
    <w:rsid w:val="00461BB5"/>
    <w:rsid w:val="0046215A"/>
    <w:rsid w:val="0046218A"/>
    <w:rsid w:val="0046251F"/>
    <w:rsid w:val="00462793"/>
    <w:rsid w:val="004629C2"/>
    <w:rsid w:val="004629FB"/>
    <w:rsid w:val="00462CCF"/>
    <w:rsid w:val="00462D69"/>
    <w:rsid w:val="00462F04"/>
    <w:rsid w:val="004634EA"/>
    <w:rsid w:val="0046357C"/>
    <w:rsid w:val="00463B6E"/>
    <w:rsid w:val="00463E25"/>
    <w:rsid w:val="0046477E"/>
    <w:rsid w:val="00464AC3"/>
    <w:rsid w:val="00464FD5"/>
    <w:rsid w:val="00465174"/>
    <w:rsid w:val="0046573D"/>
    <w:rsid w:val="00465E70"/>
    <w:rsid w:val="00465E88"/>
    <w:rsid w:val="00466129"/>
    <w:rsid w:val="00466B4B"/>
    <w:rsid w:val="00466E20"/>
    <w:rsid w:val="00466F1B"/>
    <w:rsid w:val="00467059"/>
    <w:rsid w:val="0046712E"/>
    <w:rsid w:val="00467201"/>
    <w:rsid w:val="0046726B"/>
    <w:rsid w:val="00467621"/>
    <w:rsid w:val="00467AE8"/>
    <w:rsid w:val="00467C4F"/>
    <w:rsid w:val="00467E08"/>
    <w:rsid w:val="00467F21"/>
    <w:rsid w:val="00470066"/>
    <w:rsid w:val="0047012C"/>
    <w:rsid w:val="0047012D"/>
    <w:rsid w:val="0047032F"/>
    <w:rsid w:val="004708C3"/>
    <w:rsid w:val="00471146"/>
    <w:rsid w:val="0047127B"/>
    <w:rsid w:val="004715F6"/>
    <w:rsid w:val="00471603"/>
    <w:rsid w:val="004718E8"/>
    <w:rsid w:val="0047191C"/>
    <w:rsid w:val="00471CAC"/>
    <w:rsid w:val="00471F27"/>
    <w:rsid w:val="00472543"/>
    <w:rsid w:val="00472783"/>
    <w:rsid w:val="00472924"/>
    <w:rsid w:val="00472BA8"/>
    <w:rsid w:val="00473B7E"/>
    <w:rsid w:val="00473E1F"/>
    <w:rsid w:val="004741A0"/>
    <w:rsid w:val="00474B48"/>
    <w:rsid w:val="00474B6E"/>
    <w:rsid w:val="004752D0"/>
    <w:rsid w:val="004754EE"/>
    <w:rsid w:val="0047568E"/>
    <w:rsid w:val="00475E3C"/>
    <w:rsid w:val="004763E6"/>
    <w:rsid w:val="00476680"/>
    <w:rsid w:val="00476AA4"/>
    <w:rsid w:val="00476AC0"/>
    <w:rsid w:val="00476D0D"/>
    <w:rsid w:val="0047756B"/>
    <w:rsid w:val="0047785F"/>
    <w:rsid w:val="00477894"/>
    <w:rsid w:val="004779B2"/>
    <w:rsid w:val="00477A93"/>
    <w:rsid w:val="00477C36"/>
    <w:rsid w:val="00477C5D"/>
    <w:rsid w:val="00477CCF"/>
    <w:rsid w:val="00477D6E"/>
    <w:rsid w:val="00477DC9"/>
    <w:rsid w:val="00480087"/>
    <w:rsid w:val="00480359"/>
    <w:rsid w:val="0048052F"/>
    <w:rsid w:val="00480BFA"/>
    <w:rsid w:val="00480EE4"/>
    <w:rsid w:val="00480FA8"/>
    <w:rsid w:val="004810CD"/>
    <w:rsid w:val="00481BBF"/>
    <w:rsid w:val="00481E51"/>
    <w:rsid w:val="00482382"/>
    <w:rsid w:val="004824BB"/>
    <w:rsid w:val="00482539"/>
    <w:rsid w:val="00482E98"/>
    <w:rsid w:val="00483958"/>
    <w:rsid w:val="0048414D"/>
    <w:rsid w:val="004841D4"/>
    <w:rsid w:val="00484232"/>
    <w:rsid w:val="004842DA"/>
    <w:rsid w:val="0048447B"/>
    <w:rsid w:val="004846B3"/>
    <w:rsid w:val="00484EB7"/>
    <w:rsid w:val="00485322"/>
    <w:rsid w:val="00485477"/>
    <w:rsid w:val="004855DE"/>
    <w:rsid w:val="00485BA6"/>
    <w:rsid w:val="00485BF4"/>
    <w:rsid w:val="00485C87"/>
    <w:rsid w:val="00485D0B"/>
    <w:rsid w:val="00485EE2"/>
    <w:rsid w:val="00486384"/>
    <w:rsid w:val="00486553"/>
    <w:rsid w:val="00486D58"/>
    <w:rsid w:val="00486E06"/>
    <w:rsid w:val="00487150"/>
    <w:rsid w:val="004874A3"/>
    <w:rsid w:val="004874D8"/>
    <w:rsid w:val="00487A65"/>
    <w:rsid w:val="00487D43"/>
    <w:rsid w:val="00490349"/>
    <w:rsid w:val="00490421"/>
    <w:rsid w:val="0049057B"/>
    <w:rsid w:val="00490A55"/>
    <w:rsid w:val="00490D00"/>
    <w:rsid w:val="00490D5F"/>
    <w:rsid w:val="00490D64"/>
    <w:rsid w:val="00490F9A"/>
    <w:rsid w:val="0049118E"/>
    <w:rsid w:val="004913BE"/>
    <w:rsid w:val="004916C9"/>
    <w:rsid w:val="00491924"/>
    <w:rsid w:val="00491EAB"/>
    <w:rsid w:val="00491EEB"/>
    <w:rsid w:val="00491F89"/>
    <w:rsid w:val="004920CC"/>
    <w:rsid w:val="004923F7"/>
    <w:rsid w:val="004924BC"/>
    <w:rsid w:val="004924BD"/>
    <w:rsid w:val="00492A3F"/>
    <w:rsid w:val="0049363D"/>
    <w:rsid w:val="004938BA"/>
    <w:rsid w:val="00493C9E"/>
    <w:rsid w:val="00493F3B"/>
    <w:rsid w:val="00493FA0"/>
    <w:rsid w:val="0049482E"/>
    <w:rsid w:val="004948B3"/>
    <w:rsid w:val="00494A20"/>
    <w:rsid w:val="00495066"/>
    <w:rsid w:val="0049531E"/>
    <w:rsid w:val="00495418"/>
    <w:rsid w:val="00495FD9"/>
    <w:rsid w:val="004965B3"/>
    <w:rsid w:val="004966C1"/>
    <w:rsid w:val="00496DB7"/>
    <w:rsid w:val="00497669"/>
    <w:rsid w:val="004978EE"/>
    <w:rsid w:val="00497920"/>
    <w:rsid w:val="004A018C"/>
    <w:rsid w:val="004A04DB"/>
    <w:rsid w:val="004A07AC"/>
    <w:rsid w:val="004A0E96"/>
    <w:rsid w:val="004A12D4"/>
    <w:rsid w:val="004A1C1F"/>
    <w:rsid w:val="004A1D3F"/>
    <w:rsid w:val="004A22F4"/>
    <w:rsid w:val="004A273E"/>
    <w:rsid w:val="004A2E68"/>
    <w:rsid w:val="004A2E69"/>
    <w:rsid w:val="004A30A1"/>
    <w:rsid w:val="004A33AC"/>
    <w:rsid w:val="004A3615"/>
    <w:rsid w:val="004A3689"/>
    <w:rsid w:val="004A49D1"/>
    <w:rsid w:val="004A5017"/>
    <w:rsid w:val="004A5124"/>
    <w:rsid w:val="004A515B"/>
    <w:rsid w:val="004A517F"/>
    <w:rsid w:val="004A5482"/>
    <w:rsid w:val="004A574C"/>
    <w:rsid w:val="004A5E10"/>
    <w:rsid w:val="004A5EE7"/>
    <w:rsid w:val="004A5EE8"/>
    <w:rsid w:val="004A6706"/>
    <w:rsid w:val="004A6A71"/>
    <w:rsid w:val="004A6B29"/>
    <w:rsid w:val="004A6DD9"/>
    <w:rsid w:val="004A6E1D"/>
    <w:rsid w:val="004A7148"/>
    <w:rsid w:val="004A75E4"/>
    <w:rsid w:val="004B0132"/>
    <w:rsid w:val="004B027E"/>
    <w:rsid w:val="004B0611"/>
    <w:rsid w:val="004B07DC"/>
    <w:rsid w:val="004B0950"/>
    <w:rsid w:val="004B0B09"/>
    <w:rsid w:val="004B0B20"/>
    <w:rsid w:val="004B0C6D"/>
    <w:rsid w:val="004B0DCF"/>
    <w:rsid w:val="004B0FDA"/>
    <w:rsid w:val="004B12F0"/>
    <w:rsid w:val="004B1697"/>
    <w:rsid w:val="004B16E3"/>
    <w:rsid w:val="004B173A"/>
    <w:rsid w:val="004B1D16"/>
    <w:rsid w:val="004B2265"/>
    <w:rsid w:val="004B22DD"/>
    <w:rsid w:val="004B287F"/>
    <w:rsid w:val="004B31FF"/>
    <w:rsid w:val="004B32F1"/>
    <w:rsid w:val="004B344B"/>
    <w:rsid w:val="004B3618"/>
    <w:rsid w:val="004B36D9"/>
    <w:rsid w:val="004B376D"/>
    <w:rsid w:val="004B3D63"/>
    <w:rsid w:val="004B3EA9"/>
    <w:rsid w:val="004B3EE6"/>
    <w:rsid w:val="004B463A"/>
    <w:rsid w:val="004B52E1"/>
    <w:rsid w:val="004B5F8E"/>
    <w:rsid w:val="004B5FEE"/>
    <w:rsid w:val="004B6299"/>
    <w:rsid w:val="004B6415"/>
    <w:rsid w:val="004B6A42"/>
    <w:rsid w:val="004B6AB7"/>
    <w:rsid w:val="004B6C74"/>
    <w:rsid w:val="004B75DC"/>
    <w:rsid w:val="004B7717"/>
    <w:rsid w:val="004B77ED"/>
    <w:rsid w:val="004B7872"/>
    <w:rsid w:val="004B7CE8"/>
    <w:rsid w:val="004C0A97"/>
    <w:rsid w:val="004C0CC8"/>
    <w:rsid w:val="004C1194"/>
    <w:rsid w:val="004C1438"/>
    <w:rsid w:val="004C155C"/>
    <w:rsid w:val="004C17A6"/>
    <w:rsid w:val="004C1AC7"/>
    <w:rsid w:val="004C1C35"/>
    <w:rsid w:val="004C27BD"/>
    <w:rsid w:val="004C2A24"/>
    <w:rsid w:val="004C2DD2"/>
    <w:rsid w:val="004C317C"/>
    <w:rsid w:val="004C349F"/>
    <w:rsid w:val="004C36D6"/>
    <w:rsid w:val="004C3893"/>
    <w:rsid w:val="004C3EC9"/>
    <w:rsid w:val="004C4075"/>
    <w:rsid w:val="004C4415"/>
    <w:rsid w:val="004C44C6"/>
    <w:rsid w:val="004C4609"/>
    <w:rsid w:val="004C4742"/>
    <w:rsid w:val="004C4933"/>
    <w:rsid w:val="004C4DF0"/>
    <w:rsid w:val="004C52FE"/>
    <w:rsid w:val="004C5B2B"/>
    <w:rsid w:val="004C5BEA"/>
    <w:rsid w:val="004C60BD"/>
    <w:rsid w:val="004C6197"/>
    <w:rsid w:val="004C6280"/>
    <w:rsid w:val="004C6511"/>
    <w:rsid w:val="004C705A"/>
    <w:rsid w:val="004C7229"/>
    <w:rsid w:val="004C74A4"/>
    <w:rsid w:val="004C7820"/>
    <w:rsid w:val="004C7CE2"/>
    <w:rsid w:val="004D003D"/>
    <w:rsid w:val="004D0044"/>
    <w:rsid w:val="004D01A5"/>
    <w:rsid w:val="004D01EC"/>
    <w:rsid w:val="004D0363"/>
    <w:rsid w:val="004D08F4"/>
    <w:rsid w:val="004D0AA7"/>
    <w:rsid w:val="004D0F20"/>
    <w:rsid w:val="004D13B5"/>
    <w:rsid w:val="004D13E7"/>
    <w:rsid w:val="004D1733"/>
    <w:rsid w:val="004D1BE9"/>
    <w:rsid w:val="004D20BA"/>
    <w:rsid w:val="004D215C"/>
    <w:rsid w:val="004D242A"/>
    <w:rsid w:val="004D27EA"/>
    <w:rsid w:val="004D3559"/>
    <w:rsid w:val="004D38A3"/>
    <w:rsid w:val="004D39CE"/>
    <w:rsid w:val="004D3F8B"/>
    <w:rsid w:val="004D4A74"/>
    <w:rsid w:val="004D4AD8"/>
    <w:rsid w:val="004D4ADD"/>
    <w:rsid w:val="004D4E0A"/>
    <w:rsid w:val="004D4F17"/>
    <w:rsid w:val="004D59CE"/>
    <w:rsid w:val="004D5A88"/>
    <w:rsid w:val="004D5CF0"/>
    <w:rsid w:val="004D607D"/>
    <w:rsid w:val="004D62F2"/>
    <w:rsid w:val="004D686A"/>
    <w:rsid w:val="004D7565"/>
    <w:rsid w:val="004D7805"/>
    <w:rsid w:val="004E06A0"/>
    <w:rsid w:val="004E0A90"/>
    <w:rsid w:val="004E11F4"/>
    <w:rsid w:val="004E1464"/>
    <w:rsid w:val="004E1B62"/>
    <w:rsid w:val="004E205D"/>
    <w:rsid w:val="004E20B2"/>
    <w:rsid w:val="004E2E1C"/>
    <w:rsid w:val="004E30C2"/>
    <w:rsid w:val="004E30E4"/>
    <w:rsid w:val="004E3575"/>
    <w:rsid w:val="004E4167"/>
    <w:rsid w:val="004E42CA"/>
    <w:rsid w:val="004E4586"/>
    <w:rsid w:val="004E4590"/>
    <w:rsid w:val="004E4CC8"/>
    <w:rsid w:val="004E4ECE"/>
    <w:rsid w:val="004E525D"/>
    <w:rsid w:val="004E53F7"/>
    <w:rsid w:val="004E58F2"/>
    <w:rsid w:val="004E58FA"/>
    <w:rsid w:val="004E59EE"/>
    <w:rsid w:val="004E5EAE"/>
    <w:rsid w:val="004E601F"/>
    <w:rsid w:val="004E6B08"/>
    <w:rsid w:val="004E6CFA"/>
    <w:rsid w:val="004E6E8A"/>
    <w:rsid w:val="004E7075"/>
    <w:rsid w:val="004E70D8"/>
    <w:rsid w:val="004E72C2"/>
    <w:rsid w:val="004E7337"/>
    <w:rsid w:val="004E7768"/>
    <w:rsid w:val="004E7793"/>
    <w:rsid w:val="004E77CE"/>
    <w:rsid w:val="004E7F5A"/>
    <w:rsid w:val="004F00F9"/>
    <w:rsid w:val="004F01BF"/>
    <w:rsid w:val="004F03E8"/>
    <w:rsid w:val="004F03F0"/>
    <w:rsid w:val="004F099A"/>
    <w:rsid w:val="004F09B3"/>
    <w:rsid w:val="004F0AA0"/>
    <w:rsid w:val="004F103F"/>
    <w:rsid w:val="004F1059"/>
    <w:rsid w:val="004F1839"/>
    <w:rsid w:val="004F19D2"/>
    <w:rsid w:val="004F1A97"/>
    <w:rsid w:val="004F1D61"/>
    <w:rsid w:val="004F1E21"/>
    <w:rsid w:val="004F1ED6"/>
    <w:rsid w:val="004F1F7B"/>
    <w:rsid w:val="004F2120"/>
    <w:rsid w:val="004F228A"/>
    <w:rsid w:val="004F22E9"/>
    <w:rsid w:val="004F24B0"/>
    <w:rsid w:val="004F2739"/>
    <w:rsid w:val="004F2746"/>
    <w:rsid w:val="004F28E7"/>
    <w:rsid w:val="004F2DCA"/>
    <w:rsid w:val="004F32A6"/>
    <w:rsid w:val="004F33BA"/>
    <w:rsid w:val="004F3476"/>
    <w:rsid w:val="004F3D20"/>
    <w:rsid w:val="004F4325"/>
    <w:rsid w:val="004F4426"/>
    <w:rsid w:val="004F4461"/>
    <w:rsid w:val="004F460E"/>
    <w:rsid w:val="004F4692"/>
    <w:rsid w:val="004F4BB9"/>
    <w:rsid w:val="004F4BCA"/>
    <w:rsid w:val="004F5601"/>
    <w:rsid w:val="004F5771"/>
    <w:rsid w:val="004F5D22"/>
    <w:rsid w:val="004F63B9"/>
    <w:rsid w:val="004F6F19"/>
    <w:rsid w:val="004F6F2C"/>
    <w:rsid w:val="004F7506"/>
    <w:rsid w:val="004F762E"/>
    <w:rsid w:val="004F7785"/>
    <w:rsid w:val="004F79C5"/>
    <w:rsid w:val="004F7E8C"/>
    <w:rsid w:val="00500015"/>
    <w:rsid w:val="00500371"/>
    <w:rsid w:val="005004BC"/>
    <w:rsid w:val="00500731"/>
    <w:rsid w:val="00500AA8"/>
    <w:rsid w:val="0050100A"/>
    <w:rsid w:val="0050111B"/>
    <w:rsid w:val="0050147E"/>
    <w:rsid w:val="005020CB"/>
    <w:rsid w:val="00502A55"/>
    <w:rsid w:val="00502CFF"/>
    <w:rsid w:val="005032D1"/>
    <w:rsid w:val="00503717"/>
    <w:rsid w:val="005038DB"/>
    <w:rsid w:val="00503BD4"/>
    <w:rsid w:val="00504073"/>
    <w:rsid w:val="00504431"/>
    <w:rsid w:val="00505034"/>
    <w:rsid w:val="00505676"/>
    <w:rsid w:val="005056EA"/>
    <w:rsid w:val="0050574E"/>
    <w:rsid w:val="005065EB"/>
    <w:rsid w:val="00506D26"/>
    <w:rsid w:val="00507656"/>
    <w:rsid w:val="00507B19"/>
    <w:rsid w:val="00507C25"/>
    <w:rsid w:val="00507CD6"/>
    <w:rsid w:val="00507FA9"/>
    <w:rsid w:val="00510126"/>
    <w:rsid w:val="00510345"/>
    <w:rsid w:val="0051060F"/>
    <w:rsid w:val="0051064D"/>
    <w:rsid w:val="0051093E"/>
    <w:rsid w:val="00510ABD"/>
    <w:rsid w:val="00510D12"/>
    <w:rsid w:val="00511253"/>
    <w:rsid w:val="005113D0"/>
    <w:rsid w:val="00511A39"/>
    <w:rsid w:val="00511BAD"/>
    <w:rsid w:val="00511D9E"/>
    <w:rsid w:val="00512862"/>
    <w:rsid w:val="00512BF0"/>
    <w:rsid w:val="00512F23"/>
    <w:rsid w:val="00512FEA"/>
    <w:rsid w:val="005132E4"/>
    <w:rsid w:val="005140E8"/>
    <w:rsid w:val="005142CF"/>
    <w:rsid w:val="005145A9"/>
    <w:rsid w:val="00514690"/>
    <w:rsid w:val="005147A0"/>
    <w:rsid w:val="0051543B"/>
    <w:rsid w:val="0051676F"/>
    <w:rsid w:val="00516E41"/>
    <w:rsid w:val="00517090"/>
    <w:rsid w:val="00517420"/>
    <w:rsid w:val="00517A78"/>
    <w:rsid w:val="005201F1"/>
    <w:rsid w:val="0052035E"/>
    <w:rsid w:val="00522480"/>
    <w:rsid w:val="005228AC"/>
    <w:rsid w:val="00522A41"/>
    <w:rsid w:val="00522D61"/>
    <w:rsid w:val="00522EA4"/>
    <w:rsid w:val="00523C2E"/>
    <w:rsid w:val="00523F9C"/>
    <w:rsid w:val="005244D9"/>
    <w:rsid w:val="005245DF"/>
    <w:rsid w:val="005255F3"/>
    <w:rsid w:val="0052562F"/>
    <w:rsid w:val="005256BD"/>
    <w:rsid w:val="00525B67"/>
    <w:rsid w:val="00526292"/>
    <w:rsid w:val="005263DF"/>
    <w:rsid w:val="005264A7"/>
    <w:rsid w:val="00526C46"/>
    <w:rsid w:val="00527249"/>
    <w:rsid w:val="00527B73"/>
    <w:rsid w:val="00527CA8"/>
    <w:rsid w:val="00530E0B"/>
    <w:rsid w:val="005312F9"/>
    <w:rsid w:val="0053135F"/>
    <w:rsid w:val="005315F9"/>
    <w:rsid w:val="00531E7A"/>
    <w:rsid w:val="00532729"/>
    <w:rsid w:val="00532936"/>
    <w:rsid w:val="00532B5C"/>
    <w:rsid w:val="00532D7A"/>
    <w:rsid w:val="00532FB1"/>
    <w:rsid w:val="00533922"/>
    <w:rsid w:val="005341EE"/>
    <w:rsid w:val="005342FB"/>
    <w:rsid w:val="005343DB"/>
    <w:rsid w:val="005346A4"/>
    <w:rsid w:val="00534893"/>
    <w:rsid w:val="00534A26"/>
    <w:rsid w:val="00534D4F"/>
    <w:rsid w:val="00534E59"/>
    <w:rsid w:val="00535362"/>
    <w:rsid w:val="00536382"/>
    <w:rsid w:val="00536CE9"/>
    <w:rsid w:val="00536E44"/>
    <w:rsid w:val="00536E81"/>
    <w:rsid w:val="00536EAF"/>
    <w:rsid w:val="00540129"/>
    <w:rsid w:val="00540515"/>
    <w:rsid w:val="00540522"/>
    <w:rsid w:val="0054080A"/>
    <w:rsid w:val="00540987"/>
    <w:rsid w:val="00540A1F"/>
    <w:rsid w:val="00541199"/>
    <w:rsid w:val="005411E7"/>
    <w:rsid w:val="0054145F"/>
    <w:rsid w:val="00541913"/>
    <w:rsid w:val="00541A01"/>
    <w:rsid w:val="00541C7E"/>
    <w:rsid w:val="005423E8"/>
    <w:rsid w:val="005426EE"/>
    <w:rsid w:val="00542A98"/>
    <w:rsid w:val="00543323"/>
    <w:rsid w:val="00543473"/>
    <w:rsid w:val="00543ACD"/>
    <w:rsid w:val="00543CFA"/>
    <w:rsid w:val="00543FB9"/>
    <w:rsid w:val="0054418D"/>
    <w:rsid w:val="005447EB"/>
    <w:rsid w:val="00544A05"/>
    <w:rsid w:val="00544A19"/>
    <w:rsid w:val="00544CB7"/>
    <w:rsid w:val="0054503F"/>
    <w:rsid w:val="0054509B"/>
    <w:rsid w:val="0054517F"/>
    <w:rsid w:val="005454AC"/>
    <w:rsid w:val="00545581"/>
    <w:rsid w:val="00545CC4"/>
    <w:rsid w:val="00545D72"/>
    <w:rsid w:val="00545E4C"/>
    <w:rsid w:val="0054624C"/>
    <w:rsid w:val="005466D7"/>
    <w:rsid w:val="0054671A"/>
    <w:rsid w:val="00546856"/>
    <w:rsid w:val="00546A62"/>
    <w:rsid w:val="00546BAE"/>
    <w:rsid w:val="00546D54"/>
    <w:rsid w:val="0054731D"/>
    <w:rsid w:val="005474B5"/>
    <w:rsid w:val="00547899"/>
    <w:rsid w:val="00547A1F"/>
    <w:rsid w:val="00547C86"/>
    <w:rsid w:val="00547DF8"/>
    <w:rsid w:val="00550163"/>
    <w:rsid w:val="005505B9"/>
    <w:rsid w:val="005508C6"/>
    <w:rsid w:val="00550AFD"/>
    <w:rsid w:val="00550CA7"/>
    <w:rsid w:val="00550FCE"/>
    <w:rsid w:val="005516C9"/>
    <w:rsid w:val="00551952"/>
    <w:rsid w:val="00551A04"/>
    <w:rsid w:val="00551FE5"/>
    <w:rsid w:val="00552387"/>
    <w:rsid w:val="00552487"/>
    <w:rsid w:val="00552592"/>
    <w:rsid w:val="00552A43"/>
    <w:rsid w:val="00552EEB"/>
    <w:rsid w:val="00553810"/>
    <w:rsid w:val="00553829"/>
    <w:rsid w:val="005538FA"/>
    <w:rsid w:val="00553A7E"/>
    <w:rsid w:val="005542D5"/>
    <w:rsid w:val="005545A3"/>
    <w:rsid w:val="00554B2F"/>
    <w:rsid w:val="00555203"/>
    <w:rsid w:val="0055537E"/>
    <w:rsid w:val="0055548D"/>
    <w:rsid w:val="00555542"/>
    <w:rsid w:val="00555C48"/>
    <w:rsid w:val="00555D2A"/>
    <w:rsid w:val="00555D6D"/>
    <w:rsid w:val="005561BD"/>
    <w:rsid w:val="005563A5"/>
    <w:rsid w:val="005568D0"/>
    <w:rsid w:val="00556E1F"/>
    <w:rsid w:val="005571ED"/>
    <w:rsid w:val="0055730A"/>
    <w:rsid w:val="005573CA"/>
    <w:rsid w:val="00557B0E"/>
    <w:rsid w:val="005604A6"/>
    <w:rsid w:val="005604B8"/>
    <w:rsid w:val="005604E8"/>
    <w:rsid w:val="00560CC1"/>
    <w:rsid w:val="0056112F"/>
    <w:rsid w:val="0056126C"/>
    <w:rsid w:val="0056127A"/>
    <w:rsid w:val="005614C1"/>
    <w:rsid w:val="00561B6F"/>
    <w:rsid w:val="0056200D"/>
    <w:rsid w:val="005623CE"/>
    <w:rsid w:val="005631E0"/>
    <w:rsid w:val="00563230"/>
    <w:rsid w:val="00563267"/>
    <w:rsid w:val="005634EE"/>
    <w:rsid w:val="0056355B"/>
    <w:rsid w:val="005635F1"/>
    <w:rsid w:val="005646D1"/>
    <w:rsid w:val="00564890"/>
    <w:rsid w:val="005649E5"/>
    <w:rsid w:val="00564CED"/>
    <w:rsid w:val="005650B9"/>
    <w:rsid w:val="00565E59"/>
    <w:rsid w:val="00565EBC"/>
    <w:rsid w:val="00566267"/>
    <w:rsid w:val="0056628A"/>
    <w:rsid w:val="005662F4"/>
    <w:rsid w:val="00566566"/>
    <w:rsid w:val="00566696"/>
    <w:rsid w:val="00566E90"/>
    <w:rsid w:val="00566FAF"/>
    <w:rsid w:val="005670E2"/>
    <w:rsid w:val="0056735A"/>
    <w:rsid w:val="0056783F"/>
    <w:rsid w:val="005704AB"/>
    <w:rsid w:val="0057078F"/>
    <w:rsid w:val="005708AA"/>
    <w:rsid w:val="005708AD"/>
    <w:rsid w:val="005709B5"/>
    <w:rsid w:val="00570A9E"/>
    <w:rsid w:val="00570D58"/>
    <w:rsid w:val="005711E2"/>
    <w:rsid w:val="0057124B"/>
    <w:rsid w:val="005714B2"/>
    <w:rsid w:val="00571632"/>
    <w:rsid w:val="00571662"/>
    <w:rsid w:val="00571C19"/>
    <w:rsid w:val="00571C1E"/>
    <w:rsid w:val="005721EA"/>
    <w:rsid w:val="0057327E"/>
    <w:rsid w:val="00573396"/>
    <w:rsid w:val="00573776"/>
    <w:rsid w:val="00573B96"/>
    <w:rsid w:val="0057404A"/>
    <w:rsid w:val="00574124"/>
    <w:rsid w:val="00574242"/>
    <w:rsid w:val="00574353"/>
    <w:rsid w:val="005746A2"/>
    <w:rsid w:val="0057471E"/>
    <w:rsid w:val="00574DE8"/>
    <w:rsid w:val="005753E5"/>
    <w:rsid w:val="0057592F"/>
    <w:rsid w:val="00576132"/>
    <w:rsid w:val="00576557"/>
    <w:rsid w:val="00577024"/>
    <w:rsid w:val="0057739D"/>
    <w:rsid w:val="0057796F"/>
    <w:rsid w:val="00577A8E"/>
    <w:rsid w:val="005803E6"/>
    <w:rsid w:val="005807BA"/>
    <w:rsid w:val="00580CE9"/>
    <w:rsid w:val="0058124A"/>
    <w:rsid w:val="0058132D"/>
    <w:rsid w:val="00581772"/>
    <w:rsid w:val="005830DE"/>
    <w:rsid w:val="00583234"/>
    <w:rsid w:val="00583DA8"/>
    <w:rsid w:val="005845FD"/>
    <w:rsid w:val="00584787"/>
    <w:rsid w:val="00584CDC"/>
    <w:rsid w:val="00585CDB"/>
    <w:rsid w:val="00585D6D"/>
    <w:rsid w:val="00585F9F"/>
    <w:rsid w:val="005863E9"/>
    <w:rsid w:val="0058650E"/>
    <w:rsid w:val="005867D6"/>
    <w:rsid w:val="00586962"/>
    <w:rsid w:val="00586A6A"/>
    <w:rsid w:val="00586DB2"/>
    <w:rsid w:val="0058735E"/>
    <w:rsid w:val="005874FB"/>
    <w:rsid w:val="0058765E"/>
    <w:rsid w:val="00587CA4"/>
    <w:rsid w:val="00587E09"/>
    <w:rsid w:val="00587EBE"/>
    <w:rsid w:val="005901D4"/>
    <w:rsid w:val="00590201"/>
    <w:rsid w:val="00590707"/>
    <w:rsid w:val="00590A2E"/>
    <w:rsid w:val="00590C5D"/>
    <w:rsid w:val="00590CD5"/>
    <w:rsid w:val="005911A1"/>
    <w:rsid w:val="005917A8"/>
    <w:rsid w:val="00591F02"/>
    <w:rsid w:val="0059232C"/>
    <w:rsid w:val="00592628"/>
    <w:rsid w:val="00592D01"/>
    <w:rsid w:val="005930BC"/>
    <w:rsid w:val="005932E5"/>
    <w:rsid w:val="00593350"/>
    <w:rsid w:val="0059369D"/>
    <w:rsid w:val="00593A8E"/>
    <w:rsid w:val="00593C81"/>
    <w:rsid w:val="00593DE5"/>
    <w:rsid w:val="00593F42"/>
    <w:rsid w:val="00594118"/>
    <w:rsid w:val="00594857"/>
    <w:rsid w:val="00594CA5"/>
    <w:rsid w:val="005958A8"/>
    <w:rsid w:val="00595B35"/>
    <w:rsid w:val="005961BD"/>
    <w:rsid w:val="00596399"/>
    <w:rsid w:val="00596718"/>
    <w:rsid w:val="00596826"/>
    <w:rsid w:val="00596958"/>
    <w:rsid w:val="00596A60"/>
    <w:rsid w:val="00596BD3"/>
    <w:rsid w:val="005970DE"/>
    <w:rsid w:val="00597978"/>
    <w:rsid w:val="00597A2D"/>
    <w:rsid w:val="005A04B9"/>
    <w:rsid w:val="005A08FE"/>
    <w:rsid w:val="005A0B0D"/>
    <w:rsid w:val="005A1540"/>
    <w:rsid w:val="005A1911"/>
    <w:rsid w:val="005A1A8A"/>
    <w:rsid w:val="005A1FE8"/>
    <w:rsid w:val="005A21EB"/>
    <w:rsid w:val="005A2354"/>
    <w:rsid w:val="005A267E"/>
    <w:rsid w:val="005A296C"/>
    <w:rsid w:val="005A3063"/>
    <w:rsid w:val="005A392D"/>
    <w:rsid w:val="005A3B12"/>
    <w:rsid w:val="005A3B55"/>
    <w:rsid w:val="005A3B72"/>
    <w:rsid w:val="005A3F20"/>
    <w:rsid w:val="005A41F0"/>
    <w:rsid w:val="005A4202"/>
    <w:rsid w:val="005A42ED"/>
    <w:rsid w:val="005A491A"/>
    <w:rsid w:val="005A5798"/>
    <w:rsid w:val="005A5940"/>
    <w:rsid w:val="005A598C"/>
    <w:rsid w:val="005A5998"/>
    <w:rsid w:val="005A5F32"/>
    <w:rsid w:val="005A6356"/>
    <w:rsid w:val="005A6493"/>
    <w:rsid w:val="005A64D4"/>
    <w:rsid w:val="005A66D2"/>
    <w:rsid w:val="005A6B13"/>
    <w:rsid w:val="005A6D9C"/>
    <w:rsid w:val="005A7722"/>
    <w:rsid w:val="005A7A82"/>
    <w:rsid w:val="005A7F59"/>
    <w:rsid w:val="005B012E"/>
    <w:rsid w:val="005B01DD"/>
    <w:rsid w:val="005B0283"/>
    <w:rsid w:val="005B0506"/>
    <w:rsid w:val="005B0DC7"/>
    <w:rsid w:val="005B0F50"/>
    <w:rsid w:val="005B0FE8"/>
    <w:rsid w:val="005B11DD"/>
    <w:rsid w:val="005B19F2"/>
    <w:rsid w:val="005B1A1E"/>
    <w:rsid w:val="005B1C58"/>
    <w:rsid w:val="005B1D91"/>
    <w:rsid w:val="005B2678"/>
    <w:rsid w:val="005B2C78"/>
    <w:rsid w:val="005B2D1B"/>
    <w:rsid w:val="005B35FB"/>
    <w:rsid w:val="005B36DB"/>
    <w:rsid w:val="005B3792"/>
    <w:rsid w:val="005B37E4"/>
    <w:rsid w:val="005B3F58"/>
    <w:rsid w:val="005B414A"/>
    <w:rsid w:val="005B4153"/>
    <w:rsid w:val="005B4303"/>
    <w:rsid w:val="005B4611"/>
    <w:rsid w:val="005B4D0C"/>
    <w:rsid w:val="005B5483"/>
    <w:rsid w:val="005B5904"/>
    <w:rsid w:val="005B59E6"/>
    <w:rsid w:val="005B5AA3"/>
    <w:rsid w:val="005B5B54"/>
    <w:rsid w:val="005B5D55"/>
    <w:rsid w:val="005B5F03"/>
    <w:rsid w:val="005B6B0F"/>
    <w:rsid w:val="005B6EE0"/>
    <w:rsid w:val="005B73C1"/>
    <w:rsid w:val="005B7509"/>
    <w:rsid w:val="005B752C"/>
    <w:rsid w:val="005C014C"/>
    <w:rsid w:val="005C037F"/>
    <w:rsid w:val="005C04B5"/>
    <w:rsid w:val="005C065C"/>
    <w:rsid w:val="005C0CFF"/>
    <w:rsid w:val="005C0ECE"/>
    <w:rsid w:val="005C1258"/>
    <w:rsid w:val="005C1694"/>
    <w:rsid w:val="005C1859"/>
    <w:rsid w:val="005C189F"/>
    <w:rsid w:val="005C19AF"/>
    <w:rsid w:val="005C1AD2"/>
    <w:rsid w:val="005C1C2E"/>
    <w:rsid w:val="005C240B"/>
    <w:rsid w:val="005C2775"/>
    <w:rsid w:val="005C2CB3"/>
    <w:rsid w:val="005C35A3"/>
    <w:rsid w:val="005C35CF"/>
    <w:rsid w:val="005C39C0"/>
    <w:rsid w:val="005C3C80"/>
    <w:rsid w:val="005C3F62"/>
    <w:rsid w:val="005C3F79"/>
    <w:rsid w:val="005C417E"/>
    <w:rsid w:val="005C4200"/>
    <w:rsid w:val="005C42A5"/>
    <w:rsid w:val="005C4BB1"/>
    <w:rsid w:val="005C4C76"/>
    <w:rsid w:val="005C4CBD"/>
    <w:rsid w:val="005C4DA4"/>
    <w:rsid w:val="005C4FED"/>
    <w:rsid w:val="005C522B"/>
    <w:rsid w:val="005C52B9"/>
    <w:rsid w:val="005C5663"/>
    <w:rsid w:val="005C5799"/>
    <w:rsid w:val="005C57E4"/>
    <w:rsid w:val="005C59BA"/>
    <w:rsid w:val="005C5C98"/>
    <w:rsid w:val="005C6160"/>
    <w:rsid w:val="005C6367"/>
    <w:rsid w:val="005C6733"/>
    <w:rsid w:val="005C6BAB"/>
    <w:rsid w:val="005C6D58"/>
    <w:rsid w:val="005C7670"/>
    <w:rsid w:val="005C7D50"/>
    <w:rsid w:val="005C7E11"/>
    <w:rsid w:val="005C7F78"/>
    <w:rsid w:val="005D00C0"/>
    <w:rsid w:val="005D086C"/>
    <w:rsid w:val="005D0B7D"/>
    <w:rsid w:val="005D0B9F"/>
    <w:rsid w:val="005D13BE"/>
    <w:rsid w:val="005D1724"/>
    <w:rsid w:val="005D1B5C"/>
    <w:rsid w:val="005D1B64"/>
    <w:rsid w:val="005D1C86"/>
    <w:rsid w:val="005D1E53"/>
    <w:rsid w:val="005D21C0"/>
    <w:rsid w:val="005D2FF1"/>
    <w:rsid w:val="005D3666"/>
    <w:rsid w:val="005D3A29"/>
    <w:rsid w:val="005D3EAD"/>
    <w:rsid w:val="005D40DC"/>
    <w:rsid w:val="005D4670"/>
    <w:rsid w:val="005D49A4"/>
    <w:rsid w:val="005D50BB"/>
    <w:rsid w:val="005D5187"/>
    <w:rsid w:val="005D518B"/>
    <w:rsid w:val="005D57A4"/>
    <w:rsid w:val="005D5A63"/>
    <w:rsid w:val="005D5C2D"/>
    <w:rsid w:val="005D5EAE"/>
    <w:rsid w:val="005D6074"/>
    <w:rsid w:val="005D664C"/>
    <w:rsid w:val="005D694F"/>
    <w:rsid w:val="005D696F"/>
    <w:rsid w:val="005D6E0A"/>
    <w:rsid w:val="005D704B"/>
    <w:rsid w:val="005D70ED"/>
    <w:rsid w:val="005D74EE"/>
    <w:rsid w:val="005D7B06"/>
    <w:rsid w:val="005D7EF3"/>
    <w:rsid w:val="005E0480"/>
    <w:rsid w:val="005E0644"/>
    <w:rsid w:val="005E0A52"/>
    <w:rsid w:val="005E0A90"/>
    <w:rsid w:val="005E0EDB"/>
    <w:rsid w:val="005E0FCB"/>
    <w:rsid w:val="005E13C5"/>
    <w:rsid w:val="005E17CE"/>
    <w:rsid w:val="005E188F"/>
    <w:rsid w:val="005E1B4E"/>
    <w:rsid w:val="005E243F"/>
    <w:rsid w:val="005E24D5"/>
    <w:rsid w:val="005E24E7"/>
    <w:rsid w:val="005E2623"/>
    <w:rsid w:val="005E2BEA"/>
    <w:rsid w:val="005E2EFA"/>
    <w:rsid w:val="005E3508"/>
    <w:rsid w:val="005E3680"/>
    <w:rsid w:val="005E3930"/>
    <w:rsid w:val="005E3A16"/>
    <w:rsid w:val="005E3F04"/>
    <w:rsid w:val="005E4144"/>
    <w:rsid w:val="005E438F"/>
    <w:rsid w:val="005E454F"/>
    <w:rsid w:val="005E4866"/>
    <w:rsid w:val="005E4BA4"/>
    <w:rsid w:val="005E5118"/>
    <w:rsid w:val="005E5149"/>
    <w:rsid w:val="005E5192"/>
    <w:rsid w:val="005E62DF"/>
    <w:rsid w:val="005E6A21"/>
    <w:rsid w:val="005E6C6D"/>
    <w:rsid w:val="005E6DAD"/>
    <w:rsid w:val="005E732F"/>
    <w:rsid w:val="005E74D7"/>
    <w:rsid w:val="005E758C"/>
    <w:rsid w:val="005E7894"/>
    <w:rsid w:val="005E79C6"/>
    <w:rsid w:val="005F0031"/>
    <w:rsid w:val="005F02F0"/>
    <w:rsid w:val="005F0454"/>
    <w:rsid w:val="005F0693"/>
    <w:rsid w:val="005F081C"/>
    <w:rsid w:val="005F0A5B"/>
    <w:rsid w:val="005F0C2C"/>
    <w:rsid w:val="005F0D3B"/>
    <w:rsid w:val="005F0DA3"/>
    <w:rsid w:val="005F0DAA"/>
    <w:rsid w:val="005F1101"/>
    <w:rsid w:val="005F1237"/>
    <w:rsid w:val="005F1A8E"/>
    <w:rsid w:val="005F1B34"/>
    <w:rsid w:val="005F2E64"/>
    <w:rsid w:val="005F2EF7"/>
    <w:rsid w:val="005F309B"/>
    <w:rsid w:val="005F34A8"/>
    <w:rsid w:val="005F39FE"/>
    <w:rsid w:val="005F3A0E"/>
    <w:rsid w:val="005F3BA5"/>
    <w:rsid w:val="005F3CDC"/>
    <w:rsid w:val="005F3E1E"/>
    <w:rsid w:val="005F4497"/>
    <w:rsid w:val="005F453B"/>
    <w:rsid w:val="005F4A72"/>
    <w:rsid w:val="005F4CBF"/>
    <w:rsid w:val="005F505A"/>
    <w:rsid w:val="005F572A"/>
    <w:rsid w:val="005F5CCB"/>
    <w:rsid w:val="005F5F24"/>
    <w:rsid w:val="005F63F2"/>
    <w:rsid w:val="005F641C"/>
    <w:rsid w:val="005F6436"/>
    <w:rsid w:val="005F6568"/>
    <w:rsid w:val="005F6BEF"/>
    <w:rsid w:val="005F6C43"/>
    <w:rsid w:val="005F6E1A"/>
    <w:rsid w:val="005F711B"/>
    <w:rsid w:val="005F720D"/>
    <w:rsid w:val="005F73AB"/>
    <w:rsid w:val="005F784F"/>
    <w:rsid w:val="005F7AF1"/>
    <w:rsid w:val="005F7E54"/>
    <w:rsid w:val="005F7F62"/>
    <w:rsid w:val="005F7FCE"/>
    <w:rsid w:val="00600604"/>
    <w:rsid w:val="006006C6"/>
    <w:rsid w:val="00600993"/>
    <w:rsid w:val="00600D24"/>
    <w:rsid w:val="00600E12"/>
    <w:rsid w:val="00601311"/>
    <w:rsid w:val="0060177C"/>
    <w:rsid w:val="006017F9"/>
    <w:rsid w:val="00601955"/>
    <w:rsid w:val="00601BCE"/>
    <w:rsid w:val="006024F7"/>
    <w:rsid w:val="00602C94"/>
    <w:rsid w:val="00603048"/>
    <w:rsid w:val="006030FD"/>
    <w:rsid w:val="00603116"/>
    <w:rsid w:val="00603278"/>
    <w:rsid w:val="0060348F"/>
    <w:rsid w:val="00603514"/>
    <w:rsid w:val="0060380C"/>
    <w:rsid w:val="006040A0"/>
    <w:rsid w:val="006042D8"/>
    <w:rsid w:val="00604442"/>
    <w:rsid w:val="00604B5E"/>
    <w:rsid w:val="00604D3F"/>
    <w:rsid w:val="00605107"/>
    <w:rsid w:val="006058FA"/>
    <w:rsid w:val="00605B19"/>
    <w:rsid w:val="00605B9F"/>
    <w:rsid w:val="00605C9B"/>
    <w:rsid w:val="00605EF3"/>
    <w:rsid w:val="00606309"/>
    <w:rsid w:val="0060671F"/>
    <w:rsid w:val="006069DA"/>
    <w:rsid w:val="00606BEC"/>
    <w:rsid w:val="00606D2D"/>
    <w:rsid w:val="00607721"/>
    <w:rsid w:val="0060787B"/>
    <w:rsid w:val="006100DA"/>
    <w:rsid w:val="00610532"/>
    <w:rsid w:val="006105D3"/>
    <w:rsid w:val="006105D6"/>
    <w:rsid w:val="00610C3B"/>
    <w:rsid w:val="00610F5E"/>
    <w:rsid w:val="006117E3"/>
    <w:rsid w:val="0061190D"/>
    <w:rsid w:val="006121ED"/>
    <w:rsid w:val="0061279E"/>
    <w:rsid w:val="00612825"/>
    <w:rsid w:val="00612978"/>
    <w:rsid w:val="00612FC2"/>
    <w:rsid w:val="00613210"/>
    <w:rsid w:val="006133A7"/>
    <w:rsid w:val="0061357D"/>
    <w:rsid w:val="006137AC"/>
    <w:rsid w:val="00613D84"/>
    <w:rsid w:val="006149BB"/>
    <w:rsid w:val="00614AE1"/>
    <w:rsid w:val="00615012"/>
    <w:rsid w:val="00615255"/>
    <w:rsid w:val="00615430"/>
    <w:rsid w:val="00615542"/>
    <w:rsid w:val="00615796"/>
    <w:rsid w:val="006158A7"/>
    <w:rsid w:val="006158D6"/>
    <w:rsid w:val="0061590B"/>
    <w:rsid w:val="00615D1B"/>
    <w:rsid w:val="006160C7"/>
    <w:rsid w:val="006163AC"/>
    <w:rsid w:val="00616A26"/>
    <w:rsid w:val="00616B9B"/>
    <w:rsid w:val="00616C00"/>
    <w:rsid w:val="00616DB8"/>
    <w:rsid w:val="00616E46"/>
    <w:rsid w:val="00616E83"/>
    <w:rsid w:val="006170FA"/>
    <w:rsid w:val="00617A23"/>
    <w:rsid w:val="00617A8A"/>
    <w:rsid w:val="00617BDF"/>
    <w:rsid w:val="00617DCB"/>
    <w:rsid w:val="0062003B"/>
    <w:rsid w:val="00620C5E"/>
    <w:rsid w:val="00620E13"/>
    <w:rsid w:val="006212BA"/>
    <w:rsid w:val="006214E2"/>
    <w:rsid w:val="00621C61"/>
    <w:rsid w:val="00621ED0"/>
    <w:rsid w:val="00622159"/>
    <w:rsid w:val="0062221F"/>
    <w:rsid w:val="0062254F"/>
    <w:rsid w:val="0062268A"/>
    <w:rsid w:val="00622B91"/>
    <w:rsid w:val="00622C97"/>
    <w:rsid w:val="00623357"/>
    <w:rsid w:val="006233D0"/>
    <w:rsid w:val="00623681"/>
    <w:rsid w:val="00623CA6"/>
    <w:rsid w:val="00624144"/>
    <w:rsid w:val="00624ACF"/>
    <w:rsid w:val="00624B42"/>
    <w:rsid w:val="00624CA6"/>
    <w:rsid w:val="00625C1A"/>
    <w:rsid w:val="00625E6C"/>
    <w:rsid w:val="006261D0"/>
    <w:rsid w:val="006264D8"/>
    <w:rsid w:val="00626783"/>
    <w:rsid w:val="00627633"/>
    <w:rsid w:val="0062792E"/>
    <w:rsid w:val="00627A41"/>
    <w:rsid w:val="00627AEF"/>
    <w:rsid w:val="00630434"/>
    <w:rsid w:val="00630B33"/>
    <w:rsid w:val="00630C6B"/>
    <w:rsid w:val="00630CA6"/>
    <w:rsid w:val="00630E1A"/>
    <w:rsid w:val="00630EE8"/>
    <w:rsid w:val="0063107F"/>
    <w:rsid w:val="00631758"/>
    <w:rsid w:val="00631823"/>
    <w:rsid w:val="0063185E"/>
    <w:rsid w:val="006319F7"/>
    <w:rsid w:val="00631BDD"/>
    <w:rsid w:val="00632009"/>
    <w:rsid w:val="00632211"/>
    <w:rsid w:val="00632538"/>
    <w:rsid w:val="00632672"/>
    <w:rsid w:val="0063270F"/>
    <w:rsid w:val="006329B5"/>
    <w:rsid w:val="00633601"/>
    <w:rsid w:val="00633648"/>
    <w:rsid w:val="00633D90"/>
    <w:rsid w:val="006346C0"/>
    <w:rsid w:val="00634ABC"/>
    <w:rsid w:val="006352E8"/>
    <w:rsid w:val="006356E5"/>
    <w:rsid w:val="00635946"/>
    <w:rsid w:val="006359CA"/>
    <w:rsid w:val="00635B94"/>
    <w:rsid w:val="00635B98"/>
    <w:rsid w:val="00636498"/>
    <w:rsid w:val="006365A0"/>
    <w:rsid w:val="00636669"/>
    <w:rsid w:val="00637054"/>
    <w:rsid w:val="00637280"/>
    <w:rsid w:val="006374FD"/>
    <w:rsid w:val="00637505"/>
    <w:rsid w:val="0063753C"/>
    <w:rsid w:val="00637B1E"/>
    <w:rsid w:val="00637B9B"/>
    <w:rsid w:val="00637FAE"/>
    <w:rsid w:val="006400DB"/>
    <w:rsid w:val="00640422"/>
    <w:rsid w:val="006408CD"/>
    <w:rsid w:val="006413F4"/>
    <w:rsid w:val="00641B70"/>
    <w:rsid w:val="00641D29"/>
    <w:rsid w:val="00642509"/>
    <w:rsid w:val="006427DC"/>
    <w:rsid w:val="00642921"/>
    <w:rsid w:val="00642B1D"/>
    <w:rsid w:val="00642EE2"/>
    <w:rsid w:val="00643624"/>
    <w:rsid w:val="00643994"/>
    <w:rsid w:val="00643F33"/>
    <w:rsid w:val="006448BB"/>
    <w:rsid w:val="00644C12"/>
    <w:rsid w:val="00644CA0"/>
    <w:rsid w:val="0064505B"/>
    <w:rsid w:val="006450E0"/>
    <w:rsid w:val="0064522A"/>
    <w:rsid w:val="00645284"/>
    <w:rsid w:val="0064567A"/>
    <w:rsid w:val="00645DC4"/>
    <w:rsid w:val="00646514"/>
    <w:rsid w:val="006466D3"/>
    <w:rsid w:val="00646955"/>
    <w:rsid w:val="00646978"/>
    <w:rsid w:val="00646BD3"/>
    <w:rsid w:val="00646C2D"/>
    <w:rsid w:val="00647350"/>
    <w:rsid w:val="00647960"/>
    <w:rsid w:val="00647A86"/>
    <w:rsid w:val="00647EB6"/>
    <w:rsid w:val="00650713"/>
    <w:rsid w:val="00650857"/>
    <w:rsid w:val="00650B75"/>
    <w:rsid w:val="00651705"/>
    <w:rsid w:val="00651FBA"/>
    <w:rsid w:val="0065218E"/>
    <w:rsid w:val="0065227B"/>
    <w:rsid w:val="0065238B"/>
    <w:rsid w:val="00652585"/>
    <w:rsid w:val="00652651"/>
    <w:rsid w:val="006530B2"/>
    <w:rsid w:val="006532F9"/>
    <w:rsid w:val="00653BF6"/>
    <w:rsid w:val="00653C89"/>
    <w:rsid w:val="0065418A"/>
    <w:rsid w:val="0065486A"/>
    <w:rsid w:val="00654A04"/>
    <w:rsid w:val="00654AA7"/>
    <w:rsid w:val="00654C90"/>
    <w:rsid w:val="00655168"/>
    <w:rsid w:val="006556B4"/>
    <w:rsid w:val="006557A9"/>
    <w:rsid w:val="0065597A"/>
    <w:rsid w:val="00656532"/>
    <w:rsid w:val="006568D3"/>
    <w:rsid w:val="00657162"/>
    <w:rsid w:val="00657208"/>
    <w:rsid w:val="006578C8"/>
    <w:rsid w:val="006579DD"/>
    <w:rsid w:val="00657B3E"/>
    <w:rsid w:val="00660151"/>
    <w:rsid w:val="00660AC8"/>
    <w:rsid w:val="00660E70"/>
    <w:rsid w:val="0066107E"/>
    <w:rsid w:val="006611C8"/>
    <w:rsid w:val="00661868"/>
    <w:rsid w:val="0066195B"/>
    <w:rsid w:val="00661C46"/>
    <w:rsid w:val="00662A7A"/>
    <w:rsid w:val="00662CF1"/>
    <w:rsid w:val="00663048"/>
    <w:rsid w:val="006631F5"/>
    <w:rsid w:val="006637DF"/>
    <w:rsid w:val="0066381D"/>
    <w:rsid w:val="00663C5D"/>
    <w:rsid w:val="00664020"/>
    <w:rsid w:val="0066460E"/>
    <w:rsid w:val="00664BEF"/>
    <w:rsid w:val="00665141"/>
    <w:rsid w:val="006654FC"/>
    <w:rsid w:val="00665A97"/>
    <w:rsid w:val="00665E84"/>
    <w:rsid w:val="0066611C"/>
    <w:rsid w:val="0066634E"/>
    <w:rsid w:val="00666D74"/>
    <w:rsid w:val="00667A28"/>
    <w:rsid w:val="00667AB6"/>
    <w:rsid w:val="00667BCD"/>
    <w:rsid w:val="0067000D"/>
    <w:rsid w:val="00670424"/>
    <w:rsid w:val="006708DB"/>
    <w:rsid w:val="00670A41"/>
    <w:rsid w:val="00670B06"/>
    <w:rsid w:val="00670EFD"/>
    <w:rsid w:val="00670F37"/>
    <w:rsid w:val="00671021"/>
    <w:rsid w:val="006710C3"/>
    <w:rsid w:val="006719EB"/>
    <w:rsid w:val="00671CB9"/>
    <w:rsid w:val="00671EC3"/>
    <w:rsid w:val="0067206B"/>
    <w:rsid w:val="00672718"/>
    <w:rsid w:val="0067283A"/>
    <w:rsid w:val="00672D2C"/>
    <w:rsid w:val="00673662"/>
    <w:rsid w:val="006737FD"/>
    <w:rsid w:val="0067394E"/>
    <w:rsid w:val="00673A48"/>
    <w:rsid w:val="00674077"/>
    <w:rsid w:val="006744B1"/>
    <w:rsid w:val="00674632"/>
    <w:rsid w:val="0067468D"/>
    <w:rsid w:val="00674B56"/>
    <w:rsid w:val="00674C99"/>
    <w:rsid w:val="00674F6D"/>
    <w:rsid w:val="00675469"/>
    <w:rsid w:val="0067546C"/>
    <w:rsid w:val="006756B0"/>
    <w:rsid w:val="006757BD"/>
    <w:rsid w:val="006758B5"/>
    <w:rsid w:val="00675C6D"/>
    <w:rsid w:val="00675C7E"/>
    <w:rsid w:val="00675C80"/>
    <w:rsid w:val="00676379"/>
    <w:rsid w:val="006763F5"/>
    <w:rsid w:val="00676684"/>
    <w:rsid w:val="006766EB"/>
    <w:rsid w:val="00676722"/>
    <w:rsid w:val="00676A4C"/>
    <w:rsid w:val="00676ABB"/>
    <w:rsid w:val="00676D35"/>
    <w:rsid w:val="00676EBD"/>
    <w:rsid w:val="006770F7"/>
    <w:rsid w:val="006774E2"/>
    <w:rsid w:val="00677652"/>
    <w:rsid w:val="00677A8B"/>
    <w:rsid w:val="00677BF1"/>
    <w:rsid w:val="00677F0E"/>
    <w:rsid w:val="006801A1"/>
    <w:rsid w:val="0068032A"/>
    <w:rsid w:val="0068050C"/>
    <w:rsid w:val="0068072B"/>
    <w:rsid w:val="00680882"/>
    <w:rsid w:val="00680D0E"/>
    <w:rsid w:val="00681086"/>
    <w:rsid w:val="00681A94"/>
    <w:rsid w:val="00681C26"/>
    <w:rsid w:val="00681D2B"/>
    <w:rsid w:val="00681E98"/>
    <w:rsid w:val="00682647"/>
    <w:rsid w:val="00682687"/>
    <w:rsid w:val="006828DE"/>
    <w:rsid w:val="00682F70"/>
    <w:rsid w:val="00683106"/>
    <w:rsid w:val="006833C2"/>
    <w:rsid w:val="00683719"/>
    <w:rsid w:val="006839FD"/>
    <w:rsid w:val="00683AB1"/>
    <w:rsid w:val="00683B13"/>
    <w:rsid w:val="006847CC"/>
    <w:rsid w:val="00684A1A"/>
    <w:rsid w:val="00684B6F"/>
    <w:rsid w:val="00684C33"/>
    <w:rsid w:val="00684D38"/>
    <w:rsid w:val="00684F85"/>
    <w:rsid w:val="00685114"/>
    <w:rsid w:val="006851BD"/>
    <w:rsid w:val="0068583C"/>
    <w:rsid w:val="00685944"/>
    <w:rsid w:val="006859EA"/>
    <w:rsid w:val="00685D32"/>
    <w:rsid w:val="00686158"/>
    <w:rsid w:val="006862B3"/>
    <w:rsid w:val="006862CD"/>
    <w:rsid w:val="006864A4"/>
    <w:rsid w:val="0068651F"/>
    <w:rsid w:val="00686549"/>
    <w:rsid w:val="0068662F"/>
    <w:rsid w:val="00686C0A"/>
    <w:rsid w:val="00686C56"/>
    <w:rsid w:val="00686DE1"/>
    <w:rsid w:val="00687BA0"/>
    <w:rsid w:val="00687F81"/>
    <w:rsid w:val="00687FD4"/>
    <w:rsid w:val="00690777"/>
    <w:rsid w:val="0069079C"/>
    <w:rsid w:val="00690B4F"/>
    <w:rsid w:val="00690E2F"/>
    <w:rsid w:val="006910F6"/>
    <w:rsid w:val="00691388"/>
    <w:rsid w:val="006913CD"/>
    <w:rsid w:val="00691444"/>
    <w:rsid w:val="0069169E"/>
    <w:rsid w:val="006916A9"/>
    <w:rsid w:val="0069194C"/>
    <w:rsid w:val="00691D3A"/>
    <w:rsid w:val="0069214D"/>
    <w:rsid w:val="0069260C"/>
    <w:rsid w:val="0069269B"/>
    <w:rsid w:val="00692831"/>
    <w:rsid w:val="006931BA"/>
    <w:rsid w:val="00693293"/>
    <w:rsid w:val="00693B42"/>
    <w:rsid w:val="00694221"/>
    <w:rsid w:val="0069427F"/>
    <w:rsid w:val="0069464D"/>
    <w:rsid w:val="00694B5D"/>
    <w:rsid w:val="00695A27"/>
    <w:rsid w:val="00695BC8"/>
    <w:rsid w:val="00695E47"/>
    <w:rsid w:val="0069600C"/>
    <w:rsid w:val="00696214"/>
    <w:rsid w:val="00696494"/>
    <w:rsid w:val="00697269"/>
    <w:rsid w:val="0069756A"/>
    <w:rsid w:val="00697636"/>
    <w:rsid w:val="0069770E"/>
    <w:rsid w:val="00697FEB"/>
    <w:rsid w:val="006A0121"/>
    <w:rsid w:val="006A04C7"/>
    <w:rsid w:val="006A06E8"/>
    <w:rsid w:val="006A0810"/>
    <w:rsid w:val="006A0ED4"/>
    <w:rsid w:val="006A14F3"/>
    <w:rsid w:val="006A167E"/>
    <w:rsid w:val="006A17A8"/>
    <w:rsid w:val="006A21E0"/>
    <w:rsid w:val="006A2252"/>
    <w:rsid w:val="006A22F2"/>
    <w:rsid w:val="006A23DF"/>
    <w:rsid w:val="006A27F9"/>
    <w:rsid w:val="006A2C70"/>
    <w:rsid w:val="006A32AE"/>
    <w:rsid w:val="006A3659"/>
    <w:rsid w:val="006A3A22"/>
    <w:rsid w:val="006A3C1F"/>
    <w:rsid w:val="006A42CA"/>
    <w:rsid w:val="006A48CD"/>
    <w:rsid w:val="006A4A3B"/>
    <w:rsid w:val="006A5BAF"/>
    <w:rsid w:val="006A63A4"/>
    <w:rsid w:val="006A671A"/>
    <w:rsid w:val="006A69E2"/>
    <w:rsid w:val="006A6BD2"/>
    <w:rsid w:val="006A6D86"/>
    <w:rsid w:val="006A702E"/>
    <w:rsid w:val="006A75C8"/>
    <w:rsid w:val="006A75E1"/>
    <w:rsid w:val="006A7718"/>
    <w:rsid w:val="006A7978"/>
    <w:rsid w:val="006A7D66"/>
    <w:rsid w:val="006A7E73"/>
    <w:rsid w:val="006B02CB"/>
    <w:rsid w:val="006B0B5C"/>
    <w:rsid w:val="006B0ECA"/>
    <w:rsid w:val="006B1626"/>
    <w:rsid w:val="006B1FCF"/>
    <w:rsid w:val="006B2B14"/>
    <w:rsid w:val="006B319B"/>
    <w:rsid w:val="006B35C9"/>
    <w:rsid w:val="006B36D3"/>
    <w:rsid w:val="006B39C7"/>
    <w:rsid w:val="006B3B48"/>
    <w:rsid w:val="006B3E63"/>
    <w:rsid w:val="006B4564"/>
    <w:rsid w:val="006B4A10"/>
    <w:rsid w:val="006B4FBC"/>
    <w:rsid w:val="006B5002"/>
    <w:rsid w:val="006B55FF"/>
    <w:rsid w:val="006B580B"/>
    <w:rsid w:val="006B5B62"/>
    <w:rsid w:val="006B5C11"/>
    <w:rsid w:val="006B6138"/>
    <w:rsid w:val="006B64D4"/>
    <w:rsid w:val="006B6641"/>
    <w:rsid w:val="006B66EF"/>
    <w:rsid w:val="006B67FF"/>
    <w:rsid w:val="006B6CBD"/>
    <w:rsid w:val="006B6D18"/>
    <w:rsid w:val="006B6DCB"/>
    <w:rsid w:val="006B7548"/>
    <w:rsid w:val="006B77EA"/>
    <w:rsid w:val="006B789C"/>
    <w:rsid w:val="006B7CBA"/>
    <w:rsid w:val="006B7D52"/>
    <w:rsid w:val="006C0637"/>
    <w:rsid w:val="006C0679"/>
    <w:rsid w:val="006C06C6"/>
    <w:rsid w:val="006C0BDB"/>
    <w:rsid w:val="006C0F30"/>
    <w:rsid w:val="006C14E7"/>
    <w:rsid w:val="006C1919"/>
    <w:rsid w:val="006C1C5D"/>
    <w:rsid w:val="006C1D1B"/>
    <w:rsid w:val="006C1E5A"/>
    <w:rsid w:val="006C1EE5"/>
    <w:rsid w:val="006C213C"/>
    <w:rsid w:val="006C22E8"/>
    <w:rsid w:val="006C2C39"/>
    <w:rsid w:val="006C2ED5"/>
    <w:rsid w:val="006C30B8"/>
    <w:rsid w:val="006C30C7"/>
    <w:rsid w:val="006C3379"/>
    <w:rsid w:val="006C3892"/>
    <w:rsid w:val="006C46DD"/>
    <w:rsid w:val="006C4A18"/>
    <w:rsid w:val="006C4F4D"/>
    <w:rsid w:val="006C517B"/>
    <w:rsid w:val="006C586F"/>
    <w:rsid w:val="006C5D6B"/>
    <w:rsid w:val="006C5F03"/>
    <w:rsid w:val="006C628E"/>
    <w:rsid w:val="006C6A1C"/>
    <w:rsid w:val="006C6D23"/>
    <w:rsid w:val="006C79CB"/>
    <w:rsid w:val="006C7ADC"/>
    <w:rsid w:val="006C7B32"/>
    <w:rsid w:val="006C7D9E"/>
    <w:rsid w:val="006D0116"/>
    <w:rsid w:val="006D011A"/>
    <w:rsid w:val="006D016E"/>
    <w:rsid w:val="006D0698"/>
    <w:rsid w:val="006D0892"/>
    <w:rsid w:val="006D0C7B"/>
    <w:rsid w:val="006D1237"/>
    <w:rsid w:val="006D14FE"/>
    <w:rsid w:val="006D1677"/>
    <w:rsid w:val="006D1BEC"/>
    <w:rsid w:val="006D1D26"/>
    <w:rsid w:val="006D1DE5"/>
    <w:rsid w:val="006D201B"/>
    <w:rsid w:val="006D2062"/>
    <w:rsid w:val="006D213C"/>
    <w:rsid w:val="006D235A"/>
    <w:rsid w:val="006D3C22"/>
    <w:rsid w:val="006D3DD1"/>
    <w:rsid w:val="006D4243"/>
    <w:rsid w:val="006D4638"/>
    <w:rsid w:val="006D46E2"/>
    <w:rsid w:val="006D4B63"/>
    <w:rsid w:val="006D513D"/>
    <w:rsid w:val="006D517E"/>
    <w:rsid w:val="006D51FC"/>
    <w:rsid w:val="006D5386"/>
    <w:rsid w:val="006D53B8"/>
    <w:rsid w:val="006D54A0"/>
    <w:rsid w:val="006D56BC"/>
    <w:rsid w:val="006D5783"/>
    <w:rsid w:val="006D5815"/>
    <w:rsid w:val="006D59DA"/>
    <w:rsid w:val="006D5B46"/>
    <w:rsid w:val="006D5BEB"/>
    <w:rsid w:val="006D5E25"/>
    <w:rsid w:val="006D5E4B"/>
    <w:rsid w:val="006D5F51"/>
    <w:rsid w:val="006D60FF"/>
    <w:rsid w:val="006D6235"/>
    <w:rsid w:val="006D62FE"/>
    <w:rsid w:val="006D65E6"/>
    <w:rsid w:val="006D6EA2"/>
    <w:rsid w:val="006D728D"/>
    <w:rsid w:val="006D78E3"/>
    <w:rsid w:val="006D7993"/>
    <w:rsid w:val="006D7C59"/>
    <w:rsid w:val="006D7DB0"/>
    <w:rsid w:val="006D7E0D"/>
    <w:rsid w:val="006E0D80"/>
    <w:rsid w:val="006E1122"/>
    <w:rsid w:val="006E121F"/>
    <w:rsid w:val="006E162F"/>
    <w:rsid w:val="006E1690"/>
    <w:rsid w:val="006E1748"/>
    <w:rsid w:val="006E17EC"/>
    <w:rsid w:val="006E1952"/>
    <w:rsid w:val="006E19B8"/>
    <w:rsid w:val="006E1AC2"/>
    <w:rsid w:val="006E278A"/>
    <w:rsid w:val="006E2847"/>
    <w:rsid w:val="006E2A49"/>
    <w:rsid w:val="006E2E01"/>
    <w:rsid w:val="006E2F6F"/>
    <w:rsid w:val="006E3131"/>
    <w:rsid w:val="006E347C"/>
    <w:rsid w:val="006E396B"/>
    <w:rsid w:val="006E3A7F"/>
    <w:rsid w:val="006E3B27"/>
    <w:rsid w:val="006E3B41"/>
    <w:rsid w:val="006E3BFA"/>
    <w:rsid w:val="006E44A7"/>
    <w:rsid w:val="006E4ECA"/>
    <w:rsid w:val="006E508D"/>
    <w:rsid w:val="006E52BD"/>
    <w:rsid w:val="006E589D"/>
    <w:rsid w:val="006E60BD"/>
    <w:rsid w:val="006E66B7"/>
    <w:rsid w:val="006E79C6"/>
    <w:rsid w:val="006F0C68"/>
    <w:rsid w:val="006F1141"/>
    <w:rsid w:val="006F1304"/>
    <w:rsid w:val="006F175C"/>
    <w:rsid w:val="006F1B67"/>
    <w:rsid w:val="006F1BFD"/>
    <w:rsid w:val="006F1F4C"/>
    <w:rsid w:val="006F208C"/>
    <w:rsid w:val="006F2581"/>
    <w:rsid w:val="006F2AC1"/>
    <w:rsid w:val="006F2CAB"/>
    <w:rsid w:val="006F320D"/>
    <w:rsid w:val="006F32C3"/>
    <w:rsid w:val="006F33BE"/>
    <w:rsid w:val="006F353B"/>
    <w:rsid w:val="006F37DA"/>
    <w:rsid w:val="006F3BAC"/>
    <w:rsid w:val="006F3BE2"/>
    <w:rsid w:val="006F3E77"/>
    <w:rsid w:val="006F3FC6"/>
    <w:rsid w:val="006F402F"/>
    <w:rsid w:val="006F47B9"/>
    <w:rsid w:val="006F4AAE"/>
    <w:rsid w:val="006F4B5F"/>
    <w:rsid w:val="006F56CE"/>
    <w:rsid w:val="006F5F97"/>
    <w:rsid w:val="006F6857"/>
    <w:rsid w:val="006F6A12"/>
    <w:rsid w:val="006F6D98"/>
    <w:rsid w:val="006F6DF7"/>
    <w:rsid w:val="006F6FFB"/>
    <w:rsid w:val="006F78D1"/>
    <w:rsid w:val="006F7BCC"/>
    <w:rsid w:val="006F7FAE"/>
    <w:rsid w:val="00700470"/>
    <w:rsid w:val="0070058A"/>
    <w:rsid w:val="00700DD1"/>
    <w:rsid w:val="00700E2D"/>
    <w:rsid w:val="00700E8E"/>
    <w:rsid w:val="00700F23"/>
    <w:rsid w:val="00701368"/>
    <w:rsid w:val="00701506"/>
    <w:rsid w:val="00701810"/>
    <w:rsid w:val="0070183B"/>
    <w:rsid w:val="007018F4"/>
    <w:rsid w:val="0070190E"/>
    <w:rsid w:val="00701C34"/>
    <w:rsid w:val="00701EEA"/>
    <w:rsid w:val="00702384"/>
    <w:rsid w:val="007029F5"/>
    <w:rsid w:val="00702A86"/>
    <w:rsid w:val="00702F20"/>
    <w:rsid w:val="00702F35"/>
    <w:rsid w:val="00702FE2"/>
    <w:rsid w:val="0070301D"/>
    <w:rsid w:val="007031A9"/>
    <w:rsid w:val="00703F58"/>
    <w:rsid w:val="0070423F"/>
    <w:rsid w:val="00704347"/>
    <w:rsid w:val="0070448F"/>
    <w:rsid w:val="007046BE"/>
    <w:rsid w:val="007046F2"/>
    <w:rsid w:val="00705011"/>
    <w:rsid w:val="0070504B"/>
    <w:rsid w:val="00705542"/>
    <w:rsid w:val="00706487"/>
    <w:rsid w:val="00706827"/>
    <w:rsid w:val="007068C9"/>
    <w:rsid w:val="00706F8F"/>
    <w:rsid w:val="00707205"/>
    <w:rsid w:val="007072BB"/>
    <w:rsid w:val="007073DB"/>
    <w:rsid w:val="00707BD1"/>
    <w:rsid w:val="00707CA4"/>
    <w:rsid w:val="00707E36"/>
    <w:rsid w:val="0071021C"/>
    <w:rsid w:val="0071048B"/>
    <w:rsid w:val="007105CB"/>
    <w:rsid w:val="00710661"/>
    <w:rsid w:val="00710770"/>
    <w:rsid w:val="00710E26"/>
    <w:rsid w:val="00710FFF"/>
    <w:rsid w:val="007110AC"/>
    <w:rsid w:val="007110C0"/>
    <w:rsid w:val="007112E5"/>
    <w:rsid w:val="00711573"/>
    <w:rsid w:val="007116B5"/>
    <w:rsid w:val="00711845"/>
    <w:rsid w:val="007119DD"/>
    <w:rsid w:val="00711A36"/>
    <w:rsid w:val="00711AD2"/>
    <w:rsid w:val="00712137"/>
    <w:rsid w:val="00712315"/>
    <w:rsid w:val="00712927"/>
    <w:rsid w:val="00712B76"/>
    <w:rsid w:val="00712C24"/>
    <w:rsid w:val="0071308E"/>
    <w:rsid w:val="00713333"/>
    <w:rsid w:val="007133B6"/>
    <w:rsid w:val="007135F2"/>
    <w:rsid w:val="00714258"/>
    <w:rsid w:val="0071489C"/>
    <w:rsid w:val="00714C34"/>
    <w:rsid w:val="0071504B"/>
    <w:rsid w:val="007150F6"/>
    <w:rsid w:val="007157EF"/>
    <w:rsid w:val="00715BDB"/>
    <w:rsid w:val="00715D23"/>
    <w:rsid w:val="00715E07"/>
    <w:rsid w:val="00716338"/>
    <w:rsid w:val="0071640E"/>
    <w:rsid w:val="007164D5"/>
    <w:rsid w:val="00716520"/>
    <w:rsid w:val="00716D4C"/>
    <w:rsid w:val="00717158"/>
    <w:rsid w:val="00717237"/>
    <w:rsid w:val="007173BD"/>
    <w:rsid w:val="00717432"/>
    <w:rsid w:val="0071760B"/>
    <w:rsid w:val="00717704"/>
    <w:rsid w:val="007177AE"/>
    <w:rsid w:val="0071795A"/>
    <w:rsid w:val="007204FA"/>
    <w:rsid w:val="007208DA"/>
    <w:rsid w:val="007209B6"/>
    <w:rsid w:val="00720C57"/>
    <w:rsid w:val="00720C74"/>
    <w:rsid w:val="00720D56"/>
    <w:rsid w:val="00721073"/>
    <w:rsid w:val="00721347"/>
    <w:rsid w:val="0072150D"/>
    <w:rsid w:val="00721B48"/>
    <w:rsid w:val="00721C9B"/>
    <w:rsid w:val="00721F8F"/>
    <w:rsid w:val="00722239"/>
    <w:rsid w:val="007222F5"/>
    <w:rsid w:val="00722562"/>
    <w:rsid w:val="00722862"/>
    <w:rsid w:val="00722DBE"/>
    <w:rsid w:val="007238BE"/>
    <w:rsid w:val="00723C21"/>
    <w:rsid w:val="00723C30"/>
    <w:rsid w:val="00723CCB"/>
    <w:rsid w:val="00723F78"/>
    <w:rsid w:val="00724007"/>
    <w:rsid w:val="007244F5"/>
    <w:rsid w:val="00724877"/>
    <w:rsid w:val="00724F32"/>
    <w:rsid w:val="007255B2"/>
    <w:rsid w:val="00725805"/>
    <w:rsid w:val="007259C5"/>
    <w:rsid w:val="00726532"/>
    <w:rsid w:val="00726652"/>
    <w:rsid w:val="00726B79"/>
    <w:rsid w:val="0072710D"/>
    <w:rsid w:val="007271E5"/>
    <w:rsid w:val="00727404"/>
    <w:rsid w:val="007308C3"/>
    <w:rsid w:val="0073096D"/>
    <w:rsid w:val="00730C55"/>
    <w:rsid w:val="00731247"/>
    <w:rsid w:val="00731352"/>
    <w:rsid w:val="007313B6"/>
    <w:rsid w:val="007314FB"/>
    <w:rsid w:val="00731A16"/>
    <w:rsid w:val="00731E9A"/>
    <w:rsid w:val="00732DBA"/>
    <w:rsid w:val="00733153"/>
    <w:rsid w:val="007332D3"/>
    <w:rsid w:val="00733580"/>
    <w:rsid w:val="00733582"/>
    <w:rsid w:val="00733642"/>
    <w:rsid w:val="007337BA"/>
    <w:rsid w:val="0073417D"/>
    <w:rsid w:val="007341CC"/>
    <w:rsid w:val="007341EF"/>
    <w:rsid w:val="00734210"/>
    <w:rsid w:val="007345E8"/>
    <w:rsid w:val="007347F0"/>
    <w:rsid w:val="0073504B"/>
    <w:rsid w:val="0073539E"/>
    <w:rsid w:val="007354B1"/>
    <w:rsid w:val="007356C2"/>
    <w:rsid w:val="00735A89"/>
    <w:rsid w:val="00735AC7"/>
    <w:rsid w:val="00735ED1"/>
    <w:rsid w:val="00736679"/>
    <w:rsid w:val="007367AB"/>
    <w:rsid w:val="00736946"/>
    <w:rsid w:val="0073697D"/>
    <w:rsid w:val="00736E5E"/>
    <w:rsid w:val="00737812"/>
    <w:rsid w:val="00737F83"/>
    <w:rsid w:val="00740258"/>
    <w:rsid w:val="007403BB"/>
    <w:rsid w:val="0074063A"/>
    <w:rsid w:val="00740D12"/>
    <w:rsid w:val="00740D1D"/>
    <w:rsid w:val="00740D99"/>
    <w:rsid w:val="00741761"/>
    <w:rsid w:val="00742660"/>
    <w:rsid w:val="0074278D"/>
    <w:rsid w:val="00742872"/>
    <w:rsid w:val="007428A6"/>
    <w:rsid w:val="00742F4C"/>
    <w:rsid w:val="007433A8"/>
    <w:rsid w:val="00743BA0"/>
    <w:rsid w:val="00743D22"/>
    <w:rsid w:val="00743D7E"/>
    <w:rsid w:val="007440B2"/>
    <w:rsid w:val="00744BF8"/>
    <w:rsid w:val="00744C1A"/>
    <w:rsid w:val="00744FCF"/>
    <w:rsid w:val="00745283"/>
    <w:rsid w:val="00745354"/>
    <w:rsid w:val="00745698"/>
    <w:rsid w:val="00745727"/>
    <w:rsid w:val="00745844"/>
    <w:rsid w:val="00745C19"/>
    <w:rsid w:val="0074649E"/>
    <w:rsid w:val="00746705"/>
    <w:rsid w:val="00746E22"/>
    <w:rsid w:val="00747EEC"/>
    <w:rsid w:val="00750275"/>
    <w:rsid w:val="0075047A"/>
    <w:rsid w:val="00750502"/>
    <w:rsid w:val="0075059C"/>
    <w:rsid w:val="007508D2"/>
    <w:rsid w:val="00750FA5"/>
    <w:rsid w:val="007512D0"/>
    <w:rsid w:val="007513D7"/>
    <w:rsid w:val="007514A8"/>
    <w:rsid w:val="00751F30"/>
    <w:rsid w:val="0075238A"/>
    <w:rsid w:val="00752392"/>
    <w:rsid w:val="00752703"/>
    <w:rsid w:val="00752899"/>
    <w:rsid w:val="007528A9"/>
    <w:rsid w:val="00752D54"/>
    <w:rsid w:val="00752D98"/>
    <w:rsid w:val="00752F1E"/>
    <w:rsid w:val="007533F8"/>
    <w:rsid w:val="007537C3"/>
    <w:rsid w:val="00753A3D"/>
    <w:rsid w:val="00754581"/>
    <w:rsid w:val="007547D0"/>
    <w:rsid w:val="00754A07"/>
    <w:rsid w:val="00754BAF"/>
    <w:rsid w:val="00754F37"/>
    <w:rsid w:val="00755ACA"/>
    <w:rsid w:val="00755E60"/>
    <w:rsid w:val="0075630B"/>
    <w:rsid w:val="0075639F"/>
    <w:rsid w:val="00756497"/>
    <w:rsid w:val="0075689E"/>
    <w:rsid w:val="007568A1"/>
    <w:rsid w:val="0075695B"/>
    <w:rsid w:val="00756CA9"/>
    <w:rsid w:val="00757024"/>
    <w:rsid w:val="00757055"/>
    <w:rsid w:val="007574B1"/>
    <w:rsid w:val="00760285"/>
    <w:rsid w:val="00760655"/>
    <w:rsid w:val="00760678"/>
    <w:rsid w:val="00760A5C"/>
    <w:rsid w:val="0076169B"/>
    <w:rsid w:val="00761874"/>
    <w:rsid w:val="00761BF7"/>
    <w:rsid w:val="00761CC8"/>
    <w:rsid w:val="00761D0A"/>
    <w:rsid w:val="00762974"/>
    <w:rsid w:val="00762CE7"/>
    <w:rsid w:val="0076334B"/>
    <w:rsid w:val="0076359F"/>
    <w:rsid w:val="0076399E"/>
    <w:rsid w:val="00763E5E"/>
    <w:rsid w:val="00764696"/>
    <w:rsid w:val="00764E9F"/>
    <w:rsid w:val="00765675"/>
    <w:rsid w:val="0076567B"/>
    <w:rsid w:val="0076582C"/>
    <w:rsid w:val="007658EF"/>
    <w:rsid w:val="00765F87"/>
    <w:rsid w:val="0076611E"/>
    <w:rsid w:val="007666AE"/>
    <w:rsid w:val="00766881"/>
    <w:rsid w:val="00766891"/>
    <w:rsid w:val="00766B91"/>
    <w:rsid w:val="00766FEB"/>
    <w:rsid w:val="0076772C"/>
    <w:rsid w:val="00767861"/>
    <w:rsid w:val="007678AD"/>
    <w:rsid w:val="00767958"/>
    <w:rsid w:val="00767BEE"/>
    <w:rsid w:val="00767C7D"/>
    <w:rsid w:val="00767D8A"/>
    <w:rsid w:val="00770176"/>
    <w:rsid w:val="007701C0"/>
    <w:rsid w:val="00770853"/>
    <w:rsid w:val="00770969"/>
    <w:rsid w:val="00770E79"/>
    <w:rsid w:val="00771258"/>
    <w:rsid w:val="0077161B"/>
    <w:rsid w:val="007717AB"/>
    <w:rsid w:val="00771892"/>
    <w:rsid w:val="00771AC1"/>
    <w:rsid w:val="00771E1A"/>
    <w:rsid w:val="00771EF7"/>
    <w:rsid w:val="00771F2B"/>
    <w:rsid w:val="00772500"/>
    <w:rsid w:val="007726D3"/>
    <w:rsid w:val="00772E9C"/>
    <w:rsid w:val="00772ECA"/>
    <w:rsid w:val="00773140"/>
    <w:rsid w:val="007732D4"/>
    <w:rsid w:val="00773483"/>
    <w:rsid w:val="007734FE"/>
    <w:rsid w:val="00773548"/>
    <w:rsid w:val="00773832"/>
    <w:rsid w:val="0077385F"/>
    <w:rsid w:val="007739DD"/>
    <w:rsid w:val="00773A54"/>
    <w:rsid w:val="0077416B"/>
    <w:rsid w:val="00774F4C"/>
    <w:rsid w:val="00774F8E"/>
    <w:rsid w:val="00775307"/>
    <w:rsid w:val="00775B9D"/>
    <w:rsid w:val="00776B79"/>
    <w:rsid w:val="00776C41"/>
    <w:rsid w:val="00776E3A"/>
    <w:rsid w:val="007774C0"/>
    <w:rsid w:val="007774C9"/>
    <w:rsid w:val="007777B8"/>
    <w:rsid w:val="00777B03"/>
    <w:rsid w:val="00780107"/>
    <w:rsid w:val="00780159"/>
    <w:rsid w:val="007801F1"/>
    <w:rsid w:val="007803D3"/>
    <w:rsid w:val="0078041A"/>
    <w:rsid w:val="00780595"/>
    <w:rsid w:val="0078071C"/>
    <w:rsid w:val="00781544"/>
    <w:rsid w:val="0078185C"/>
    <w:rsid w:val="00781A59"/>
    <w:rsid w:val="00781C5B"/>
    <w:rsid w:val="00782368"/>
    <w:rsid w:val="00782840"/>
    <w:rsid w:val="00782A32"/>
    <w:rsid w:val="00782E22"/>
    <w:rsid w:val="00782F98"/>
    <w:rsid w:val="0078333C"/>
    <w:rsid w:val="007835A7"/>
    <w:rsid w:val="00783F92"/>
    <w:rsid w:val="00784BE3"/>
    <w:rsid w:val="00784DC1"/>
    <w:rsid w:val="007853A6"/>
    <w:rsid w:val="00785548"/>
    <w:rsid w:val="007860EE"/>
    <w:rsid w:val="007861AB"/>
    <w:rsid w:val="00786252"/>
    <w:rsid w:val="00786767"/>
    <w:rsid w:val="0078687B"/>
    <w:rsid w:val="00786E10"/>
    <w:rsid w:val="00786E1D"/>
    <w:rsid w:val="00786FDF"/>
    <w:rsid w:val="00787293"/>
    <w:rsid w:val="0078733D"/>
    <w:rsid w:val="0078764E"/>
    <w:rsid w:val="007876C4"/>
    <w:rsid w:val="00787ADA"/>
    <w:rsid w:val="00787D59"/>
    <w:rsid w:val="00787E7F"/>
    <w:rsid w:val="00787F56"/>
    <w:rsid w:val="00790034"/>
    <w:rsid w:val="007900C4"/>
    <w:rsid w:val="007902C8"/>
    <w:rsid w:val="00790367"/>
    <w:rsid w:val="00790902"/>
    <w:rsid w:val="00790E5A"/>
    <w:rsid w:val="00791199"/>
    <w:rsid w:val="00791255"/>
    <w:rsid w:val="00791383"/>
    <w:rsid w:val="007914CC"/>
    <w:rsid w:val="00791559"/>
    <w:rsid w:val="00791A78"/>
    <w:rsid w:val="00791B66"/>
    <w:rsid w:val="00791C7A"/>
    <w:rsid w:val="00791F3C"/>
    <w:rsid w:val="00792754"/>
    <w:rsid w:val="00792790"/>
    <w:rsid w:val="0079291C"/>
    <w:rsid w:val="00792DC9"/>
    <w:rsid w:val="00793186"/>
    <w:rsid w:val="007933D8"/>
    <w:rsid w:val="00793CF3"/>
    <w:rsid w:val="00793F84"/>
    <w:rsid w:val="0079497E"/>
    <w:rsid w:val="00794BC4"/>
    <w:rsid w:val="00794E16"/>
    <w:rsid w:val="00795AA8"/>
    <w:rsid w:val="0079676C"/>
    <w:rsid w:val="00796963"/>
    <w:rsid w:val="0079726A"/>
    <w:rsid w:val="00797E7C"/>
    <w:rsid w:val="007A013D"/>
    <w:rsid w:val="007A077E"/>
    <w:rsid w:val="007A08EE"/>
    <w:rsid w:val="007A09D0"/>
    <w:rsid w:val="007A16DC"/>
    <w:rsid w:val="007A1897"/>
    <w:rsid w:val="007A1925"/>
    <w:rsid w:val="007A1AF6"/>
    <w:rsid w:val="007A1B03"/>
    <w:rsid w:val="007A20AB"/>
    <w:rsid w:val="007A22E5"/>
    <w:rsid w:val="007A263B"/>
    <w:rsid w:val="007A26E6"/>
    <w:rsid w:val="007A28FE"/>
    <w:rsid w:val="007A2989"/>
    <w:rsid w:val="007A2FE6"/>
    <w:rsid w:val="007A334A"/>
    <w:rsid w:val="007A3FBB"/>
    <w:rsid w:val="007A42E8"/>
    <w:rsid w:val="007A44D8"/>
    <w:rsid w:val="007A45DB"/>
    <w:rsid w:val="007A5421"/>
    <w:rsid w:val="007A544D"/>
    <w:rsid w:val="007A5D81"/>
    <w:rsid w:val="007A5E76"/>
    <w:rsid w:val="007A5F86"/>
    <w:rsid w:val="007A61E5"/>
    <w:rsid w:val="007A63FF"/>
    <w:rsid w:val="007A7452"/>
    <w:rsid w:val="007A7843"/>
    <w:rsid w:val="007A7AE1"/>
    <w:rsid w:val="007A7BCA"/>
    <w:rsid w:val="007B0131"/>
    <w:rsid w:val="007B015F"/>
    <w:rsid w:val="007B035F"/>
    <w:rsid w:val="007B03FE"/>
    <w:rsid w:val="007B0583"/>
    <w:rsid w:val="007B09D2"/>
    <w:rsid w:val="007B0CE6"/>
    <w:rsid w:val="007B0DA7"/>
    <w:rsid w:val="007B11AD"/>
    <w:rsid w:val="007B131A"/>
    <w:rsid w:val="007B1B20"/>
    <w:rsid w:val="007B1C81"/>
    <w:rsid w:val="007B1D8D"/>
    <w:rsid w:val="007B24D9"/>
    <w:rsid w:val="007B25CB"/>
    <w:rsid w:val="007B29A2"/>
    <w:rsid w:val="007B306A"/>
    <w:rsid w:val="007B3160"/>
    <w:rsid w:val="007B3341"/>
    <w:rsid w:val="007B355D"/>
    <w:rsid w:val="007B3AFC"/>
    <w:rsid w:val="007B5110"/>
    <w:rsid w:val="007B5134"/>
    <w:rsid w:val="007B53A3"/>
    <w:rsid w:val="007B566F"/>
    <w:rsid w:val="007B596F"/>
    <w:rsid w:val="007B5EF3"/>
    <w:rsid w:val="007B5FF2"/>
    <w:rsid w:val="007B6133"/>
    <w:rsid w:val="007B629A"/>
    <w:rsid w:val="007B6452"/>
    <w:rsid w:val="007B68C5"/>
    <w:rsid w:val="007B6B76"/>
    <w:rsid w:val="007B6CD5"/>
    <w:rsid w:val="007B6E81"/>
    <w:rsid w:val="007B7168"/>
    <w:rsid w:val="007B718C"/>
    <w:rsid w:val="007B74F1"/>
    <w:rsid w:val="007C00FC"/>
    <w:rsid w:val="007C03E4"/>
    <w:rsid w:val="007C051A"/>
    <w:rsid w:val="007C0B82"/>
    <w:rsid w:val="007C0CF7"/>
    <w:rsid w:val="007C17D6"/>
    <w:rsid w:val="007C17FA"/>
    <w:rsid w:val="007C1B6B"/>
    <w:rsid w:val="007C228C"/>
    <w:rsid w:val="007C23F3"/>
    <w:rsid w:val="007C27CF"/>
    <w:rsid w:val="007C3506"/>
    <w:rsid w:val="007C361A"/>
    <w:rsid w:val="007C378A"/>
    <w:rsid w:val="007C39DA"/>
    <w:rsid w:val="007C3B43"/>
    <w:rsid w:val="007C3F02"/>
    <w:rsid w:val="007C4328"/>
    <w:rsid w:val="007C453A"/>
    <w:rsid w:val="007C47AE"/>
    <w:rsid w:val="007C4A12"/>
    <w:rsid w:val="007C4E55"/>
    <w:rsid w:val="007C4E7F"/>
    <w:rsid w:val="007C56EA"/>
    <w:rsid w:val="007C5DFE"/>
    <w:rsid w:val="007C63B2"/>
    <w:rsid w:val="007C6550"/>
    <w:rsid w:val="007C7074"/>
    <w:rsid w:val="007C742B"/>
    <w:rsid w:val="007C7C2C"/>
    <w:rsid w:val="007D0045"/>
    <w:rsid w:val="007D03F7"/>
    <w:rsid w:val="007D052A"/>
    <w:rsid w:val="007D0941"/>
    <w:rsid w:val="007D0A1E"/>
    <w:rsid w:val="007D1087"/>
    <w:rsid w:val="007D132A"/>
    <w:rsid w:val="007D13AD"/>
    <w:rsid w:val="007D15FF"/>
    <w:rsid w:val="007D1C36"/>
    <w:rsid w:val="007D2034"/>
    <w:rsid w:val="007D220F"/>
    <w:rsid w:val="007D297B"/>
    <w:rsid w:val="007D2AFC"/>
    <w:rsid w:val="007D2C20"/>
    <w:rsid w:val="007D308D"/>
    <w:rsid w:val="007D30E7"/>
    <w:rsid w:val="007D3DB2"/>
    <w:rsid w:val="007D43ED"/>
    <w:rsid w:val="007D4620"/>
    <w:rsid w:val="007D468F"/>
    <w:rsid w:val="007D4867"/>
    <w:rsid w:val="007D4BA6"/>
    <w:rsid w:val="007D500C"/>
    <w:rsid w:val="007D567F"/>
    <w:rsid w:val="007D5B3B"/>
    <w:rsid w:val="007D5BCA"/>
    <w:rsid w:val="007D68AF"/>
    <w:rsid w:val="007D6C94"/>
    <w:rsid w:val="007D71B5"/>
    <w:rsid w:val="007D7E6A"/>
    <w:rsid w:val="007D7F3E"/>
    <w:rsid w:val="007E025C"/>
    <w:rsid w:val="007E038D"/>
    <w:rsid w:val="007E1441"/>
    <w:rsid w:val="007E1636"/>
    <w:rsid w:val="007E1D4F"/>
    <w:rsid w:val="007E2299"/>
    <w:rsid w:val="007E2F63"/>
    <w:rsid w:val="007E353A"/>
    <w:rsid w:val="007E39BE"/>
    <w:rsid w:val="007E43E0"/>
    <w:rsid w:val="007E48B1"/>
    <w:rsid w:val="007E4D8F"/>
    <w:rsid w:val="007E5323"/>
    <w:rsid w:val="007E532F"/>
    <w:rsid w:val="007E5414"/>
    <w:rsid w:val="007E57DD"/>
    <w:rsid w:val="007E5B46"/>
    <w:rsid w:val="007E5B5D"/>
    <w:rsid w:val="007E5D23"/>
    <w:rsid w:val="007E5D69"/>
    <w:rsid w:val="007E62C5"/>
    <w:rsid w:val="007E659A"/>
    <w:rsid w:val="007E69FD"/>
    <w:rsid w:val="007E6E27"/>
    <w:rsid w:val="007E7360"/>
    <w:rsid w:val="007E7642"/>
    <w:rsid w:val="007F009A"/>
    <w:rsid w:val="007F00EC"/>
    <w:rsid w:val="007F0130"/>
    <w:rsid w:val="007F014D"/>
    <w:rsid w:val="007F02C0"/>
    <w:rsid w:val="007F02FC"/>
    <w:rsid w:val="007F0396"/>
    <w:rsid w:val="007F075E"/>
    <w:rsid w:val="007F114E"/>
    <w:rsid w:val="007F1CD4"/>
    <w:rsid w:val="007F21E6"/>
    <w:rsid w:val="007F2C8D"/>
    <w:rsid w:val="007F2CDE"/>
    <w:rsid w:val="007F2E2B"/>
    <w:rsid w:val="007F2E5C"/>
    <w:rsid w:val="007F32F2"/>
    <w:rsid w:val="007F33CA"/>
    <w:rsid w:val="007F39D8"/>
    <w:rsid w:val="007F3C3D"/>
    <w:rsid w:val="007F3C5D"/>
    <w:rsid w:val="007F444D"/>
    <w:rsid w:val="007F4562"/>
    <w:rsid w:val="007F469F"/>
    <w:rsid w:val="007F4AD6"/>
    <w:rsid w:val="007F4EF6"/>
    <w:rsid w:val="007F51E1"/>
    <w:rsid w:val="007F5570"/>
    <w:rsid w:val="007F5863"/>
    <w:rsid w:val="007F65BF"/>
    <w:rsid w:val="007F6C57"/>
    <w:rsid w:val="007F6F88"/>
    <w:rsid w:val="007F73B2"/>
    <w:rsid w:val="007F75AB"/>
    <w:rsid w:val="007F7828"/>
    <w:rsid w:val="007F7895"/>
    <w:rsid w:val="007F7AC9"/>
    <w:rsid w:val="007F7FFA"/>
    <w:rsid w:val="00800230"/>
    <w:rsid w:val="008011DB"/>
    <w:rsid w:val="008013F4"/>
    <w:rsid w:val="00801879"/>
    <w:rsid w:val="00801E74"/>
    <w:rsid w:val="00801EF1"/>
    <w:rsid w:val="008020CC"/>
    <w:rsid w:val="008021DA"/>
    <w:rsid w:val="0080256C"/>
    <w:rsid w:val="008026EF"/>
    <w:rsid w:val="0080349D"/>
    <w:rsid w:val="008038FF"/>
    <w:rsid w:val="00803989"/>
    <w:rsid w:val="008039A6"/>
    <w:rsid w:val="00803C43"/>
    <w:rsid w:val="0080413D"/>
    <w:rsid w:val="0080417F"/>
    <w:rsid w:val="00804E0D"/>
    <w:rsid w:val="00804E59"/>
    <w:rsid w:val="00805371"/>
    <w:rsid w:val="00805A1F"/>
    <w:rsid w:val="00806153"/>
    <w:rsid w:val="008066A9"/>
    <w:rsid w:val="008068D0"/>
    <w:rsid w:val="00806A5C"/>
    <w:rsid w:val="0080708F"/>
    <w:rsid w:val="008070C0"/>
    <w:rsid w:val="008070FD"/>
    <w:rsid w:val="008072BC"/>
    <w:rsid w:val="008073AF"/>
    <w:rsid w:val="00807B62"/>
    <w:rsid w:val="00807E2D"/>
    <w:rsid w:val="00810693"/>
    <w:rsid w:val="0081081E"/>
    <w:rsid w:val="00811A2B"/>
    <w:rsid w:val="00811D3A"/>
    <w:rsid w:val="00812A23"/>
    <w:rsid w:val="00812A37"/>
    <w:rsid w:val="00812B24"/>
    <w:rsid w:val="0081307B"/>
    <w:rsid w:val="00813399"/>
    <w:rsid w:val="00813C60"/>
    <w:rsid w:val="00813D84"/>
    <w:rsid w:val="00813F48"/>
    <w:rsid w:val="00814252"/>
    <w:rsid w:val="00814950"/>
    <w:rsid w:val="00814EC4"/>
    <w:rsid w:val="00815D2D"/>
    <w:rsid w:val="00815EEB"/>
    <w:rsid w:val="00815F18"/>
    <w:rsid w:val="008161BB"/>
    <w:rsid w:val="008165F7"/>
    <w:rsid w:val="008168CF"/>
    <w:rsid w:val="00816C9F"/>
    <w:rsid w:val="00816F7A"/>
    <w:rsid w:val="008178A9"/>
    <w:rsid w:val="00817BCE"/>
    <w:rsid w:val="0082076D"/>
    <w:rsid w:val="008207D6"/>
    <w:rsid w:val="00820B95"/>
    <w:rsid w:val="008214B2"/>
    <w:rsid w:val="00821727"/>
    <w:rsid w:val="008218C0"/>
    <w:rsid w:val="00821FA9"/>
    <w:rsid w:val="00822054"/>
    <w:rsid w:val="0082268B"/>
    <w:rsid w:val="00822B9C"/>
    <w:rsid w:val="00822DB1"/>
    <w:rsid w:val="00823DBE"/>
    <w:rsid w:val="00823F78"/>
    <w:rsid w:val="0082418E"/>
    <w:rsid w:val="00824608"/>
    <w:rsid w:val="00824959"/>
    <w:rsid w:val="00824F2F"/>
    <w:rsid w:val="00825029"/>
    <w:rsid w:val="008250A9"/>
    <w:rsid w:val="008251CE"/>
    <w:rsid w:val="0082568D"/>
    <w:rsid w:val="008259CB"/>
    <w:rsid w:val="00825B03"/>
    <w:rsid w:val="008268A4"/>
    <w:rsid w:val="0082734A"/>
    <w:rsid w:val="00827733"/>
    <w:rsid w:val="0082795E"/>
    <w:rsid w:val="00827B0A"/>
    <w:rsid w:val="0083039A"/>
    <w:rsid w:val="008303E2"/>
    <w:rsid w:val="00830EB6"/>
    <w:rsid w:val="00831433"/>
    <w:rsid w:val="00831473"/>
    <w:rsid w:val="00831989"/>
    <w:rsid w:val="00831AA0"/>
    <w:rsid w:val="00831D15"/>
    <w:rsid w:val="00832149"/>
    <w:rsid w:val="00832483"/>
    <w:rsid w:val="0083285B"/>
    <w:rsid w:val="00832EAF"/>
    <w:rsid w:val="00833094"/>
    <w:rsid w:val="008332E9"/>
    <w:rsid w:val="00833775"/>
    <w:rsid w:val="0083379C"/>
    <w:rsid w:val="00833B9B"/>
    <w:rsid w:val="00833D09"/>
    <w:rsid w:val="0083450A"/>
    <w:rsid w:val="0083475E"/>
    <w:rsid w:val="00834BFC"/>
    <w:rsid w:val="00834DEE"/>
    <w:rsid w:val="00835160"/>
    <w:rsid w:val="008352E2"/>
    <w:rsid w:val="00835521"/>
    <w:rsid w:val="008355A5"/>
    <w:rsid w:val="008356FD"/>
    <w:rsid w:val="00835ECD"/>
    <w:rsid w:val="0083638A"/>
    <w:rsid w:val="0083656F"/>
    <w:rsid w:val="008366D7"/>
    <w:rsid w:val="00836EE7"/>
    <w:rsid w:val="00836F15"/>
    <w:rsid w:val="008370FD"/>
    <w:rsid w:val="008372B5"/>
    <w:rsid w:val="008379A5"/>
    <w:rsid w:val="00840071"/>
    <w:rsid w:val="008406F1"/>
    <w:rsid w:val="008407D7"/>
    <w:rsid w:val="0084080C"/>
    <w:rsid w:val="00840ADD"/>
    <w:rsid w:val="00840BD2"/>
    <w:rsid w:val="00840C6F"/>
    <w:rsid w:val="00840D3A"/>
    <w:rsid w:val="00840EBE"/>
    <w:rsid w:val="008411FC"/>
    <w:rsid w:val="008414A2"/>
    <w:rsid w:val="008414CF"/>
    <w:rsid w:val="00841D63"/>
    <w:rsid w:val="00841D9A"/>
    <w:rsid w:val="00841F7E"/>
    <w:rsid w:val="008424B4"/>
    <w:rsid w:val="0084263F"/>
    <w:rsid w:val="0084279A"/>
    <w:rsid w:val="00842931"/>
    <w:rsid w:val="00842F7C"/>
    <w:rsid w:val="008431DC"/>
    <w:rsid w:val="0084320D"/>
    <w:rsid w:val="00843257"/>
    <w:rsid w:val="008433B9"/>
    <w:rsid w:val="00843553"/>
    <w:rsid w:val="00843D12"/>
    <w:rsid w:val="00843FC4"/>
    <w:rsid w:val="008440E2"/>
    <w:rsid w:val="00844677"/>
    <w:rsid w:val="00844733"/>
    <w:rsid w:val="00844759"/>
    <w:rsid w:val="00844963"/>
    <w:rsid w:val="00844A91"/>
    <w:rsid w:val="00844C2C"/>
    <w:rsid w:val="00845268"/>
    <w:rsid w:val="008454CD"/>
    <w:rsid w:val="008462C8"/>
    <w:rsid w:val="0084648F"/>
    <w:rsid w:val="00846666"/>
    <w:rsid w:val="00846777"/>
    <w:rsid w:val="008468A8"/>
    <w:rsid w:val="00846F5B"/>
    <w:rsid w:val="00846F6C"/>
    <w:rsid w:val="008473EB"/>
    <w:rsid w:val="0084740E"/>
    <w:rsid w:val="00847743"/>
    <w:rsid w:val="00847B2F"/>
    <w:rsid w:val="00847BE7"/>
    <w:rsid w:val="00847DA6"/>
    <w:rsid w:val="00847F4B"/>
    <w:rsid w:val="00850001"/>
    <w:rsid w:val="00850217"/>
    <w:rsid w:val="008502F9"/>
    <w:rsid w:val="008503AE"/>
    <w:rsid w:val="008506A2"/>
    <w:rsid w:val="008507FB"/>
    <w:rsid w:val="00850A53"/>
    <w:rsid w:val="00850AD2"/>
    <w:rsid w:val="00850C03"/>
    <w:rsid w:val="00851292"/>
    <w:rsid w:val="008515A1"/>
    <w:rsid w:val="008517D6"/>
    <w:rsid w:val="00851B42"/>
    <w:rsid w:val="00851BD4"/>
    <w:rsid w:val="00851DA8"/>
    <w:rsid w:val="00852083"/>
    <w:rsid w:val="00852D54"/>
    <w:rsid w:val="00853289"/>
    <w:rsid w:val="008536B5"/>
    <w:rsid w:val="008536C9"/>
    <w:rsid w:val="00853E80"/>
    <w:rsid w:val="00853FEC"/>
    <w:rsid w:val="0085402B"/>
    <w:rsid w:val="00854198"/>
    <w:rsid w:val="00854249"/>
    <w:rsid w:val="00854512"/>
    <w:rsid w:val="0085455D"/>
    <w:rsid w:val="008546EB"/>
    <w:rsid w:val="00854C6A"/>
    <w:rsid w:val="00854F50"/>
    <w:rsid w:val="00855760"/>
    <w:rsid w:val="00855A6A"/>
    <w:rsid w:val="00856099"/>
    <w:rsid w:val="008560AB"/>
    <w:rsid w:val="008562FF"/>
    <w:rsid w:val="008566FB"/>
    <w:rsid w:val="00856806"/>
    <w:rsid w:val="0085730C"/>
    <w:rsid w:val="008601EC"/>
    <w:rsid w:val="008606E9"/>
    <w:rsid w:val="00860F31"/>
    <w:rsid w:val="00861CB3"/>
    <w:rsid w:val="008622BC"/>
    <w:rsid w:val="0086269D"/>
    <w:rsid w:val="00862CC5"/>
    <w:rsid w:val="00862DBC"/>
    <w:rsid w:val="00862FEB"/>
    <w:rsid w:val="008635BD"/>
    <w:rsid w:val="00863BF2"/>
    <w:rsid w:val="00863D1C"/>
    <w:rsid w:val="00863E24"/>
    <w:rsid w:val="008640DB"/>
    <w:rsid w:val="00864737"/>
    <w:rsid w:val="00864B00"/>
    <w:rsid w:val="00864C85"/>
    <w:rsid w:val="0086508C"/>
    <w:rsid w:val="008655F2"/>
    <w:rsid w:val="008657C6"/>
    <w:rsid w:val="00865EFF"/>
    <w:rsid w:val="008661D5"/>
    <w:rsid w:val="00866751"/>
    <w:rsid w:val="008669E9"/>
    <w:rsid w:val="00866A4E"/>
    <w:rsid w:val="00866A5C"/>
    <w:rsid w:val="00866ADF"/>
    <w:rsid w:val="00866B13"/>
    <w:rsid w:val="008670F0"/>
    <w:rsid w:val="00867544"/>
    <w:rsid w:val="0086796B"/>
    <w:rsid w:val="0086798A"/>
    <w:rsid w:val="00867EA2"/>
    <w:rsid w:val="00867F9E"/>
    <w:rsid w:val="008707A1"/>
    <w:rsid w:val="00870949"/>
    <w:rsid w:val="0087116E"/>
    <w:rsid w:val="00871650"/>
    <w:rsid w:val="008718FD"/>
    <w:rsid w:val="00871D4C"/>
    <w:rsid w:val="00871E23"/>
    <w:rsid w:val="00871E59"/>
    <w:rsid w:val="00872525"/>
    <w:rsid w:val="00872A10"/>
    <w:rsid w:val="008738E9"/>
    <w:rsid w:val="00873C76"/>
    <w:rsid w:val="00874242"/>
    <w:rsid w:val="0087434D"/>
    <w:rsid w:val="008748A4"/>
    <w:rsid w:val="00874D22"/>
    <w:rsid w:val="00874E7C"/>
    <w:rsid w:val="008757E1"/>
    <w:rsid w:val="00875921"/>
    <w:rsid w:val="008759E3"/>
    <w:rsid w:val="00875A76"/>
    <w:rsid w:val="00875B59"/>
    <w:rsid w:val="00875F9A"/>
    <w:rsid w:val="00875FF7"/>
    <w:rsid w:val="0087667E"/>
    <w:rsid w:val="008767E5"/>
    <w:rsid w:val="00876837"/>
    <w:rsid w:val="00876926"/>
    <w:rsid w:val="008771D2"/>
    <w:rsid w:val="0087773C"/>
    <w:rsid w:val="008778C9"/>
    <w:rsid w:val="00877A96"/>
    <w:rsid w:val="00877D8C"/>
    <w:rsid w:val="00877E09"/>
    <w:rsid w:val="00880030"/>
    <w:rsid w:val="0088017A"/>
    <w:rsid w:val="0088089A"/>
    <w:rsid w:val="008808D8"/>
    <w:rsid w:val="00880D9A"/>
    <w:rsid w:val="00880E5E"/>
    <w:rsid w:val="0088126D"/>
    <w:rsid w:val="0088151D"/>
    <w:rsid w:val="00881ACE"/>
    <w:rsid w:val="00881F41"/>
    <w:rsid w:val="00881F59"/>
    <w:rsid w:val="00882297"/>
    <w:rsid w:val="008822E1"/>
    <w:rsid w:val="008829B0"/>
    <w:rsid w:val="00882A94"/>
    <w:rsid w:val="00882AE3"/>
    <w:rsid w:val="0088355F"/>
    <w:rsid w:val="008837F1"/>
    <w:rsid w:val="00883882"/>
    <w:rsid w:val="00883B46"/>
    <w:rsid w:val="00883C7C"/>
    <w:rsid w:val="00883F29"/>
    <w:rsid w:val="00884702"/>
    <w:rsid w:val="00884A21"/>
    <w:rsid w:val="00884C50"/>
    <w:rsid w:val="00885179"/>
    <w:rsid w:val="0088534A"/>
    <w:rsid w:val="00885924"/>
    <w:rsid w:val="00885AA8"/>
    <w:rsid w:val="00885AF7"/>
    <w:rsid w:val="008863CF"/>
    <w:rsid w:val="00886412"/>
    <w:rsid w:val="00886B07"/>
    <w:rsid w:val="00886E5C"/>
    <w:rsid w:val="00887193"/>
    <w:rsid w:val="008875FE"/>
    <w:rsid w:val="00887894"/>
    <w:rsid w:val="0088795C"/>
    <w:rsid w:val="00887A3C"/>
    <w:rsid w:val="00887ECC"/>
    <w:rsid w:val="008901DE"/>
    <w:rsid w:val="00890607"/>
    <w:rsid w:val="00890ABA"/>
    <w:rsid w:val="00890BD6"/>
    <w:rsid w:val="00891762"/>
    <w:rsid w:val="00891CFE"/>
    <w:rsid w:val="00892136"/>
    <w:rsid w:val="008921F8"/>
    <w:rsid w:val="00892B15"/>
    <w:rsid w:val="008932B1"/>
    <w:rsid w:val="00893355"/>
    <w:rsid w:val="008933E6"/>
    <w:rsid w:val="008934F3"/>
    <w:rsid w:val="0089354A"/>
    <w:rsid w:val="00894178"/>
    <w:rsid w:val="00894229"/>
    <w:rsid w:val="00894596"/>
    <w:rsid w:val="00894959"/>
    <w:rsid w:val="00894FB8"/>
    <w:rsid w:val="00894FDF"/>
    <w:rsid w:val="0089577A"/>
    <w:rsid w:val="00895A8A"/>
    <w:rsid w:val="00895AD8"/>
    <w:rsid w:val="008960DB"/>
    <w:rsid w:val="008961F3"/>
    <w:rsid w:val="0089693D"/>
    <w:rsid w:val="008969DE"/>
    <w:rsid w:val="00896E7B"/>
    <w:rsid w:val="00896F2B"/>
    <w:rsid w:val="008970A2"/>
    <w:rsid w:val="0089712B"/>
    <w:rsid w:val="00897144"/>
    <w:rsid w:val="008977D8"/>
    <w:rsid w:val="008A022D"/>
    <w:rsid w:val="008A09C1"/>
    <w:rsid w:val="008A100A"/>
    <w:rsid w:val="008A132F"/>
    <w:rsid w:val="008A1CE3"/>
    <w:rsid w:val="008A1F35"/>
    <w:rsid w:val="008A2104"/>
    <w:rsid w:val="008A2248"/>
    <w:rsid w:val="008A2413"/>
    <w:rsid w:val="008A241D"/>
    <w:rsid w:val="008A2ED7"/>
    <w:rsid w:val="008A3630"/>
    <w:rsid w:val="008A39DB"/>
    <w:rsid w:val="008A3A27"/>
    <w:rsid w:val="008A3FD6"/>
    <w:rsid w:val="008A41F7"/>
    <w:rsid w:val="008A42AB"/>
    <w:rsid w:val="008A4358"/>
    <w:rsid w:val="008A45EB"/>
    <w:rsid w:val="008A488A"/>
    <w:rsid w:val="008A4D64"/>
    <w:rsid w:val="008A5405"/>
    <w:rsid w:val="008A5660"/>
    <w:rsid w:val="008A59EA"/>
    <w:rsid w:val="008A5F80"/>
    <w:rsid w:val="008A61A7"/>
    <w:rsid w:val="008A7A70"/>
    <w:rsid w:val="008A7B91"/>
    <w:rsid w:val="008B0070"/>
    <w:rsid w:val="008B015B"/>
    <w:rsid w:val="008B01C1"/>
    <w:rsid w:val="008B07B6"/>
    <w:rsid w:val="008B0B4E"/>
    <w:rsid w:val="008B0BF3"/>
    <w:rsid w:val="008B0CA6"/>
    <w:rsid w:val="008B1159"/>
    <w:rsid w:val="008B11A3"/>
    <w:rsid w:val="008B1236"/>
    <w:rsid w:val="008B12EA"/>
    <w:rsid w:val="008B15BE"/>
    <w:rsid w:val="008B162E"/>
    <w:rsid w:val="008B252C"/>
    <w:rsid w:val="008B2804"/>
    <w:rsid w:val="008B2EB2"/>
    <w:rsid w:val="008B31B8"/>
    <w:rsid w:val="008B3278"/>
    <w:rsid w:val="008B352B"/>
    <w:rsid w:val="008B3909"/>
    <w:rsid w:val="008B3EBE"/>
    <w:rsid w:val="008B440F"/>
    <w:rsid w:val="008B48C2"/>
    <w:rsid w:val="008B4CB5"/>
    <w:rsid w:val="008B4EEC"/>
    <w:rsid w:val="008B54AF"/>
    <w:rsid w:val="008B5528"/>
    <w:rsid w:val="008B5995"/>
    <w:rsid w:val="008B5C1E"/>
    <w:rsid w:val="008B5D7E"/>
    <w:rsid w:val="008B5F22"/>
    <w:rsid w:val="008B5FA5"/>
    <w:rsid w:val="008B70FB"/>
    <w:rsid w:val="008B718B"/>
    <w:rsid w:val="008B78EA"/>
    <w:rsid w:val="008B7BC1"/>
    <w:rsid w:val="008B7DDF"/>
    <w:rsid w:val="008B7F6D"/>
    <w:rsid w:val="008C05A8"/>
    <w:rsid w:val="008C0632"/>
    <w:rsid w:val="008C0BC2"/>
    <w:rsid w:val="008C0EEE"/>
    <w:rsid w:val="008C10BC"/>
    <w:rsid w:val="008C13D2"/>
    <w:rsid w:val="008C16B2"/>
    <w:rsid w:val="008C1A68"/>
    <w:rsid w:val="008C1C7C"/>
    <w:rsid w:val="008C1D57"/>
    <w:rsid w:val="008C1FAB"/>
    <w:rsid w:val="008C20C1"/>
    <w:rsid w:val="008C2C5C"/>
    <w:rsid w:val="008C2D4F"/>
    <w:rsid w:val="008C305E"/>
    <w:rsid w:val="008C3202"/>
    <w:rsid w:val="008C369F"/>
    <w:rsid w:val="008C4089"/>
    <w:rsid w:val="008C420A"/>
    <w:rsid w:val="008C4404"/>
    <w:rsid w:val="008C45D2"/>
    <w:rsid w:val="008C4935"/>
    <w:rsid w:val="008C499C"/>
    <w:rsid w:val="008C4BB5"/>
    <w:rsid w:val="008C4D03"/>
    <w:rsid w:val="008C5007"/>
    <w:rsid w:val="008C51F0"/>
    <w:rsid w:val="008C53F0"/>
    <w:rsid w:val="008C5545"/>
    <w:rsid w:val="008C55A2"/>
    <w:rsid w:val="008C5746"/>
    <w:rsid w:val="008C5B02"/>
    <w:rsid w:val="008C5C4B"/>
    <w:rsid w:val="008C5D79"/>
    <w:rsid w:val="008C5F02"/>
    <w:rsid w:val="008C6343"/>
    <w:rsid w:val="008C6348"/>
    <w:rsid w:val="008C6942"/>
    <w:rsid w:val="008C69EC"/>
    <w:rsid w:val="008C6ACD"/>
    <w:rsid w:val="008C788B"/>
    <w:rsid w:val="008C7949"/>
    <w:rsid w:val="008C7E49"/>
    <w:rsid w:val="008C7E4A"/>
    <w:rsid w:val="008C7FE9"/>
    <w:rsid w:val="008D056A"/>
    <w:rsid w:val="008D1193"/>
    <w:rsid w:val="008D1333"/>
    <w:rsid w:val="008D1A6B"/>
    <w:rsid w:val="008D1C17"/>
    <w:rsid w:val="008D1EF2"/>
    <w:rsid w:val="008D22AF"/>
    <w:rsid w:val="008D23F7"/>
    <w:rsid w:val="008D2913"/>
    <w:rsid w:val="008D2FBA"/>
    <w:rsid w:val="008D335E"/>
    <w:rsid w:val="008D351C"/>
    <w:rsid w:val="008D3785"/>
    <w:rsid w:val="008D379B"/>
    <w:rsid w:val="008D395C"/>
    <w:rsid w:val="008D399A"/>
    <w:rsid w:val="008D4535"/>
    <w:rsid w:val="008D4847"/>
    <w:rsid w:val="008D4C46"/>
    <w:rsid w:val="008D5C58"/>
    <w:rsid w:val="008D5DA1"/>
    <w:rsid w:val="008D6182"/>
    <w:rsid w:val="008D63AA"/>
    <w:rsid w:val="008D6E70"/>
    <w:rsid w:val="008D79CB"/>
    <w:rsid w:val="008D7A41"/>
    <w:rsid w:val="008D7AE5"/>
    <w:rsid w:val="008D7E66"/>
    <w:rsid w:val="008D7F95"/>
    <w:rsid w:val="008E0059"/>
    <w:rsid w:val="008E01EC"/>
    <w:rsid w:val="008E022A"/>
    <w:rsid w:val="008E0CF5"/>
    <w:rsid w:val="008E1043"/>
    <w:rsid w:val="008E1658"/>
    <w:rsid w:val="008E17B0"/>
    <w:rsid w:val="008E18C8"/>
    <w:rsid w:val="008E1985"/>
    <w:rsid w:val="008E26BE"/>
    <w:rsid w:val="008E290E"/>
    <w:rsid w:val="008E3324"/>
    <w:rsid w:val="008E36A9"/>
    <w:rsid w:val="008E3FF2"/>
    <w:rsid w:val="008E40C6"/>
    <w:rsid w:val="008E44D1"/>
    <w:rsid w:val="008E49A9"/>
    <w:rsid w:val="008E4B49"/>
    <w:rsid w:val="008E4B5A"/>
    <w:rsid w:val="008E5180"/>
    <w:rsid w:val="008E5501"/>
    <w:rsid w:val="008E5638"/>
    <w:rsid w:val="008E5ACD"/>
    <w:rsid w:val="008E5D33"/>
    <w:rsid w:val="008E5F0D"/>
    <w:rsid w:val="008E5F62"/>
    <w:rsid w:val="008E6314"/>
    <w:rsid w:val="008E65C2"/>
    <w:rsid w:val="008E6BB0"/>
    <w:rsid w:val="008E6C24"/>
    <w:rsid w:val="008E6D54"/>
    <w:rsid w:val="008E6D73"/>
    <w:rsid w:val="008E6DCD"/>
    <w:rsid w:val="008E6E22"/>
    <w:rsid w:val="008E6FA5"/>
    <w:rsid w:val="008E7383"/>
    <w:rsid w:val="008E76D5"/>
    <w:rsid w:val="008E79AE"/>
    <w:rsid w:val="008E7A67"/>
    <w:rsid w:val="008E7ABE"/>
    <w:rsid w:val="008F0061"/>
    <w:rsid w:val="008F033C"/>
    <w:rsid w:val="008F03BC"/>
    <w:rsid w:val="008F0DCF"/>
    <w:rsid w:val="008F1704"/>
    <w:rsid w:val="008F1877"/>
    <w:rsid w:val="008F18DA"/>
    <w:rsid w:val="008F1929"/>
    <w:rsid w:val="008F1AC8"/>
    <w:rsid w:val="008F1B94"/>
    <w:rsid w:val="008F2A01"/>
    <w:rsid w:val="008F2DE7"/>
    <w:rsid w:val="008F2DFF"/>
    <w:rsid w:val="008F2ED6"/>
    <w:rsid w:val="008F2F64"/>
    <w:rsid w:val="008F32E1"/>
    <w:rsid w:val="008F367A"/>
    <w:rsid w:val="008F3747"/>
    <w:rsid w:val="008F37F4"/>
    <w:rsid w:val="008F4043"/>
    <w:rsid w:val="008F4A53"/>
    <w:rsid w:val="008F4ADF"/>
    <w:rsid w:val="008F55C5"/>
    <w:rsid w:val="008F58CF"/>
    <w:rsid w:val="008F5AA6"/>
    <w:rsid w:val="008F60FF"/>
    <w:rsid w:val="008F6173"/>
    <w:rsid w:val="008F61AB"/>
    <w:rsid w:val="008F6444"/>
    <w:rsid w:val="008F6565"/>
    <w:rsid w:val="008F66CE"/>
    <w:rsid w:val="008F6A01"/>
    <w:rsid w:val="008F7363"/>
    <w:rsid w:val="008F7675"/>
    <w:rsid w:val="008F7848"/>
    <w:rsid w:val="008F7AC8"/>
    <w:rsid w:val="008F7BE3"/>
    <w:rsid w:val="008F7FD2"/>
    <w:rsid w:val="00900880"/>
    <w:rsid w:val="009014DF"/>
    <w:rsid w:val="00902195"/>
    <w:rsid w:val="00902805"/>
    <w:rsid w:val="00902CE0"/>
    <w:rsid w:val="00903140"/>
    <w:rsid w:val="0090329C"/>
    <w:rsid w:val="0090381E"/>
    <w:rsid w:val="00904C62"/>
    <w:rsid w:val="009051DE"/>
    <w:rsid w:val="0090564C"/>
    <w:rsid w:val="00905689"/>
    <w:rsid w:val="00905B68"/>
    <w:rsid w:val="00906486"/>
    <w:rsid w:val="009067DE"/>
    <w:rsid w:val="00906BBD"/>
    <w:rsid w:val="00906D92"/>
    <w:rsid w:val="00907647"/>
    <w:rsid w:val="009076E6"/>
    <w:rsid w:val="00907EA8"/>
    <w:rsid w:val="009100C3"/>
    <w:rsid w:val="00910FF2"/>
    <w:rsid w:val="009111C2"/>
    <w:rsid w:val="009112E4"/>
    <w:rsid w:val="009112ED"/>
    <w:rsid w:val="00911348"/>
    <w:rsid w:val="00911553"/>
    <w:rsid w:val="00911695"/>
    <w:rsid w:val="00911DC1"/>
    <w:rsid w:val="00911DCE"/>
    <w:rsid w:val="009120C2"/>
    <w:rsid w:val="0091243D"/>
    <w:rsid w:val="0091293D"/>
    <w:rsid w:val="00912B38"/>
    <w:rsid w:val="00912CCA"/>
    <w:rsid w:val="00912D47"/>
    <w:rsid w:val="00912E89"/>
    <w:rsid w:val="00913128"/>
    <w:rsid w:val="00913271"/>
    <w:rsid w:val="0091328D"/>
    <w:rsid w:val="00913601"/>
    <w:rsid w:val="00913F5E"/>
    <w:rsid w:val="00914052"/>
    <w:rsid w:val="00914B18"/>
    <w:rsid w:val="00914B26"/>
    <w:rsid w:val="00914C00"/>
    <w:rsid w:val="009155CE"/>
    <w:rsid w:val="009159A9"/>
    <w:rsid w:val="009163CE"/>
    <w:rsid w:val="009165EA"/>
    <w:rsid w:val="00916626"/>
    <w:rsid w:val="00916A29"/>
    <w:rsid w:val="00916ADC"/>
    <w:rsid w:val="0091738D"/>
    <w:rsid w:val="00917D39"/>
    <w:rsid w:val="00920127"/>
    <w:rsid w:val="009201B3"/>
    <w:rsid w:val="009206C8"/>
    <w:rsid w:val="009209D7"/>
    <w:rsid w:val="00920DE1"/>
    <w:rsid w:val="00921092"/>
    <w:rsid w:val="009216CE"/>
    <w:rsid w:val="00921FFC"/>
    <w:rsid w:val="00922456"/>
    <w:rsid w:val="009226A6"/>
    <w:rsid w:val="009229FA"/>
    <w:rsid w:val="00922D32"/>
    <w:rsid w:val="00923067"/>
    <w:rsid w:val="009230A5"/>
    <w:rsid w:val="009234D7"/>
    <w:rsid w:val="009236DC"/>
    <w:rsid w:val="009236F1"/>
    <w:rsid w:val="00924627"/>
    <w:rsid w:val="00924D44"/>
    <w:rsid w:val="00925259"/>
    <w:rsid w:val="00925574"/>
    <w:rsid w:val="00925970"/>
    <w:rsid w:val="00925A30"/>
    <w:rsid w:val="00925A3E"/>
    <w:rsid w:val="00925AF3"/>
    <w:rsid w:val="00925C48"/>
    <w:rsid w:val="00925CBE"/>
    <w:rsid w:val="00925D05"/>
    <w:rsid w:val="00925E57"/>
    <w:rsid w:val="00925EFB"/>
    <w:rsid w:val="00925F5D"/>
    <w:rsid w:val="00925F64"/>
    <w:rsid w:val="00926216"/>
    <w:rsid w:val="0092647E"/>
    <w:rsid w:val="00926654"/>
    <w:rsid w:val="00926779"/>
    <w:rsid w:val="00926AC4"/>
    <w:rsid w:val="00926D0D"/>
    <w:rsid w:val="00926ED0"/>
    <w:rsid w:val="00926FC5"/>
    <w:rsid w:val="00927AFF"/>
    <w:rsid w:val="009301CD"/>
    <w:rsid w:val="009302F4"/>
    <w:rsid w:val="0093044B"/>
    <w:rsid w:val="00930457"/>
    <w:rsid w:val="009307A2"/>
    <w:rsid w:val="00930C11"/>
    <w:rsid w:val="00930D09"/>
    <w:rsid w:val="00930D94"/>
    <w:rsid w:val="009311CE"/>
    <w:rsid w:val="009314EA"/>
    <w:rsid w:val="00931630"/>
    <w:rsid w:val="00931942"/>
    <w:rsid w:val="00931A00"/>
    <w:rsid w:val="00931F07"/>
    <w:rsid w:val="009321A8"/>
    <w:rsid w:val="00932217"/>
    <w:rsid w:val="009325A3"/>
    <w:rsid w:val="00932B99"/>
    <w:rsid w:val="00932F2E"/>
    <w:rsid w:val="00933A17"/>
    <w:rsid w:val="00933C68"/>
    <w:rsid w:val="00933F19"/>
    <w:rsid w:val="0093472D"/>
    <w:rsid w:val="0093487C"/>
    <w:rsid w:val="00934BF1"/>
    <w:rsid w:val="00934D60"/>
    <w:rsid w:val="00934F59"/>
    <w:rsid w:val="00934FA0"/>
    <w:rsid w:val="00935BAA"/>
    <w:rsid w:val="00935C5B"/>
    <w:rsid w:val="00935E8A"/>
    <w:rsid w:val="00936186"/>
    <w:rsid w:val="00936610"/>
    <w:rsid w:val="009366ED"/>
    <w:rsid w:val="009367A8"/>
    <w:rsid w:val="00936AE2"/>
    <w:rsid w:val="00936D94"/>
    <w:rsid w:val="00936F31"/>
    <w:rsid w:val="009371B0"/>
    <w:rsid w:val="0093767E"/>
    <w:rsid w:val="00937688"/>
    <w:rsid w:val="0093770F"/>
    <w:rsid w:val="00937988"/>
    <w:rsid w:val="00937B07"/>
    <w:rsid w:val="00937B31"/>
    <w:rsid w:val="00940386"/>
    <w:rsid w:val="009403D6"/>
    <w:rsid w:val="009404DD"/>
    <w:rsid w:val="009404F6"/>
    <w:rsid w:val="00940B1C"/>
    <w:rsid w:val="00940E19"/>
    <w:rsid w:val="00940EA3"/>
    <w:rsid w:val="009411BC"/>
    <w:rsid w:val="0094146E"/>
    <w:rsid w:val="009414DB"/>
    <w:rsid w:val="00941678"/>
    <w:rsid w:val="009422BA"/>
    <w:rsid w:val="0094242A"/>
    <w:rsid w:val="009429FF"/>
    <w:rsid w:val="00943148"/>
    <w:rsid w:val="0094324E"/>
    <w:rsid w:val="009437D1"/>
    <w:rsid w:val="0094440C"/>
    <w:rsid w:val="0094503D"/>
    <w:rsid w:val="00945344"/>
    <w:rsid w:val="00945768"/>
    <w:rsid w:val="009457C0"/>
    <w:rsid w:val="009459FA"/>
    <w:rsid w:val="00945B54"/>
    <w:rsid w:val="00945E62"/>
    <w:rsid w:val="00945F53"/>
    <w:rsid w:val="009462CA"/>
    <w:rsid w:val="0094659E"/>
    <w:rsid w:val="00946C39"/>
    <w:rsid w:val="0094756F"/>
    <w:rsid w:val="0094776D"/>
    <w:rsid w:val="009477CA"/>
    <w:rsid w:val="00947887"/>
    <w:rsid w:val="00947D66"/>
    <w:rsid w:val="00950094"/>
    <w:rsid w:val="00950601"/>
    <w:rsid w:val="0095094A"/>
    <w:rsid w:val="009510E9"/>
    <w:rsid w:val="0095128F"/>
    <w:rsid w:val="009512D7"/>
    <w:rsid w:val="009516AD"/>
    <w:rsid w:val="009517D4"/>
    <w:rsid w:val="00951DAE"/>
    <w:rsid w:val="009522AA"/>
    <w:rsid w:val="009522C2"/>
    <w:rsid w:val="0095239A"/>
    <w:rsid w:val="00952642"/>
    <w:rsid w:val="0095270B"/>
    <w:rsid w:val="00952810"/>
    <w:rsid w:val="00952845"/>
    <w:rsid w:val="00953666"/>
    <w:rsid w:val="0095371D"/>
    <w:rsid w:val="00954D40"/>
    <w:rsid w:val="009550DC"/>
    <w:rsid w:val="0095518B"/>
    <w:rsid w:val="009551F9"/>
    <w:rsid w:val="00955581"/>
    <w:rsid w:val="00955AD4"/>
    <w:rsid w:val="00955F74"/>
    <w:rsid w:val="009561DB"/>
    <w:rsid w:val="009566BA"/>
    <w:rsid w:val="009569BE"/>
    <w:rsid w:val="009569EE"/>
    <w:rsid w:val="00956B5B"/>
    <w:rsid w:val="00956FAD"/>
    <w:rsid w:val="009570FC"/>
    <w:rsid w:val="00957196"/>
    <w:rsid w:val="00957560"/>
    <w:rsid w:val="00957780"/>
    <w:rsid w:val="00957D35"/>
    <w:rsid w:val="00957F28"/>
    <w:rsid w:val="00957FD7"/>
    <w:rsid w:val="009605EE"/>
    <w:rsid w:val="0096151E"/>
    <w:rsid w:val="0096164C"/>
    <w:rsid w:val="009617E3"/>
    <w:rsid w:val="009618C2"/>
    <w:rsid w:val="00961D53"/>
    <w:rsid w:val="0096216A"/>
    <w:rsid w:val="00962170"/>
    <w:rsid w:val="009622A0"/>
    <w:rsid w:val="009622CB"/>
    <w:rsid w:val="009630F5"/>
    <w:rsid w:val="0096316A"/>
    <w:rsid w:val="009631EE"/>
    <w:rsid w:val="00963768"/>
    <w:rsid w:val="00963DA6"/>
    <w:rsid w:val="00963DAD"/>
    <w:rsid w:val="00964046"/>
    <w:rsid w:val="0096467A"/>
    <w:rsid w:val="00964A3C"/>
    <w:rsid w:val="00964CD4"/>
    <w:rsid w:val="00964DC6"/>
    <w:rsid w:val="00964E12"/>
    <w:rsid w:val="00965232"/>
    <w:rsid w:val="00965293"/>
    <w:rsid w:val="00965341"/>
    <w:rsid w:val="00965768"/>
    <w:rsid w:val="0096662B"/>
    <w:rsid w:val="00966819"/>
    <w:rsid w:val="00966A90"/>
    <w:rsid w:val="00966B7E"/>
    <w:rsid w:val="00966C8D"/>
    <w:rsid w:val="0096715D"/>
    <w:rsid w:val="009673CB"/>
    <w:rsid w:val="00967583"/>
    <w:rsid w:val="00967D82"/>
    <w:rsid w:val="009707FB"/>
    <w:rsid w:val="00970B72"/>
    <w:rsid w:val="00970BF4"/>
    <w:rsid w:val="00970E5C"/>
    <w:rsid w:val="00971952"/>
    <w:rsid w:val="00971FAD"/>
    <w:rsid w:val="009722F9"/>
    <w:rsid w:val="009723D0"/>
    <w:rsid w:val="00972688"/>
    <w:rsid w:val="009726BE"/>
    <w:rsid w:val="00972B11"/>
    <w:rsid w:val="00972D30"/>
    <w:rsid w:val="009730B3"/>
    <w:rsid w:val="00973C3A"/>
    <w:rsid w:val="00973D65"/>
    <w:rsid w:val="00974015"/>
    <w:rsid w:val="00974046"/>
    <w:rsid w:val="0097410D"/>
    <w:rsid w:val="009742E7"/>
    <w:rsid w:val="009749C2"/>
    <w:rsid w:val="00974FC4"/>
    <w:rsid w:val="00975011"/>
    <w:rsid w:val="00975862"/>
    <w:rsid w:val="009758DE"/>
    <w:rsid w:val="00975B6A"/>
    <w:rsid w:val="00975D6F"/>
    <w:rsid w:val="00975F6F"/>
    <w:rsid w:val="009761A4"/>
    <w:rsid w:val="009762BD"/>
    <w:rsid w:val="00976414"/>
    <w:rsid w:val="00976BDB"/>
    <w:rsid w:val="00976DB2"/>
    <w:rsid w:val="00977300"/>
    <w:rsid w:val="00977A8C"/>
    <w:rsid w:val="00980200"/>
    <w:rsid w:val="00980B29"/>
    <w:rsid w:val="00980B92"/>
    <w:rsid w:val="00981076"/>
    <w:rsid w:val="00981341"/>
    <w:rsid w:val="0098151E"/>
    <w:rsid w:val="0098152D"/>
    <w:rsid w:val="00981588"/>
    <w:rsid w:val="00981B59"/>
    <w:rsid w:val="00981D76"/>
    <w:rsid w:val="00981D79"/>
    <w:rsid w:val="00981EF5"/>
    <w:rsid w:val="00981F56"/>
    <w:rsid w:val="00982389"/>
    <w:rsid w:val="00982D62"/>
    <w:rsid w:val="00982F91"/>
    <w:rsid w:val="00983269"/>
    <w:rsid w:val="00983DBB"/>
    <w:rsid w:val="00983EC1"/>
    <w:rsid w:val="009841A4"/>
    <w:rsid w:val="00984A0A"/>
    <w:rsid w:val="00985F2A"/>
    <w:rsid w:val="0098665F"/>
    <w:rsid w:val="00986BF7"/>
    <w:rsid w:val="00987B60"/>
    <w:rsid w:val="00987FCD"/>
    <w:rsid w:val="0099021C"/>
    <w:rsid w:val="00990226"/>
    <w:rsid w:val="009903D7"/>
    <w:rsid w:val="0099040C"/>
    <w:rsid w:val="009905E4"/>
    <w:rsid w:val="0099063A"/>
    <w:rsid w:val="00990F9A"/>
    <w:rsid w:val="009911D2"/>
    <w:rsid w:val="009914CC"/>
    <w:rsid w:val="009914E4"/>
    <w:rsid w:val="00991792"/>
    <w:rsid w:val="009917AB"/>
    <w:rsid w:val="00991B6C"/>
    <w:rsid w:val="00991C6B"/>
    <w:rsid w:val="009922F3"/>
    <w:rsid w:val="00992B44"/>
    <w:rsid w:val="00992D40"/>
    <w:rsid w:val="0099325E"/>
    <w:rsid w:val="00993A76"/>
    <w:rsid w:val="00994030"/>
    <w:rsid w:val="009940A8"/>
    <w:rsid w:val="00994186"/>
    <w:rsid w:val="0099469B"/>
    <w:rsid w:val="009946EF"/>
    <w:rsid w:val="00994A45"/>
    <w:rsid w:val="00994BD6"/>
    <w:rsid w:val="00994FF8"/>
    <w:rsid w:val="00995156"/>
    <w:rsid w:val="00995BF9"/>
    <w:rsid w:val="00995E5E"/>
    <w:rsid w:val="00995E90"/>
    <w:rsid w:val="00995ECD"/>
    <w:rsid w:val="00996075"/>
    <w:rsid w:val="0099648B"/>
    <w:rsid w:val="00996711"/>
    <w:rsid w:val="009968EF"/>
    <w:rsid w:val="00997013"/>
    <w:rsid w:val="0099702F"/>
    <w:rsid w:val="009972D1"/>
    <w:rsid w:val="00997637"/>
    <w:rsid w:val="00997917"/>
    <w:rsid w:val="009979ED"/>
    <w:rsid w:val="00997B0A"/>
    <w:rsid w:val="00997EBE"/>
    <w:rsid w:val="009A06BE"/>
    <w:rsid w:val="009A0795"/>
    <w:rsid w:val="009A0B1C"/>
    <w:rsid w:val="009A0DEA"/>
    <w:rsid w:val="009A18CD"/>
    <w:rsid w:val="009A1F29"/>
    <w:rsid w:val="009A200E"/>
    <w:rsid w:val="009A20B2"/>
    <w:rsid w:val="009A214F"/>
    <w:rsid w:val="009A30FA"/>
    <w:rsid w:val="009A3A69"/>
    <w:rsid w:val="009A3F58"/>
    <w:rsid w:val="009A426A"/>
    <w:rsid w:val="009A4329"/>
    <w:rsid w:val="009A468D"/>
    <w:rsid w:val="009A4C7C"/>
    <w:rsid w:val="009A4D67"/>
    <w:rsid w:val="009A501F"/>
    <w:rsid w:val="009A5304"/>
    <w:rsid w:val="009A5A54"/>
    <w:rsid w:val="009A5B13"/>
    <w:rsid w:val="009A5B4F"/>
    <w:rsid w:val="009A5F21"/>
    <w:rsid w:val="009A5F71"/>
    <w:rsid w:val="009A66A7"/>
    <w:rsid w:val="009A6F26"/>
    <w:rsid w:val="009A7348"/>
    <w:rsid w:val="009A76D6"/>
    <w:rsid w:val="009A797D"/>
    <w:rsid w:val="009A799A"/>
    <w:rsid w:val="009A79E7"/>
    <w:rsid w:val="009A7B49"/>
    <w:rsid w:val="009A7C7F"/>
    <w:rsid w:val="009A7F69"/>
    <w:rsid w:val="009B0573"/>
    <w:rsid w:val="009B09C5"/>
    <w:rsid w:val="009B0A8D"/>
    <w:rsid w:val="009B16BE"/>
    <w:rsid w:val="009B179C"/>
    <w:rsid w:val="009B18DC"/>
    <w:rsid w:val="009B19A6"/>
    <w:rsid w:val="009B1BA9"/>
    <w:rsid w:val="009B1FD5"/>
    <w:rsid w:val="009B24E8"/>
    <w:rsid w:val="009B2588"/>
    <w:rsid w:val="009B298E"/>
    <w:rsid w:val="009B2EEF"/>
    <w:rsid w:val="009B393E"/>
    <w:rsid w:val="009B39BA"/>
    <w:rsid w:val="009B3B32"/>
    <w:rsid w:val="009B3BC2"/>
    <w:rsid w:val="009B3E30"/>
    <w:rsid w:val="009B4C36"/>
    <w:rsid w:val="009B4DB4"/>
    <w:rsid w:val="009B537F"/>
    <w:rsid w:val="009B55E2"/>
    <w:rsid w:val="009B56B5"/>
    <w:rsid w:val="009B5C02"/>
    <w:rsid w:val="009B6367"/>
    <w:rsid w:val="009B6718"/>
    <w:rsid w:val="009B6844"/>
    <w:rsid w:val="009B6896"/>
    <w:rsid w:val="009B6EE2"/>
    <w:rsid w:val="009C0441"/>
    <w:rsid w:val="009C0A91"/>
    <w:rsid w:val="009C0B5A"/>
    <w:rsid w:val="009C0C89"/>
    <w:rsid w:val="009C1092"/>
    <w:rsid w:val="009C11FF"/>
    <w:rsid w:val="009C13DB"/>
    <w:rsid w:val="009C18B1"/>
    <w:rsid w:val="009C1A55"/>
    <w:rsid w:val="009C1D89"/>
    <w:rsid w:val="009C1F35"/>
    <w:rsid w:val="009C24EB"/>
    <w:rsid w:val="009C2EFA"/>
    <w:rsid w:val="009C2FF5"/>
    <w:rsid w:val="009C3105"/>
    <w:rsid w:val="009C321D"/>
    <w:rsid w:val="009C35D2"/>
    <w:rsid w:val="009C37C1"/>
    <w:rsid w:val="009C38F3"/>
    <w:rsid w:val="009C3CD6"/>
    <w:rsid w:val="009C3E45"/>
    <w:rsid w:val="009C426F"/>
    <w:rsid w:val="009C457F"/>
    <w:rsid w:val="009C4904"/>
    <w:rsid w:val="009C4A71"/>
    <w:rsid w:val="009C4BB8"/>
    <w:rsid w:val="009C4BB9"/>
    <w:rsid w:val="009C4C49"/>
    <w:rsid w:val="009C4C53"/>
    <w:rsid w:val="009C4D9A"/>
    <w:rsid w:val="009C4DCB"/>
    <w:rsid w:val="009C5050"/>
    <w:rsid w:val="009C52BD"/>
    <w:rsid w:val="009C546D"/>
    <w:rsid w:val="009C56F2"/>
    <w:rsid w:val="009C5C6E"/>
    <w:rsid w:val="009C62A4"/>
    <w:rsid w:val="009C63E5"/>
    <w:rsid w:val="009C6430"/>
    <w:rsid w:val="009C6546"/>
    <w:rsid w:val="009C65D6"/>
    <w:rsid w:val="009C6FA5"/>
    <w:rsid w:val="009C7858"/>
    <w:rsid w:val="009C78B1"/>
    <w:rsid w:val="009C78BD"/>
    <w:rsid w:val="009C79BE"/>
    <w:rsid w:val="009C7AA7"/>
    <w:rsid w:val="009C7C98"/>
    <w:rsid w:val="009C7E3B"/>
    <w:rsid w:val="009D02AE"/>
    <w:rsid w:val="009D0702"/>
    <w:rsid w:val="009D07FE"/>
    <w:rsid w:val="009D0A47"/>
    <w:rsid w:val="009D0C70"/>
    <w:rsid w:val="009D1060"/>
    <w:rsid w:val="009D1168"/>
    <w:rsid w:val="009D2302"/>
    <w:rsid w:val="009D2D7F"/>
    <w:rsid w:val="009D31E0"/>
    <w:rsid w:val="009D4F50"/>
    <w:rsid w:val="009D5122"/>
    <w:rsid w:val="009D5483"/>
    <w:rsid w:val="009D5555"/>
    <w:rsid w:val="009D56ED"/>
    <w:rsid w:val="009D5AB3"/>
    <w:rsid w:val="009D5D63"/>
    <w:rsid w:val="009D612C"/>
    <w:rsid w:val="009D638E"/>
    <w:rsid w:val="009D673A"/>
    <w:rsid w:val="009D6CA6"/>
    <w:rsid w:val="009D7293"/>
    <w:rsid w:val="009D72DD"/>
    <w:rsid w:val="009D7659"/>
    <w:rsid w:val="009D7D4C"/>
    <w:rsid w:val="009D7DE0"/>
    <w:rsid w:val="009E0259"/>
    <w:rsid w:val="009E0347"/>
    <w:rsid w:val="009E0561"/>
    <w:rsid w:val="009E057F"/>
    <w:rsid w:val="009E062A"/>
    <w:rsid w:val="009E0C81"/>
    <w:rsid w:val="009E1A69"/>
    <w:rsid w:val="009E1D6F"/>
    <w:rsid w:val="009E1D84"/>
    <w:rsid w:val="009E1DB0"/>
    <w:rsid w:val="009E1F76"/>
    <w:rsid w:val="009E2269"/>
    <w:rsid w:val="009E22B9"/>
    <w:rsid w:val="009E2CE2"/>
    <w:rsid w:val="009E3010"/>
    <w:rsid w:val="009E33DD"/>
    <w:rsid w:val="009E3E79"/>
    <w:rsid w:val="009E45FC"/>
    <w:rsid w:val="009E484E"/>
    <w:rsid w:val="009E4CA5"/>
    <w:rsid w:val="009E4CBE"/>
    <w:rsid w:val="009E4E5E"/>
    <w:rsid w:val="009E5220"/>
    <w:rsid w:val="009E52DA"/>
    <w:rsid w:val="009E5538"/>
    <w:rsid w:val="009E5556"/>
    <w:rsid w:val="009E579F"/>
    <w:rsid w:val="009E589A"/>
    <w:rsid w:val="009E5CDB"/>
    <w:rsid w:val="009E5D4B"/>
    <w:rsid w:val="009E5D4D"/>
    <w:rsid w:val="009E5D7C"/>
    <w:rsid w:val="009E5FD7"/>
    <w:rsid w:val="009E66CE"/>
    <w:rsid w:val="009E70F6"/>
    <w:rsid w:val="009E71B8"/>
    <w:rsid w:val="009E71FD"/>
    <w:rsid w:val="009E7733"/>
    <w:rsid w:val="009E776C"/>
    <w:rsid w:val="009E78DE"/>
    <w:rsid w:val="009E7999"/>
    <w:rsid w:val="009E79F9"/>
    <w:rsid w:val="009E7D20"/>
    <w:rsid w:val="009E7D48"/>
    <w:rsid w:val="009E7E37"/>
    <w:rsid w:val="009F052D"/>
    <w:rsid w:val="009F0602"/>
    <w:rsid w:val="009F0B65"/>
    <w:rsid w:val="009F0D42"/>
    <w:rsid w:val="009F1475"/>
    <w:rsid w:val="009F1BFE"/>
    <w:rsid w:val="009F1CB7"/>
    <w:rsid w:val="009F1FE5"/>
    <w:rsid w:val="009F2143"/>
    <w:rsid w:val="009F21D3"/>
    <w:rsid w:val="009F2916"/>
    <w:rsid w:val="009F4745"/>
    <w:rsid w:val="009F48CA"/>
    <w:rsid w:val="009F4F0A"/>
    <w:rsid w:val="009F4F52"/>
    <w:rsid w:val="009F4FC3"/>
    <w:rsid w:val="009F50E7"/>
    <w:rsid w:val="009F54BC"/>
    <w:rsid w:val="009F55A9"/>
    <w:rsid w:val="009F585A"/>
    <w:rsid w:val="009F5B4D"/>
    <w:rsid w:val="009F5D69"/>
    <w:rsid w:val="009F6759"/>
    <w:rsid w:val="009F6778"/>
    <w:rsid w:val="009F6B7F"/>
    <w:rsid w:val="009F6BCC"/>
    <w:rsid w:val="009F6C7F"/>
    <w:rsid w:val="009F72B1"/>
    <w:rsid w:val="009F7723"/>
    <w:rsid w:val="00A000BB"/>
    <w:rsid w:val="00A00214"/>
    <w:rsid w:val="00A002D4"/>
    <w:rsid w:val="00A003A8"/>
    <w:rsid w:val="00A01841"/>
    <w:rsid w:val="00A01BBD"/>
    <w:rsid w:val="00A01C06"/>
    <w:rsid w:val="00A01C2E"/>
    <w:rsid w:val="00A01E40"/>
    <w:rsid w:val="00A01F89"/>
    <w:rsid w:val="00A0203D"/>
    <w:rsid w:val="00A022BF"/>
    <w:rsid w:val="00A023D1"/>
    <w:rsid w:val="00A0289E"/>
    <w:rsid w:val="00A02A1B"/>
    <w:rsid w:val="00A02C2D"/>
    <w:rsid w:val="00A02ECD"/>
    <w:rsid w:val="00A02FD8"/>
    <w:rsid w:val="00A0370C"/>
    <w:rsid w:val="00A03A2A"/>
    <w:rsid w:val="00A03AEC"/>
    <w:rsid w:val="00A03C36"/>
    <w:rsid w:val="00A03F76"/>
    <w:rsid w:val="00A04186"/>
    <w:rsid w:val="00A0425F"/>
    <w:rsid w:val="00A044E5"/>
    <w:rsid w:val="00A04F15"/>
    <w:rsid w:val="00A04F85"/>
    <w:rsid w:val="00A0510D"/>
    <w:rsid w:val="00A053D6"/>
    <w:rsid w:val="00A05583"/>
    <w:rsid w:val="00A05953"/>
    <w:rsid w:val="00A05DB1"/>
    <w:rsid w:val="00A06091"/>
    <w:rsid w:val="00A060B1"/>
    <w:rsid w:val="00A06696"/>
    <w:rsid w:val="00A067E0"/>
    <w:rsid w:val="00A06B97"/>
    <w:rsid w:val="00A06C66"/>
    <w:rsid w:val="00A070B9"/>
    <w:rsid w:val="00A074CF"/>
    <w:rsid w:val="00A075A0"/>
    <w:rsid w:val="00A0768A"/>
    <w:rsid w:val="00A07728"/>
    <w:rsid w:val="00A07E1F"/>
    <w:rsid w:val="00A107A1"/>
    <w:rsid w:val="00A107DB"/>
    <w:rsid w:val="00A10F13"/>
    <w:rsid w:val="00A1105F"/>
    <w:rsid w:val="00A1138B"/>
    <w:rsid w:val="00A115E5"/>
    <w:rsid w:val="00A11776"/>
    <w:rsid w:val="00A11BB7"/>
    <w:rsid w:val="00A11EA2"/>
    <w:rsid w:val="00A121E0"/>
    <w:rsid w:val="00A122E0"/>
    <w:rsid w:val="00A124D0"/>
    <w:rsid w:val="00A125B6"/>
    <w:rsid w:val="00A127A2"/>
    <w:rsid w:val="00A12C1E"/>
    <w:rsid w:val="00A12D04"/>
    <w:rsid w:val="00A12DAC"/>
    <w:rsid w:val="00A135CA"/>
    <w:rsid w:val="00A1370E"/>
    <w:rsid w:val="00A13DB5"/>
    <w:rsid w:val="00A13E04"/>
    <w:rsid w:val="00A14062"/>
    <w:rsid w:val="00A141EB"/>
    <w:rsid w:val="00A1426F"/>
    <w:rsid w:val="00A1436B"/>
    <w:rsid w:val="00A1444B"/>
    <w:rsid w:val="00A14B0F"/>
    <w:rsid w:val="00A14C99"/>
    <w:rsid w:val="00A14E6C"/>
    <w:rsid w:val="00A1519E"/>
    <w:rsid w:val="00A1555D"/>
    <w:rsid w:val="00A16192"/>
    <w:rsid w:val="00A16595"/>
    <w:rsid w:val="00A166A8"/>
    <w:rsid w:val="00A16A45"/>
    <w:rsid w:val="00A16B43"/>
    <w:rsid w:val="00A171AD"/>
    <w:rsid w:val="00A172C0"/>
    <w:rsid w:val="00A17397"/>
    <w:rsid w:val="00A176DE"/>
    <w:rsid w:val="00A17792"/>
    <w:rsid w:val="00A17CC8"/>
    <w:rsid w:val="00A17F04"/>
    <w:rsid w:val="00A2041B"/>
    <w:rsid w:val="00A20D90"/>
    <w:rsid w:val="00A20DBD"/>
    <w:rsid w:val="00A20F82"/>
    <w:rsid w:val="00A210EA"/>
    <w:rsid w:val="00A216B5"/>
    <w:rsid w:val="00A21E6F"/>
    <w:rsid w:val="00A22391"/>
    <w:rsid w:val="00A22442"/>
    <w:rsid w:val="00A22743"/>
    <w:rsid w:val="00A22C7A"/>
    <w:rsid w:val="00A23074"/>
    <w:rsid w:val="00A23199"/>
    <w:rsid w:val="00A237BA"/>
    <w:rsid w:val="00A2388B"/>
    <w:rsid w:val="00A23C09"/>
    <w:rsid w:val="00A24194"/>
    <w:rsid w:val="00A24520"/>
    <w:rsid w:val="00A2464E"/>
    <w:rsid w:val="00A249C9"/>
    <w:rsid w:val="00A24D06"/>
    <w:rsid w:val="00A24F08"/>
    <w:rsid w:val="00A252DA"/>
    <w:rsid w:val="00A254DD"/>
    <w:rsid w:val="00A25585"/>
    <w:rsid w:val="00A258C7"/>
    <w:rsid w:val="00A2661C"/>
    <w:rsid w:val="00A2695B"/>
    <w:rsid w:val="00A269C8"/>
    <w:rsid w:val="00A26B16"/>
    <w:rsid w:val="00A2712B"/>
    <w:rsid w:val="00A274A2"/>
    <w:rsid w:val="00A27605"/>
    <w:rsid w:val="00A27650"/>
    <w:rsid w:val="00A27D35"/>
    <w:rsid w:val="00A30652"/>
    <w:rsid w:val="00A3069F"/>
    <w:rsid w:val="00A30738"/>
    <w:rsid w:val="00A30991"/>
    <w:rsid w:val="00A30AB8"/>
    <w:rsid w:val="00A30ABB"/>
    <w:rsid w:val="00A30BFC"/>
    <w:rsid w:val="00A317A2"/>
    <w:rsid w:val="00A31A15"/>
    <w:rsid w:val="00A31AF3"/>
    <w:rsid w:val="00A323D3"/>
    <w:rsid w:val="00A325DB"/>
    <w:rsid w:val="00A327A0"/>
    <w:rsid w:val="00A32C1B"/>
    <w:rsid w:val="00A32E99"/>
    <w:rsid w:val="00A33956"/>
    <w:rsid w:val="00A33D31"/>
    <w:rsid w:val="00A33F34"/>
    <w:rsid w:val="00A33F74"/>
    <w:rsid w:val="00A34A6C"/>
    <w:rsid w:val="00A34FAC"/>
    <w:rsid w:val="00A350EB"/>
    <w:rsid w:val="00A3514D"/>
    <w:rsid w:val="00A359EE"/>
    <w:rsid w:val="00A35D34"/>
    <w:rsid w:val="00A35E7C"/>
    <w:rsid w:val="00A364FB"/>
    <w:rsid w:val="00A366AF"/>
    <w:rsid w:val="00A36758"/>
    <w:rsid w:val="00A36B74"/>
    <w:rsid w:val="00A36CEA"/>
    <w:rsid w:val="00A36F55"/>
    <w:rsid w:val="00A37251"/>
    <w:rsid w:val="00A372A7"/>
    <w:rsid w:val="00A375B4"/>
    <w:rsid w:val="00A40546"/>
    <w:rsid w:val="00A40B40"/>
    <w:rsid w:val="00A413FE"/>
    <w:rsid w:val="00A4154E"/>
    <w:rsid w:val="00A4162D"/>
    <w:rsid w:val="00A41B1B"/>
    <w:rsid w:val="00A41C31"/>
    <w:rsid w:val="00A41C51"/>
    <w:rsid w:val="00A42162"/>
    <w:rsid w:val="00A424BD"/>
    <w:rsid w:val="00A42C6B"/>
    <w:rsid w:val="00A42D02"/>
    <w:rsid w:val="00A42EB7"/>
    <w:rsid w:val="00A42FBF"/>
    <w:rsid w:val="00A439A9"/>
    <w:rsid w:val="00A43CF5"/>
    <w:rsid w:val="00A44047"/>
    <w:rsid w:val="00A448D3"/>
    <w:rsid w:val="00A44B6B"/>
    <w:rsid w:val="00A45342"/>
    <w:rsid w:val="00A45362"/>
    <w:rsid w:val="00A454BB"/>
    <w:rsid w:val="00A4558B"/>
    <w:rsid w:val="00A455A7"/>
    <w:rsid w:val="00A459DB"/>
    <w:rsid w:val="00A45F1D"/>
    <w:rsid w:val="00A46AA8"/>
    <w:rsid w:val="00A46CEE"/>
    <w:rsid w:val="00A472AD"/>
    <w:rsid w:val="00A47384"/>
    <w:rsid w:val="00A47CA0"/>
    <w:rsid w:val="00A47D47"/>
    <w:rsid w:val="00A5019B"/>
    <w:rsid w:val="00A504A9"/>
    <w:rsid w:val="00A5052D"/>
    <w:rsid w:val="00A50DDD"/>
    <w:rsid w:val="00A50F81"/>
    <w:rsid w:val="00A5115F"/>
    <w:rsid w:val="00A511F0"/>
    <w:rsid w:val="00A51FB7"/>
    <w:rsid w:val="00A521C1"/>
    <w:rsid w:val="00A524EB"/>
    <w:rsid w:val="00A528B5"/>
    <w:rsid w:val="00A52BBE"/>
    <w:rsid w:val="00A52F6C"/>
    <w:rsid w:val="00A5304E"/>
    <w:rsid w:val="00A53668"/>
    <w:rsid w:val="00A53BB2"/>
    <w:rsid w:val="00A53CFB"/>
    <w:rsid w:val="00A53D23"/>
    <w:rsid w:val="00A53D25"/>
    <w:rsid w:val="00A5402C"/>
    <w:rsid w:val="00A54957"/>
    <w:rsid w:val="00A54BD3"/>
    <w:rsid w:val="00A54FD5"/>
    <w:rsid w:val="00A554A5"/>
    <w:rsid w:val="00A55A3C"/>
    <w:rsid w:val="00A55A89"/>
    <w:rsid w:val="00A55B5D"/>
    <w:rsid w:val="00A55B77"/>
    <w:rsid w:val="00A55C2A"/>
    <w:rsid w:val="00A55C5D"/>
    <w:rsid w:val="00A56161"/>
    <w:rsid w:val="00A56255"/>
    <w:rsid w:val="00A56614"/>
    <w:rsid w:val="00A56F17"/>
    <w:rsid w:val="00A579FF"/>
    <w:rsid w:val="00A57BB5"/>
    <w:rsid w:val="00A602A0"/>
    <w:rsid w:val="00A604B0"/>
    <w:rsid w:val="00A605C0"/>
    <w:rsid w:val="00A607B1"/>
    <w:rsid w:val="00A60976"/>
    <w:rsid w:val="00A60C76"/>
    <w:rsid w:val="00A60FE8"/>
    <w:rsid w:val="00A619F0"/>
    <w:rsid w:val="00A61D9E"/>
    <w:rsid w:val="00A623EC"/>
    <w:rsid w:val="00A625AD"/>
    <w:rsid w:val="00A625BC"/>
    <w:rsid w:val="00A62F24"/>
    <w:rsid w:val="00A63258"/>
    <w:rsid w:val="00A6378D"/>
    <w:rsid w:val="00A63FD2"/>
    <w:rsid w:val="00A647E9"/>
    <w:rsid w:val="00A64865"/>
    <w:rsid w:val="00A64D40"/>
    <w:rsid w:val="00A6519A"/>
    <w:rsid w:val="00A651B6"/>
    <w:rsid w:val="00A65700"/>
    <w:rsid w:val="00A659C8"/>
    <w:rsid w:val="00A65A03"/>
    <w:rsid w:val="00A66135"/>
    <w:rsid w:val="00A666A2"/>
    <w:rsid w:val="00A667A7"/>
    <w:rsid w:val="00A6702C"/>
    <w:rsid w:val="00A670D8"/>
    <w:rsid w:val="00A6717D"/>
    <w:rsid w:val="00A677F3"/>
    <w:rsid w:val="00A67A8B"/>
    <w:rsid w:val="00A67C49"/>
    <w:rsid w:val="00A70E81"/>
    <w:rsid w:val="00A71101"/>
    <w:rsid w:val="00A7113E"/>
    <w:rsid w:val="00A7134A"/>
    <w:rsid w:val="00A714E6"/>
    <w:rsid w:val="00A71597"/>
    <w:rsid w:val="00A71977"/>
    <w:rsid w:val="00A71C1F"/>
    <w:rsid w:val="00A71E23"/>
    <w:rsid w:val="00A7221D"/>
    <w:rsid w:val="00A7352B"/>
    <w:rsid w:val="00A73586"/>
    <w:rsid w:val="00A735F5"/>
    <w:rsid w:val="00A736FF"/>
    <w:rsid w:val="00A739B8"/>
    <w:rsid w:val="00A73F44"/>
    <w:rsid w:val="00A74621"/>
    <w:rsid w:val="00A749C1"/>
    <w:rsid w:val="00A749C4"/>
    <w:rsid w:val="00A74AF2"/>
    <w:rsid w:val="00A74C0F"/>
    <w:rsid w:val="00A74F77"/>
    <w:rsid w:val="00A75614"/>
    <w:rsid w:val="00A75655"/>
    <w:rsid w:val="00A75916"/>
    <w:rsid w:val="00A75CAB"/>
    <w:rsid w:val="00A75E65"/>
    <w:rsid w:val="00A75EB2"/>
    <w:rsid w:val="00A76722"/>
    <w:rsid w:val="00A76730"/>
    <w:rsid w:val="00A76D2D"/>
    <w:rsid w:val="00A76DC2"/>
    <w:rsid w:val="00A76FA2"/>
    <w:rsid w:val="00A76FDC"/>
    <w:rsid w:val="00A7711C"/>
    <w:rsid w:val="00A771E6"/>
    <w:rsid w:val="00A77248"/>
    <w:rsid w:val="00A773B5"/>
    <w:rsid w:val="00A774E3"/>
    <w:rsid w:val="00A77594"/>
    <w:rsid w:val="00A775CF"/>
    <w:rsid w:val="00A77608"/>
    <w:rsid w:val="00A77802"/>
    <w:rsid w:val="00A77AD9"/>
    <w:rsid w:val="00A77D26"/>
    <w:rsid w:val="00A77E8F"/>
    <w:rsid w:val="00A800DF"/>
    <w:rsid w:val="00A800EF"/>
    <w:rsid w:val="00A80137"/>
    <w:rsid w:val="00A808A4"/>
    <w:rsid w:val="00A81001"/>
    <w:rsid w:val="00A81421"/>
    <w:rsid w:val="00A815D0"/>
    <w:rsid w:val="00A81B8B"/>
    <w:rsid w:val="00A822BC"/>
    <w:rsid w:val="00A824DF"/>
    <w:rsid w:val="00A8268E"/>
    <w:rsid w:val="00A835D3"/>
    <w:rsid w:val="00A83692"/>
    <w:rsid w:val="00A837CF"/>
    <w:rsid w:val="00A83846"/>
    <w:rsid w:val="00A83A46"/>
    <w:rsid w:val="00A83AB1"/>
    <w:rsid w:val="00A843F7"/>
    <w:rsid w:val="00A845B7"/>
    <w:rsid w:val="00A845C6"/>
    <w:rsid w:val="00A8491B"/>
    <w:rsid w:val="00A84A77"/>
    <w:rsid w:val="00A84B26"/>
    <w:rsid w:val="00A84B6A"/>
    <w:rsid w:val="00A84D71"/>
    <w:rsid w:val="00A84F75"/>
    <w:rsid w:val="00A850ED"/>
    <w:rsid w:val="00A85560"/>
    <w:rsid w:val="00A85C09"/>
    <w:rsid w:val="00A86604"/>
    <w:rsid w:val="00A86E5D"/>
    <w:rsid w:val="00A86EA2"/>
    <w:rsid w:val="00A86F55"/>
    <w:rsid w:val="00A87073"/>
    <w:rsid w:val="00A87409"/>
    <w:rsid w:val="00A8751F"/>
    <w:rsid w:val="00A8756C"/>
    <w:rsid w:val="00A875DE"/>
    <w:rsid w:val="00A876FC"/>
    <w:rsid w:val="00A87D00"/>
    <w:rsid w:val="00A87FC0"/>
    <w:rsid w:val="00A906C2"/>
    <w:rsid w:val="00A9079F"/>
    <w:rsid w:val="00A90810"/>
    <w:rsid w:val="00A9081A"/>
    <w:rsid w:val="00A90A8A"/>
    <w:rsid w:val="00A90C9F"/>
    <w:rsid w:val="00A90F81"/>
    <w:rsid w:val="00A9110E"/>
    <w:rsid w:val="00A91629"/>
    <w:rsid w:val="00A91B24"/>
    <w:rsid w:val="00A91CA6"/>
    <w:rsid w:val="00A91D72"/>
    <w:rsid w:val="00A92087"/>
    <w:rsid w:val="00A92794"/>
    <w:rsid w:val="00A92965"/>
    <w:rsid w:val="00A92CA0"/>
    <w:rsid w:val="00A92EAB"/>
    <w:rsid w:val="00A93153"/>
    <w:rsid w:val="00A93953"/>
    <w:rsid w:val="00A93D96"/>
    <w:rsid w:val="00A93DD2"/>
    <w:rsid w:val="00A93E15"/>
    <w:rsid w:val="00A941BE"/>
    <w:rsid w:val="00A94A6D"/>
    <w:rsid w:val="00A94D1B"/>
    <w:rsid w:val="00A950C9"/>
    <w:rsid w:val="00A9568C"/>
    <w:rsid w:val="00A95A0B"/>
    <w:rsid w:val="00A95B30"/>
    <w:rsid w:val="00A95E14"/>
    <w:rsid w:val="00A95FC4"/>
    <w:rsid w:val="00A962D8"/>
    <w:rsid w:val="00A963E4"/>
    <w:rsid w:val="00A96565"/>
    <w:rsid w:val="00A967E3"/>
    <w:rsid w:val="00A96929"/>
    <w:rsid w:val="00A96E14"/>
    <w:rsid w:val="00A96E94"/>
    <w:rsid w:val="00A96FF3"/>
    <w:rsid w:val="00A97463"/>
    <w:rsid w:val="00A97F3D"/>
    <w:rsid w:val="00A97F8B"/>
    <w:rsid w:val="00AA0109"/>
    <w:rsid w:val="00AA054C"/>
    <w:rsid w:val="00AA0586"/>
    <w:rsid w:val="00AA1106"/>
    <w:rsid w:val="00AA124C"/>
    <w:rsid w:val="00AA12A2"/>
    <w:rsid w:val="00AA13CD"/>
    <w:rsid w:val="00AA1626"/>
    <w:rsid w:val="00AA1924"/>
    <w:rsid w:val="00AA1928"/>
    <w:rsid w:val="00AA1B3E"/>
    <w:rsid w:val="00AA23A3"/>
    <w:rsid w:val="00AA253D"/>
    <w:rsid w:val="00AA2E55"/>
    <w:rsid w:val="00AA2FA8"/>
    <w:rsid w:val="00AA3130"/>
    <w:rsid w:val="00AA34D0"/>
    <w:rsid w:val="00AA3A4C"/>
    <w:rsid w:val="00AA3B99"/>
    <w:rsid w:val="00AA3DF5"/>
    <w:rsid w:val="00AA3FAF"/>
    <w:rsid w:val="00AA4425"/>
    <w:rsid w:val="00AA470F"/>
    <w:rsid w:val="00AA4BD1"/>
    <w:rsid w:val="00AA5101"/>
    <w:rsid w:val="00AA59C0"/>
    <w:rsid w:val="00AA5A3F"/>
    <w:rsid w:val="00AA5F33"/>
    <w:rsid w:val="00AA6133"/>
    <w:rsid w:val="00AA61BF"/>
    <w:rsid w:val="00AA62A7"/>
    <w:rsid w:val="00AA64B2"/>
    <w:rsid w:val="00AA66FA"/>
    <w:rsid w:val="00AA6B61"/>
    <w:rsid w:val="00AA74EC"/>
    <w:rsid w:val="00AA7761"/>
    <w:rsid w:val="00AA7834"/>
    <w:rsid w:val="00AA788C"/>
    <w:rsid w:val="00AA7892"/>
    <w:rsid w:val="00AA79E8"/>
    <w:rsid w:val="00AA7C8B"/>
    <w:rsid w:val="00AA7EFB"/>
    <w:rsid w:val="00AB042A"/>
    <w:rsid w:val="00AB087F"/>
    <w:rsid w:val="00AB0F54"/>
    <w:rsid w:val="00AB0F78"/>
    <w:rsid w:val="00AB0FF0"/>
    <w:rsid w:val="00AB10CC"/>
    <w:rsid w:val="00AB19C4"/>
    <w:rsid w:val="00AB1A5F"/>
    <w:rsid w:val="00AB1B9D"/>
    <w:rsid w:val="00AB2557"/>
    <w:rsid w:val="00AB2F9E"/>
    <w:rsid w:val="00AB395B"/>
    <w:rsid w:val="00AB3A3F"/>
    <w:rsid w:val="00AB3F07"/>
    <w:rsid w:val="00AB40AD"/>
    <w:rsid w:val="00AB43C5"/>
    <w:rsid w:val="00AB46DE"/>
    <w:rsid w:val="00AB4792"/>
    <w:rsid w:val="00AB4D48"/>
    <w:rsid w:val="00AB4DCC"/>
    <w:rsid w:val="00AB4EA9"/>
    <w:rsid w:val="00AB5638"/>
    <w:rsid w:val="00AB5786"/>
    <w:rsid w:val="00AB57D0"/>
    <w:rsid w:val="00AB5E55"/>
    <w:rsid w:val="00AB5F99"/>
    <w:rsid w:val="00AB6451"/>
    <w:rsid w:val="00AB6AFC"/>
    <w:rsid w:val="00AB6EC0"/>
    <w:rsid w:val="00AB7A37"/>
    <w:rsid w:val="00AB7F3B"/>
    <w:rsid w:val="00AC02E8"/>
    <w:rsid w:val="00AC03AC"/>
    <w:rsid w:val="00AC0426"/>
    <w:rsid w:val="00AC04D1"/>
    <w:rsid w:val="00AC0576"/>
    <w:rsid w:val="00AC0D6F"/>
    <w:rsid w:val="00AC0E2A"/>
    <w:rsid w:val="00AC12BF"/>
    <w:rsid w:val="00AC163F"/>
    <w:rsid w:val="00AC19B7"/>
    <w:rsid w:val="00AC1C63"/>
    <w:rsid w:val="00AC2022"/>
    <w:rsid w:val="00AC213C"/>
    <w:rsid w:val="00AC2362"/>
    <w:rsid w:val="00AC2A46"/>
    <w:rsid w:val="00AC2B0B"/>
    <w:rsid w:val="00AC2D47"/>
    <w:rsid w:val="00AC3486"/>
    <w:rsid w:val="00AC3CC7"/>
    <w:rsid w:val="00AC3D2C"/>
    <w:rsid w:val="00AC430B"/>
    <w:rsid w:val="00AC454C"/>
    <w:rsid w:val="00AC4823"/>
    <w:rsid w:val="00AC5413"/>
    <w:rsid w:val="00AC5547"/>
    <w:rsid w:val="00AC5745"/>
    <w:rsid w:val="00AC597A"/>
    <w:rsid w:val="00AC5AFF"/>
    <w:rsid w:val="00AC5C62"/>
    <w:rsid w:val="00AC624B"/>
    <w:rsid w:val="00AC64C7"/>
    <w:rsid w:val="00AC6A0A"/>
    <w:rsid w:val="00AC6BF6"/>
    <w:rsid w:val="00AC6D6B"/>
    <w:rsid w:val="00AC7046"/>
    <w:rsid w:val="00AC7416"/>
    <w:rsid w:val="00AC761A"/>
    <w:rsid w:val="00AC7675"/>
    <w:rsid w:val="00AC77FB"/>
    <w:rsid w:val="00AC79CA"/>
    <w:rsid w:val="00AC7C25"/>
    <w:rsid w:val="00AC7F78"/>
    <w:rsid w:val="00AD09D5"/>
    <w:rsid w:val="00AD09FB"/>
    <w:rsid w:val="00AD0D65"/>
    <w:rsid w:val="00AD1269"/>
    <w:rsid w:val="00AD1366"/>
    <w:rsid w:val="00AD1A1D"/>
    <w:rsid w:val="00AD22F3"/>
    <w:rsid w:val="00AD23AD"/>
    <w:rsid w:val="00AD2A4D"/>
    <w:rsid w:val="00AD3201"/>
    <w:rsid w:val="00AD3484"/>
    <w:rsid w:val="00AD39A0"/>
    <w:rsid w:val="00AD3BB6"/>
    <w:rsid w:val="00AD3C97"/>
    <w:rsid w:val="00AD3ED4"/>
    <w:rsid w:val="00AD4500"/>
    <w:rsid w:val="00AD47A4"/>
    <w:rsid w:val="00AD4D06"/>
    <w:rsid w:val="00AD4DA7"/>
    <w:rsid w:val="00AD4E6B"/>
    <w:rsid w:val="00AD4E98"/>
    <w:rsid w:val="00AD515E"/>
    <w:rsid w:val="00AD519B"/>
    <w:rsid w:val="00AD5289"/>
    <w:rsid w:val="00AD545E"/>
    <w:rsid w:val="00AD5657"/>
    <w:rsid w:val="00AD5BF9"/>
    <w:rsid w:val="00AD5DF8"/>
    <w:rsid w:val="00AD5EDA"/>
    <w:rsid w:val="00AD66B0"/>
    <w:rsid w:val="00AD7536"/>
    <w:rsid w:val="00AD7996"/>
    <w:rsid w:val="00AD7FEA"/>
    <w:rsid w:val="00AE0A09"/>
    <w:rsid w:val="00AE0E6C"/>
    <w:rsid w:val="00AE1692"/>
    <w:rsid w:val="00AE19F0"/>
    <w:rsid w:val="00AE30FC"/>
    <w:rsid w:val="00AE33FA"/>
    <w:rsid w:val="00AE3AAB"/>
    <w:rsid w:val="00AE3BA9"/>
    <w:rsid w:val="00AE3C64"/>
    <w:rsid w:val="00AE488A"/>
    <w:rsid w:val="00AE4BC2"/>
    <w:rsid w:val="00AE515D"/>
    <w:rsid w:val="00AE532F"/>
    <w:rsid w:val="00AE5394"/>
    <w:rsid w:val="00AE557D"/>
    <w:rsid w:val="00AE55B7"/>
    <w:rsid w:val="00AE5A41"/>
    <w:rsid w:val="00AE5BC3"/>
    <w:rsid w:val="00AE601D"/>
    <w:rsid w:val="00AE60F7"/>
    <w:rsid w:val="00AE6498"/>
    <w:rsid w:val="00AE68D0"/>
    <w:rsid w:val="00AE6BB4"/>
    <w:rsid w:val="00AE6F00"/>
    <w:rsid w:val="00AE758A"/>
    <w:rsid w:val="00AE7937"/>
    <w:rsid w:val="00AE7B5C"/>
    <w:rsid w:val="00AF11F7"/>
    <w:rsid w:val="00AF13D5"/>
    <w:rsid w:val="00AF1467"/>
    <w:rsid w:val="00AF1662"/>
    <w:rsid w:val="00AF1DA5"/>
    <w:rsid w:val="00AF1E0C"/>
    <w:rsid w:val="00AF1E22"/>
    <w:rsid w:val="00AF2D07"/>
    <w:rsid w:val="00AF3171"/>
    <w:rsid w:val="00AF31F4"/>
    <w:rsid w:val="00AF3255"/>
    <w:rsid w:val="00AF3719"/>
    <w:rsid w:val="00AF3AD0"/>
    <w:rsid w:val="00AF417D"/>
    <w:rsid w:val="00AF4366"/>
    <w:rsid w:val="00AF43FA"/>
    <w:rsid w:val="00AF4DDB"/>
    <w:rsid w:val="00AF55C7"/>
    <w:rsid w:val="00AF5CF3"/>
    <w:rsid w:val="00AF6A5B"/>
    <w:rsid w:val="00AF715F"/>
    <w:rsid w:val="00AF725C"/>
    <w:rsid w:val="00AF7550"/>
    <w:rsid w:val="00AF7C82"/>
    <w:rsid w:val="00AF7E1A"/>
    <w:rsid w:val="00AF7F22"/>
    <w:rsid w:val="00AF7F5F"/>
    <w:rsid w:val="00B00270"/>
    <w:rsid w:val="00B005F5"/>
    <w:rsid w:val="00B00737"/>
    <w:rsid w:val="00B008E4"/>
    <w:rsid w:val="00B019A1"/>
    <w:rsid w:val="00B019FB"/>
    <w:rsid w:val="00B01F70"/>
    <w:rsid w:val="00B02230"/>
    <w:rsid w:val="00B023FD"/>
    <w:rsid w:val="00B02528"/>
    <w:rsid w:val="00B0295F"/>
    <w:rsid w:val="00B02A8C"/>
    <w:rsid w:val="00B02F4C"/>
    <w:rsid w:val="00B03066"/>
    <w:rsid w:val="00B03C15"/>
    <w:rsid w:val="00B03C69"/>
    <w:rsid w:val="00B03FA5"/>
    <w:rsid w:val="00B04019"/>
    <w:rsid w:val="00B0477F"/>
    <w:rsid w:val="00B047D7"/>
    <w:rsid w:val="00B04822"/>
    <w:rsid w:val="00B048E9"/>
    <w:rsid w:val="00B04BD6"/>
    <w:rsid w:val="00B04BF4"/>
    <w:rsid w:val="00B04E1A"/>
    <w:rsid w:val="00B04E2A"/>
    <w:rsid w:val="00B0556A"/>
    <w:rsid w:val="00B057B4"/>
    <w:rsid w:val="00B05E25"/>
    <w:rsid w:val="00B05FA7"/>
    <w:rsid w:val="00B05FBD"/>
    <w:rsid w:val="00B060B1"/>
    <w:rsid w:val="00B062DD"/>
    <w:rsid w:val="00B063B4"/>
    <w:rsid w:val="00B06851"/>
    <w:rsid w:val="00B068AA"/>
    <w:rsid w:val="00B068D7"/>
    <w:rsid w:val="00B06AE5"/>
    <w:rsid w:val="00B06DDE"/>
    <w:rsid w:val="00B06EC0"/>
    <w:rsid w:val="00B0713C"/>
    <w:rsid w:val="00B0743B"/>
    <w:rsid w:val="00B0767E"/>
    <w:rsid w:val="00B076F0"/>
    <w:rsid w:val="00B0776C"/>
    <w:rsid w:val="00B07C2E"/>
    <w:rsid w:val="00B10582"/>
    <w:rsid w:val="00B10772"/>
    <w:rsid w:val="00B110CA"/>
    <w:rsid w:val="00B111DF"/>
    <w:rsid w:val="00B11212"/>
    <w:rsid w:val="00B11B25"/>
    <w:rsid w:val="00B11BBF"/>
    <w:rsid w:val="00B11D2D"/>
    <w:rsid w:val="00B1203A"/>
    <w:rsid w:val="00B12286"/>
    <w:rsid w:val="00B12307"/>
    <w:rsid w:val="00B1250E"/>
    <w:rsid w:val="00B126A2"/>
    <w:rsid w:val="00B129B4"/>
    <w:rsid w:val="00B12C69"/>
    <w:rsid w:val="00B12F69"/>
    <w:rsid w:val="00B12F7F"/>
    <w:rsid w:val="00B12FB1"/>
    <w:rsid w:val="00B13234"/>
    <w:rsid w:val="00B13A5A"/>
    <w:rsid w:val="00B13D19"/>
    <w:rsid w:val="00B13D1C"/>
    <w:rsid w:val="00B13D56"/>
    <w:rsid w:val="00B1437B"/>
    <w:rsid w:val="00B14826"/>
    <w:rsid w:val="00B14AF3"/>
    <w:rsid w:val="00B14C86"/>
    <w:rsid w:val="00B14DA0"/>
    <w:rsid w:val="00B152DA"/>
    <w:rsid w:val="00B15D74"/>
    <w:rsid w:val="00B16204"/>
    <w:rsid w:val="00B1664F"/>
    <w:rsid w:val="00B16666"/>
    <w:rsid w:val="00B16854"/>
    <w:rsid w:val="00B16B21"/>
    <w:rsid w:val="00B17011"/>
    <w:rsid w:val="00B173A5"/>
    <w:rsid w:val="00B173F3"/>
    <w:rsid w:val="00B17C3C"/>
    <w:rsid w:val="00B20036"/>
    <w:rsid w:val="00B205ED"/>
    <w:rsid w:val="00B208D1"/>
    <w:rsid w:val="00B20F4A"/>
    <w:rsid w:val="00B21279"/>
    <w:rsid w:val="00B21524"/>
    <w:rsid w:val="00B217D7"/>
    <w:rsid w:val="00B2258B"/>
    <w:rsid w:val="00B2260E"/>
    <w:rsid w:val="00B229D9"/>
    <w:rsid w:val="00B22A44"/>
    <w:rsid w:val="00B22B35"/>
    <w:rsid w:val="00B22C36"/>
    <w:rsid w:val="00B23552"/>
    <w:rsid w:val="00B23AEE"/>
    <w:rsid w:val="00B23CF4"/>
    <w:rsid w:val="00B23E0B"/>
    <w:rsid w:val="00B24372"/>
    <w:rsid w:val="00B2474C"/>
    <w:rsid w:val="00B2480B"/>
    <w:rsid w:val="00B24BC2"/>
    <w:rsid w:val="00B24CC0"/>
    <w:rsid w:val="00B24E07"/>
    <w:rsid w:val="00B24FB6"/>
    <w:rsid w:val="00B2553D"/>
    <w:rsid w:val="00B259F5"/>
    <w:rsid w:val="00B25A17"/>
    <w:rsid w:val="00B25B51"/>
    <w:rsid w:val="00B26206"/>
    <w:rsid w:val="00B262AA"/>
    <w:rsid w:val="00B263E1"/>
    <w:rsid w:val="00B2652F"/>
    <w:rsid w:val="00B2667D"/>
    <w:rsid w:val="00B267EE"/>
    <w:rsid w:val="00B26BA1"/>
    <w:rsid w:val="00B26D8F"/>
    <w:rsid w:val="00B27E55"/>
    <w:rsid w:val="00B30279"/>
    <w:rsid w:val="00B3045C"/>
    <w:rsid w:val="00B30561"/>
    <w:rsid w:val="00B3067D"/>
    <w:rsid w:val="00B30A6F"/>
    <w:rsid w:val="00B30AAB"/>
    <w:rsid w:val="00B30C68"/>
    <w:rsid w:val="00B312FA"/>
    <w:rsid w:val="00B31C38"/>
    <w:rsid w:val="00B320ED"/>
    <w:rsid w:val="00B32380"/>
    <w:rsid w:val="00B32448"/>
    <w:rsid w:val="00B3292E"/>
    <w:rsid w:val="00B32BAA"/>
    <w:rsid w:val="00B32D50"/>
    <w:rsid w:val="00B32EB0"/>
    <w:rsid w:val="00B331A6"/>
    <w:rsid w:val="00B3349B"/>
    <w:rsid w:val="00B335D7"/>
    <w:rsid w:val="00B33C08"/>
    <w:rsid w:val="00B33CBA"/>
    <w:rsid w:val="00B34527"/>
    <w:rsid w:val="00B34ABB"/>
    <w:rsid w:val="00B34EEA"/>
    <w:rsid w:val="00B35073"/>
    <w:rsid w:val="00B35241"/>
    <w:rsid w:val="00B35520"/>
    <w:rsid w:val="00B356A1"/>
    <w:rsid w:val="00B35BC2"/>
    <w:rsid w:val="00B35D71"/>
    <w:rsid w:val="00B361B3"/>
    <w:rsid w:val="00B36454"/>
    <w:rsid w:val="00B36669"/>
    <w:rsid w:val="00B36CB4"/>
    <w:rsid w:val="00B3743E"/>
    <w:rsid w:val="00B37F85"/>
    <w:rsid w:val="00B400D2"/>
    <w:rsid w:val="00B400E8"/>
    <w:rsid w:val="00B401BF"/>
    <w:rsid w:val="00B40255"/>
    <w:rsid w:val="00B4066D"/>
    <w:rsid w:val="00B407FA"/>
    <w:rsid w:val="00B40E0B"/>
    <w:rsid w:val="00B4184A"/>
    <w:rsid w:val="00B41875"/>
    <w:rsid w:val="00B41B89"/>
    <w:rsid w:val="00B41F3E"/>
    <w:rsid w:val="00B43190"/>
    <w:rsid w:val="00B431F3"/>
    <w:rsid w:val="00B433AC"/>
    <w:rsid w:val="00B433EB"/>
    <w:rsid w:val="00B43CD0"/>
    <w:rsid w:val="00B43D0D"/>
    <w:rsid w:val="00B442F1"/>
    <w:rsid w:val="00B445BC"/>
    <w:rsid w:val="00B450CB"/>
    <w:rsid w:val="00B45882"/>
    <w:rsid w:val="00B45C3C"/>
    <w:rsid w:val="00B45FA1"/>
    <w:rsid w:val="00B4610E"/>
    <w:rsid w:val="00B461D8"/>
    <w:rsid w:val="00B4624C"/>
    <w:rsid w:val="00B46354"/>
    <w:rsid w:val="00B4718A"/>
    <w:rsid w:val="00B47431"/>
    <w:rsid w:val="00B47727"/>
    <w:rsid w:val="00B47968"/>
    <w:rsid w:val="00B47AA5"/>
    <w:rsid w:val="00B47BF6"/>
    <w:rsid w:val="00B47ED7"/>
    <w:rsid w:val="00B501B6"/>
    <w:rsid w:val="00B502D8"/>
    <w:rsid w:val="00B50605"/>
    <w:rsid w:val="00B5078B"/>
    <w:rsid w:val="00B50AC8"/>
    <w:rsid w:val="00B50D6D"/>
    <w:rsid w:val="00B514CE"/>
    <w:rsid w:val="00B5184B"/>
    <w:rsid w:val="00B5229B"/>
    <w:rsid w:val="00B527CA"/>
    <w:rsid w:val="00B52A57"/>
    <w:rsid w:val="00B52DAF"/>
    <w:rsid w:val="00B52DE0"/>
    <w:rsid w:val="00B53210"/>
    <w:rsid w:val="00B5338A"/>
    <w:rsid w:val="00B5389F"/>
    <w:rsid w:val="00B539DB"/>
    <w:rsid w:val="00B53AE9"/>
    <w:rsid w:val="00B53F01"/>
    <w:rsid w:val="00B54073"/>
    <w:rsid w:val="00B5425E"/>
    <w:rsid w:val="00B542F1"/>
    <w:rsid w:val="00B545E6"/>
    <w:rsid w:val="00B5471E"/>
    <w:rsid w:val="00B549EA"/>
    <w:rsid w:val="00B54C09"/>
    <w:rsid w:val="00B553E3"/>
    <w:rsid w:val="00B55AC3"/>
    <w:rsid w:val="00B55C1A"/>
    <w:rsid w:val="00B56DD7"/>
    <w:rsid w:val="00B57298"/>
    <w:rsid w:val="00B576F7"/>
    <w:rsid w:val="00B57702"/>
    <w:rsid w:val="00B577E3"/>
    <w:rsid w:val="00B602D9"/>
    <w:rsid w:val="00B60EDE"/>
    <w:rsid w:val="00B611C2"/>
    <w:rsid w:val="00B6158A"/>
    <w:rsid w:val="00B61A73"/>
    <w:rsid w:val="00B6207B"/>
    <w:rsid w:val="00B62445"/>
    <w:rsid w:val="00B62807"/>
    <w:rsid w:val="00B63246"/>
    <w:rsid w:val="00B63941"/>
    <w:rsid w:val="00B63B5B"/>
    <w:rsid w:val="00B63F20"/>
    <w:rsid w:val="00B643D2"/>
    <w:rsid w:val="00B6470F"/>
    <w:rsid w:val="00B648C9"/>
    <w:rsid w:val="00B64B0D"/>
    <w:rsid w:val="00B6500E"/>
    <w:rsid w:val="00B650B1"/>
    <w:rsid w:val="00B65391"/>
    <w:rsid w:val="00B65A57"/>
    <w:rsid w:val="00B6606D"/>
    <w:rsid w:val="00B66141"/>
    <w:rsid w:val="00B66273"/>
    <w:rsid w:val="00B663CC"/>
    <w:rsid w:val="00B66BBE"/>
    <w:rsid w:val="00B66BE1"/>
    <w:rsid w:val="00B67189"/>
    <w:rsid w:val="00B672B2"/>
    <w:rsid w:val="00B70065"/>
    <w:rsid w:val="00B70759"/>
    <w:rsid w:val="00B70A2C"/>
    <w:rsid w:val="00B70BF4"/>
    <w:rsid w:val="00B70FCD"/>
    <w:rsid w:val="00B71236"/>
    <w:rsid w:val="00B717C0"/>
    <w:rsid w:val="00B71950"/>
    <w:rsid w:val="00B719AE"/>
    <w:rsid w:val="00B71E65"/>
    <w:rsid w:val="00B71E90"/>
    <w:rsid w:val="00B7252B"/>
    <w:rsid w:val="00B72E5C"/>
    <w:rsid w:val="00B72FAF"/>
    <w:rsid w:val="00B73197"/>
    <w:rsid w:val="00B733ED"/>
    <w:rsid w:val="00B735E8"/>
    <w:rsid w:val="00B73CFD"/>
    <w:rsid w:val="00B73EF4"/>
    <w:rsid w:val="00B743DC"/>
    <w:rsid w:val="00B74D72"/>
    <w:rsid w:val="00B74EFF"/>
    <w:rsid w:val="00B74F8E"/>
    <w:rsid w:val="00B752DD"/>
    <w:rsid w:val="00B756B8"/>
    <w:rsid w:val="00B76549"/>
    <w:rsid w:val="00B766CB"/>
    <w:rsid w:val="00B767C4"/>
    <w:rsid w:val="00B76BCE"/>
    <w:rsid w:val="00B76F8A"/>
    <w:rsid w:val="00B772F2"/>
    <w:rsid w:val="00B77449"/>
    <w:rsid w:val="00B777E5"/>
    <w:rsid w:val="00B77B0C"/>
    <w:rsid w:val="00B77C0D"/>
    <w:rsid w:val="00B77C4D"/>
    <w:rsid w:val="00B77F41"/>
    <w:rsid w:val="00B807D7"/>
    <w:rsid w:val="00B80ADD"/>
    <w:rsid w:val="00B8118E"/>
    <w:rsid w:val="00B81551"/>
    <w:rsid w:val="00B81C7F"/>
    <w:rsid w:val="00B81E79"/>
    <w:rsid w:val="00B81F8D"/>
    <w:rsid w:val="00B8207A"/>
    <w:rsid w:val="00B82080"/>
    <w:rsid w:val="00B82456"/>
    <w:rsid w:val="00B827AE"/>
    <w:rsid w:val="00B82B09"/>
    <w:rsid w:val="00B82BA9"/>
    <w:rsid w:val="00B82D66"/>
    <w:rsid w:val="00B82DCB"/>
    <w:rsid w:val="00B835BF"/>
    <w:rsid w:val="00B836A6"/>
    <w:rsid w:val="00B840D5"/>
    <w:rsid w:val="00B8430A"/>
    <w:rsid w:val="00B84988"/>
    <w:rsid w:val="00B84A2E"/>
    <w:rsid w:val="00B84AA0"/>
    <w:rsid w:val="00B84C8D"/>
    <w:rsid w:val="00B84EE9"/>
    <w:rsid w:val="00B85274"/>
    <w:rsid w:val="00B85740"/>
    <w:rsid w:val="00B857C7"/>
    <w:rsid w:val="00B85D21"/>
    <w:rsid w:val="00B86056"/>
    <w:rsid w:val="00B8611D"/>
    <w:rsid w:val="00B87095"/>
    <w:rsid w:val="00B8776C"/>
    <w:rsid w:val="00B87BB5"/>
    <w:rsid w:val="00B903FE"/>
    <w:rsid w:val="00B906AB"/>
    <w:rsid w:val="00B908BA"/>
    <w:rsid w:val="00B90BC9"/>
    <w:rsid w:val="00B90D1B"/>
    <w:rsid w:val="00B91765"/>
    <w:rsid w:val="00B917BE"/>
    <w:rsid w:val="00B91BAB"/>
    <w:rsid w:val="00B91BD5"/>
    <w:rsid w:val="00B91DFC"/>
    <w:rsid w:val="00B923CF"/>
    <w:rsid w:val="00B924C0"/>
    <w:rsid w:val="00B940B7"/>
    <w:rsid w:val="00B940BD"/>
    <w:rsid w:val="00B9420D"/>
    <w:rsid w:val="00B942A7"/>
    <w:rsid w:val="00B94332"/>
    <w:rsid w:val="00B94A1E"/>
    <w:rsid w:val="00B94BBA"/>
    <w:rsid w:val="00B94DF4"/>
    <w:rsid w:val="00B94E6B"/>
    <w:rsid w:val="00B9573A"/>
    <w:rsid w:val="00B95822"/>
    <w:rsid w:val="00B95EC5"/>
    <w:rsid w:val="00B95ED9"/>
    <w:rsid w:val="00B96291"/>
    <w:rsid w:val="00B9637F"/>
    <w:rsid w:val="00B96DD5"/>
    <w:rsid w:val="00B96E18"/>
    <w:rsid w:val="00B972F1"/>
    <w:rsid w:val="00B974B6"/>
    <w:rsid w:val="00B977EE"/>
    <w:rsid w:val="00B979B3"/>
    <w:rsid w:val="00B97D53"/>
    <w:rsid w:val="00BA0189"/>
    <w:rsid w:val="00BA082A"/>
    <w:rsid w:val="00BA121A"/>
    <w:rsid w:val="00BA126D"/>
    <w:rsid w:val="00BA12B4"/>
    <w:rsid w:val="00BA174F"/>
    <w:rsid w:val="00BA1857"/>
    <w:rsid w:val="00BA1AA0"/>
    <w:rsid w:val="00BA1F1E"/>
    <w:rsid w:val="00BA2050"/>
    <w:rsid w:val="00BA22AF"/>
    <w:rsid w:val="00BA23C7"/>
    <w:rsid w:val="00BA26A4"/>
    <w:rsid w:val="00BA2B16"/>
    <w:rsid w:val="00BA2EC9"/>
    <w:rsid w:val="00BA322E"/>
    <w:rsid w:val="00BA358F"/>
    <w:rsid w:val="00BA3B8C"/>
    <w:rsid w:val="00BA3DDC"/>
    <w:rsid w:val="00BA3E49"/>
    <w:rsid w:val="00BA4383"/>
    <w:rsid w:val="00BA4620"/>
    <w:rsid w:val="00BA4708"/>
    <w:rsid w:val="00BA4A58"/>
    <w:rsid w:val="00BA4C96"/>
    <w:rsid w:val="00BA51DA"/>
    <w:rsid w:val="00BA59B2"/>
    <w:rsid w:val="00BA5CDF"/>
    <w:rsid w:val="00BA5E9A"/>
    <w:rsid w:val="00BA64CA"/>
    <w:rsid w:val="00BA6703"/>
    <w:rsid w:val="00BA672A"/>
    <w:rsid w:val="00BA6823"/>
    <w:rsid w:val="00BA6848"/>
    <w:rsid w:val="00BA69CB"/>
    <w:rsid w:val="00BA6BD9"/>
    <w:rsid w:val="00BA6D64"/>
    <w:rsid w:val="00BA7376"/>
    <w:rsid w:val="00BA7919"/>
    <w:rsid w:val="00BA7BE4"/>
    <w:rsid w:val="00BA7FCD"/>
    <w:rsid w:val="00BB0151"/>
    <w:rsid w:val="00BB1DA5"/>
    <w:rsid w:val="00BB1E82"/>
    <w:rsid w:val="00BB1F2E"/>
    <w:rsid w:val="00BB2611"/>
    <w:rsid w:val="00BB2BB6"/>
    <w:rsid w:val="00BB2C0D"/>
    <w:rsid w:val="00BB2E28"/>
    <w:rsid w:val="00BB3458"/>
    <w:rsid w:val="00BB38AE"/>
    <w:rsid w:val="00BB38E0"/>
    <w:rsid w:val="00BB3D68"/>
    <w:rsid w:val="00BB418D"/>
    <w:rsid w:val="00BB4AB2"/>
    <w:rsid w:val="00BB4C68"/>
    <w:rsid w:val="00BB4C9F"/>
    <w:rsid w:val="00BB50CD"/>
    <w:rsid w:val="00BB51A1"/>
    <w:rsid w:val="00BB5305"/>
    <w:rsid w:val="00BB55C9"/>
    <w:rsid w:val="00BB564C"/>
    <w:rsid w:val="00BB57FB"/>
    <w:rsid w:val="00BB5B31"/>
    <w:rsid w:val="00BB68E9"/>
    <w:rsid w:val="00BB6B52"/>
    <w:rsid w:val="00BB7281"/>
    <w:rsid w:val="00BB74AF"/>
    <w:rsid w:val="00BB7B10"/>
    <w:rsid w:val="00BB7C53"/>
    <w:rsid w:val="00BB7DDB"/>
    <w:rsid w:val="00BB7FDF"/>
    <w:rsid w:val="00BC00CF"/>
    <w:rsid w:val="00BC059C"/>
    <w:rsid w:val="00BC06FE"/>
    <w:rsid w:val="00BC0812"/>
    <w:rsid w:val="00BC0F8D"/>
    <w:rsid w:val="00BC12BC"/>
    <w:rsid w:val="00BC12F1"/>
    <w:rsid w:val="00BC159F"/>
    <w:rsid w:val="00BC1B73"/>
    <w:rsid w:val="00BC1E53"/>
    <w:rsid w:val="00BC216E"/>
    <w:rsid w:val="00BC39E6"/>
    <w:rsid w:val="00BC3A58"/>
    <w:rsid w:val="00BC3B0B"/>
    <w:rsid w:val="00BC3BE1"/>
    <w:rsid w:val="00BC3D69"/>
    <w:rsid w:val="00BC3F2B"/>
    <w:rsid w:val="00BC4447"/>
    <w:rsid w:val="00BC4B10"/>
    <w:rsid w:val="00BC5418"/>
    <w:rsid w:val="00BC5848"/>
    <w:rsid w:val="00BC61A6"/>
    <w:rsid w:val="00BC6546"/>
    <w:rsid w:val="00BC6D76"/>
    <w:rsid w:val="00BC70DD"/>
    <w:rsid w:val="00BC7334"/>
    <w:rsid w:val="00BC740D"/>
    <w:rsid w:val="00BC7493"/>
    <w:rsid w:val="00BC74E2"/>
    <w:rsid w:val="00BC770E"/>
    <w:rsid w:val="00BC7D0A"/>
    <w:rsid w:val="00BD01F7"/>
    <w:rsid w:val="00BD036D"/>
    <w:rsid w:val="00BD041B"/>
    <w:rsid w:val="00BD04FE"/>
    <w:rsid w:val="00BD06A9"/>
    <w:rsid w:val="00BD0D03"/>
    <w:rsid w:val="00BD1070"/>
    <w:rsid w:val="00BD110A"/>
    <w:rsid w:val="00BD1276"/>
    <w:rsid w:val="00BD12C2"/>
    <w:rsid w:val="00BD13F0"/>
    <w:rsid w:val="00BD1444"/>
    <w:rsid w:val="00BD1956"/>
    <w:rsid w:val="00BD1C06"/>
    <w:rsid w:val="00BD1E87"/>
    <w:rsid w:val="00BD20D4"/>
    <w:rsid w:val="00BD216A"/>
    <w:rsid w:val="00BD2580"/>
    <w:rsid w:val="00BD2DF8"/>
    <w:rsid w:val="00BD3575"/>
    <w:rsid w:val="00BD35EC"/>
    <w:rsid w:val="00BD36C6"/>
    <w:rsid w:val="00BD4182"/>
    <w:rsid w:val="00BD426D"/>
    <w:rsid w:val="00BD46D1"/>
    <w:rsid w:val="00BD490B"/>
    <w:rsid w:val="00BD4B3D"/>
    <w:rsid w:val="00BD56DA"/>
    <w:rsid w:val="00BD5B20"/>
    <w:rsid w:val="00BD5DDD"/>
    <w:rsid w:val="00BD5F44"/>
    <w:rsid w:val="00BD6048"/>
    <w:rsid w:val="00BD6184"/>
    <w:rsid w:val="00BD67DB"/>
    <w:rsid w:val="00BD69AD"/>
    <w:rsid w:val="00BD6AE3"/>
    <w:rsid w:val="00BD6BD5"/>
    <w:rsid w:val="00BD7368"/>
    <w:rsid w:val="00BD7446"/>
    <w:rsid w:val="00BD770A"/>
    <w:rsid w:val="00BD7B8E"/>
    <w:rsid w:val="00BD7BCB"/>
    <w:rsid w:val="00BE033F"/>
    <w:rsid w:val="00BE0412"/>
    <w:rsid w:val="00BE0633"/>
    <w:rsid w:val="00BE07B8"/>
    <w:rsid w:val="00BE08F9"/>
    <w:rsid w:val="00BE0AD6"/>
    <w:rsid w:val="00BE0CF5"/>
    <w:rsid w:val="00BE0F87"/>
    <w:rsid w:val="00BE11FA"/>
    <w:rsid w:val="00BE14E7"/>
    <w:rsid w:val="00BE16A5"/>
    <w:rsid w:val="00BE16C5"/>
    <w:rsid w:val="00BE1799"/>
    <w:rsid w:val="00BE1F37"/>
    <w:rsid w:val="00BE20E7"/>
    <w:rsid w:val="00BE2247"/>
    <w:rsid w:val="00BE23CA"/>
    <w:rsid w:val="00BE259F"/>
    <w:rsid w:val="00BE2DBE"/>
    <w:rsid w:val="00BE314C"/>
    <w:rsid w:val="00BE3A0C"/>
    <w:rsid w:val="00BE3A8B"/>
    <w:rsid w:val="00BE3AEC"/>
    <w:rsid w:val="00BE3C11"/>
    <w:rsid w:val="00BE40EE"/>
    <w:rsid w:val="00BE4854"/>
    <w:rsid w:val="00BE4899"/>
    <w:rsid w:val="00BE4B0B"/>
    <w:rsid w:val="00BE4DEA"/>
    <w:rsid w:val="00BE4F86"/>
    <w:rsid w:val="00BE4FDE"/>
    <w:rsid w:val="00BE56A8"/>
    <w:rsid w:val="00BE587C"/>
    <w:rsid w:val="00BE59DD"/>
    <w:rsid w:val="00BE5E4B"/>
    <w:rsid w:val="00BE6394"/>
    <w:rsid w:val="00BE6890"/>
    <w:rsid w:val="00BE68AF"/>
    <w:rsid w:val="00BE7560"/>
    <w:rsid w:val="00BE77F1"/>
    <w:rsid w:val="00BE7C0D"/>
    <w:rsid w:val="00BE7D2C"/>
    <w:rsid w:val="00BE7D98"/>
    <w:rsid w:val="00BF0232"/>
    <w:rsid w:val="00BF03A6"/>
    <w:rsid w:val="00BF0801"/>
    <w:rsid w:val="00BF0805"/>
    <w:rsid w:val="00BF0912"/>
    <w:rsid w:val="00BF092B"/>
    <w:rsid w:val="00BF0A10"/>
    <w:rsid w:val="00BF0AFF"/>
    <w:rsid w:val="00BF1362"/>
    <w:rsid w:val="00BF19B6"/>
    <w:rsid w:val="00BF1B89"/>
    <w:rsid w:val="00BF2050"/>
    <w:rsid w:val="00BF213E"/>
    <w:rsid w:val="00BF24D7"/>
    <w:rsid w:val="00BF251D"/>
    <w:rsid w:val="00BF3123"/>
    <w:rsid w:val="00BF31AA"/>
    <w:rsid w:val="00BF32B2"/>
    <w:rsid w:val="00BF3335"/>
    <w:rsid w:val="00BF33FD"/>
    <w:rsid w:val="00BF3611"/>
    <w:rsid w:val="00BF388B"/>
    <w:rsid w:val="00BF3DAD"/>
    <w:rsid w:val="00BF45AF"/>
    <w:rsid w:val="00BF47E7"/>
    <w:rsid w:val="00BF48A3"/>
    <w:rsid w:val="00BF4F11"/>
    <w:rsid w:val="00BF5455"/>
    <w:rsid w:val="00BF593B"/>
    <w:rsid w:val="00BF5A5B"/>
    <w:rsid w:val="00BF5ECA"/>
    <w:rsid w:val="00BF63D0"/>
    <w:rsid w:val="00BF63E1"/>
    <w:rsid w:val="00BF661B"/>
    <w:rsid w:val="00BF68CF"/>
    <w:rsid w:val="00BF6B56"/>
    <w:rsid w:val="00BF6F4C"/>
    <w:rsid w:val="00BF7104"/>
    <w:rsid w:val="00BF7CFA"/>
    <w:rsid w:val="00C000FC"/>
    <w:rsid w:val="00C00597"/>
    <w:rsid w:val="00C01327"/>
    <w:rsid w:val="00C01594"/>
    <w:rsid w:val="00C01BAD"/>
    <w:rsid w:val="00C01C56"/>
    <w:rsid w:val="00C01D9A"/>
    <w:rsid w:val="00C0236B"/>
    <w:rsid w:val="00C02D5D"/>
    <w:rsid w:val="00C02E76"/>
    <w:rsid w:val="00C02FEB"/>
    <w:rsid w:val="00C030F1"/>
    <w:rsid w:val="00C031EA"/>
    <w:rsid w:val="00C0353A"/>
    <w:rsid w:val="00C03ADC"/>
    <w:rsid w:val="00C0407B"/>
    <w:rsid w:val="00C04370"/>
    <w:rsid w:val="00C04483"/>
    <w:rsid w:val="00C04975"/>
    <w:rsid w:val="00C04A24"/>
    <w:rsid w:val="00C04DC9"/>
    <w:rsid w:val="00C050BA"/>
    <w:rsid w:val="00C051C0"/>
    <w:rsid w:val="00C0527F"/>
    <w:rsid w:val="00C05454"/>
    <w:rsid w:val="00C05956"/>
    <w:rsid w:val="00C05BAA"/>
    <w:rsid w:val="00C0606D"/>
    <w:rsid w:val="00C06326"/>
    <w:rsid w:val="00C0665A"/>
    <w:rsid w:val="00C06CD1"/>
    <w:rsid w:val="00C06D12"/>
    <w:rsid w:val="00C06DE4"/>
    <w:rsid w:val="00C06E9F"/>
    <w:rsid w:val="00C06F32"/>
    <w:rsid w:val="00C0717D"/>
    <w:rsid w:val="00C07258"/>
    <w:rsid w:val="00C072F7"/>
    <w:rsid w:val="00C07737"/>
    <w:rsid w:val="00C07AAF"/>
    <w:rsid w:val="00C07FD9"/>
    <w:rsid w:val="00C109A3"/>
    <w:rsid w:val="00C11AD5"/>
    <w:rsid w:val="00C11B6A"/>
    <w:rsid w:val="00C124A4"/>
    <w:rsid w:val="00C1256C"/>
    <w:rsid w:val="00C12996"/>
    <w:rsid w:val="00C13096"/>
    <w:rsid w:val="00C130E4"/>
    <w:rsid w:val="00C13149"/>
    <w:rsid w:val="00C137D0"/>
    <w:rsid w:val="00C139E0"/>
    <w:rsid w:val="00C13A6C"/>
    <w:rsid w:val="00C13C01"/>
    <w:rsid w:val="00C142B2"/>
    <w:rsid w:val="00C149B4"/>
    <w:rsid w:val="00C14ADD"/>
    <w:rsid w:val="00C14E5D"/>
    <w:rsid w:val="00C152C8"/>
    <w:rsid w:val="00C1560F"/>
    <w:rsid w:val="00C1578B"/>
    <w:rsid w:val="00C15FBD"/>
    <w:rsid w:val="00C16111"/>
    <w:rsid w:val="00C16565"/>
    <w:rsid w:val="00C16692"/>
    <w:rsid w:val="00C16BFD"/>
    <w:rsid w:val="00C16ED3"/>
    <w:rsid w:val="00C170B0"/>
    <w:rsid w:val="00C173E9"/>
    <w:rsid w:val="00C17433"/>
    <w:rsid w:val="00C176E2"/>
    <w:rsid w:val="00C17B45"/>
    <w:rsid w:val="00C17B89"/>
    <w:rsid w:val="00C2005B"/>
    <w:rsid w:val="00C20122"/>
    <w:rsid w:val="00C201DF"/>
    <w:rsid w:val="00C206FD"/>
    <w:rsid w:val="00C209BF"/>
    <w:rsid w:val="00C21029"/>
    <w:rsid w:val="00C215DC"/>
    <w:rsid w:val="00C217D9"/>
    <w:rsid w:val="00C2181D"/>
    <w:rsid w:val="00C21C9C"/>
    <w:rsid w:val="00C21D6E"/>
    <w:rsid w:val="00C22107"/>
    <w:rsid w:val="00C221FE"/>
    <w:rsid w:val="00C22CD4"/>
    <w:rsid w:val="00C23196"/>
    <w:rsid w:val="00C234C7"/>
    <w:rsid w:val="00C23E1B"/>
    <w:rsid w:val="00C240DA"/>
    <w:rsid w:val="00C2445E"/>
    <w:rsid w:val="00C24912"/>
    <w:rsid w:val="00C24D6A"/>
    <w:rsid w:val="00C24DDF"/>
    <w:rsid w:val="00C24E33"/>
    <w:rsid w:val="00C25003"/>
    <w:rsid w:val="00C25191"/>
    <w:rsid w:val="00C25381"/>
    <w:rsid w:val="00C2543B"/>
    <w:rsid w:val="00C25B7B"/>
    <w:rsid w:val="00C26188"/>
    <w:rsid w:val="00C2678B"/>
    <w:rsid w:val="00C268FB"/>
    <w:rsid w:val="00C26DA9"/>
    <w:rsid w:val="00C27123"/>
    <w:rsid w:val="00C2727C"/>
    <w:rsid w:val="00C27CA3"/>
    <w:rsid w:val="00C30789"/>
    <w:rsid w:val="00C30B98"/>
    <w:rsid w:val="00C30DAB"/>
    <w:rsid w:val="00C3113C"/>
    <w:rsid w:val="00C313C4"/>
    <w:rsid w:val="00C31562"/>
    <w:rsid w:val="00C31768"/>
    <w:rsid w:val="00C31CFF"/>
    <w:rsid w:val="00C31F13"/>
    <w:rsid w:val="00C320E1"/>
    <w:rsid w:val="00C32282"/>
    <w:rsid w:val="00C3236E"/>
    <w:rsid w:val="00C324A1"/>
    <w:rsid w:val="00C3263C"/>
    <w:rsid w:val="00C32C9B"/>
    <w:rsid w:val="00C32CEF"/>
    <w:rsid w:val="00C32FA6"/>
    <w:rsid w:val="00C330B4"/>
    <w:rsid w:val="00C330FE"/>
    <w:rsid w:val="00C3315A"/>
    <w:rsid w:val="00C3333C"/>
    <w:rsid w:val="00C33540"/>
    <w:rsid w:val="00C33556"/>
    <w:rsid w:val="00C3384C"/>
    <w:rsid w:val="00C3386D"/>
    <w:rsid w:val="00C339C0"/>
    <w:rsid w:val="00C33A0F"/>
    <w:rsid w:val="00C33B3F"/>
    <w:rsid w:val="00C3428D"/>
    <w:rsid w:val="00C344C8"/>
    <w:rsid w:val="00C345A8"/>
    <w:rsid w:val="00C346FB"/>
    <w:rsid w:val="00C34874"/>
    <w:rsid w:val="00C34BD7"/>
    <w:rsid w:val="00C34F2D"/>
    <w:rsid w:val="00C35096"/>
    <w:rsid w:val="00C35373"/>
    <w:rsid w:val="00C35DD2"/>
    <w:rsid w:val="00C36939"/>
    <w:rsid w:val="00C369BF"/>
    <w:rsid w:val="00C36E6F"/>
    <w:rsid w:val="00C37A32"/>
    <w:rsid w:val="00C37AE7"/>
    <w:rsid w:val="00C37F72"/>
    <w:rsid w:val="00C40887"/>
    <w:rsid w:val="00C409E5"/>
    <w:rsid w:val="00C40CA0"/>
    <w:rsid w:val="00C40E8D"/>
    <w:rsid w:val="00C412D9"/>
    <w:rsid w:val="00C413D0"/>
    <w:rsid w:val="00C418DC"/>
    <w:rsid w:val="00C41C1F"/>
    <w:rsid w:val="00C425DF"/>
    <w:rsid w:val="00C42C19"/>
    <w:rsid w:val="00C42DF6"/>
    <w:rsid w:val="00C4319F"/>
    <w:rsid w:val="00C43846"/>
    <w:rsid w:val="00C440EB"/>
    <w:rsid w:val="00C4480C"/>
    <w:rsid w:val="00C4481A"/>
    <w:rsid w:val="00C449AA"/>
    <w:rsid w:val="00C44BED"/>
    <w:rsid w:val="00C4527D"/>
    <w:rsid w:val="00C45303"/>
    <w:rsid w:val="00C45636"/>
    <w:rsid w:val="00C463D6"/>
    <w:rsid w:val="00C46744"/>
    <w:rsid w:val="00C46943"/>
    <w:rsid w:val="00C469FC"/>
    <w:rsid w:val="00C46B0B"/>
    <w:rsid w:val="00C4706F"/>
    <w:rsid w:val="00C470C7"/>
    <w:rsid w:val="00C474AE"/>
    <w:rsid w:val="00C4760F"/>
    <w:rsid w:val="00C47C5D"/>
    <w:rsid w:val="00C47DD4"/>
    <w:rsid w:val="00C502E1"/>
    <w:rsid w:val="00C50D1C"/>
    <w:rsid w:val="00C50E28"/>
    <w:rsid w:val="00C50F25"/>
    <w:rsid w:val="00C51098"/>
    <w:rsid w:val="00C51D91"/>
    <w:rsid w:val="00C51ED1"/>
    <w:rsid w:val="00C529EA"/>
    <w:rsid w:val="00C52F33"/>
    <w:rsid w:val="00C534F3"/>
    <w:rsid w:val="00C53550"/>
    <w:rsid w:val="00C5357D"/>
    <w:rsid w:val="00C5359B"/>
    <w:rsid w:val="00C536EA"/>
    <w:rsid w:val="00C53BA1"/>
    <w:rsid w:val="00C53CB0"/>
    <w:rsid w:val="00C53EFE"/>
    <w:rsid w:val="00C540E5"/>
    <w:rsid w:val="00C545DA"/>
    <w:rsid w:val="00C5525B"/>
    <w:rsid w:val="00C55689"/>
    <w:rsid w:val="00C556E4"/>
    <w:rsid w:val="00C5592A"/>
    <w:rsid w:val="00C55F90"/>
    <w:rsid w:val="00C55FEE"/>
    <w:rsid w:val="00C56137"/>
    <w:rsid w:val="00C5615B"/>
    <w:rsid w:val="00C563C1"/>
    <w:rsid w:val="00C56C07"/>
    <w:rsid w:val="00C5701E"/>
    <w:rsid w:val="00C57073"/>
    <w:rsid w:val="00C60008"/>
    <w:rsid w:val="00C618F9"/>
    <w:rsid w:val="00C61BAA"/>
    <w:rsid w:val="00C61C28"/>
    <w:rsid w:val="00C6230B"/>
    <w:rsid w:val="00C62542"/>
    <w:rsid w:val="00C6300D"/>
    <w:rsid w:val="00C630CA"/>
    <w:rsid w:val="00C635E9"/>
    <w:rsid w:val="00C6368A"/>
    <w:rsid w:val="00C63AD6"/>
    <w:rsid w:val="00C64370"/>
    <w:rsid w:val="00C646EB"/>
    <w:rsid w:val="00C64809"/>
    <w:rsid w:val="00C64B0F"/>
    <w:rsid w:val="00C6505D"/>
    <w:rsid w:val="00C6528E"/>
    <w:rsid w:val="00C659A8"/>
    <w:rsid w:val="00C65B79"/>
    <w:rsid w:val="00C65C02"/>
    <w:rsid w:val="00C65D05"/>
    <w:rsid w:val="00C661D7"/>
    <w:rsid w:val="00C662F0"/>
    <w:rsid w:val="00C663F0"/>
    <w:rsid w:val="00C66741"/>
    <w:rsid w:val="00C66B59"/>
    <w:rsid w:val="00C66FF6"/>
    <w:rsid w:val="00C675C6"/>
    <w:rsid w:val="00C67632"/>
    <w:rsid w:val="00C67D27"/>
    <w:rsid w:val="00C67FB0"/>
    <w:rsid w:val="00C7011E"/>
    <w:rsid w:val="00C70501"/>
    <w:rsid w:val="00C70B4E"/>
    <w:rsid w:val="00C70D22"/>
    <w:rsid w:val="00C70F74"/>
    <w:rsid w:val="00C70FE8"/>
    <w:rsid w:val="00C71375"/>
    <w:rsid w:val="00C71412"/>
    <w:rsid w:val="00C715AF"/>
    <w:rsid w:val="00C71847"/>
    <w:rsid w:val="00C71A51"/>
    <w:rsid w:val="00C71C7F"/>
    <w:rsid w:val="00C71FC3"/>
    <w:rsid w:val="00C7212A"/>
    <w:rsid w:val="00C72405"/>
    <w:rsid w:val="00C72AEB"/>
    <w:rsid w:val="00C73332"/>
    <w:rsid w:val="00C733D5"/>
    <w:rsid w:val="00C73A78"/>
    <w:rsid w:val="00C73A89"/>
    <w:rsid w:val="00C73E43"/>
    <w:rsid w:val="00C744B4"/>
    <w:rsid w:val="00C74A95"/>
    <w:rsid w:val="00C75338"/>
    <w:rsid w:val="00C758C8"/>
    <w:rsid w:val="00C75A92"/>
    <w:rsid w:val="00C75DFC"/>
    <w:rsid w:val="00C760BE"/>
    <w:rsid w:val="00C765A4"/>
    <w:rsid w:val="00C767BD"/>
    <w:rsid w:val="00C76CE5"/>
    <w:rsid w:val="00C7713E"/>
    <w:rsid w:val="00C774BF"/>
    <w:rsid w:val="00C774FB"/>
    <w:rsid w:val="00C778CB"/>
    <w:rsid w:val="00C779EC"/>
    <w:rsid w:val="00C77D02"/>
    <w:rsid w:val="00C802E0"/>
    <w:rsid w:val="00C807EE"/>
    <w:rsid w:val="00C808D3"/>
    <w:rsid w:val="00C80BF7"/>
    <w:rsid w:val="00C80BFD"/>
    <w:rsid w:val="00C81441"/>
    <w:rsid w:val="00C814F9"/>
    <w:rsid w:val="00C815F2"/>
    <w:rsid w:val="00C819C5"/>
    <w:rsid w:val="00C81D66"/>
    <w:rsid w:val="00C82BFF"/>
    <w:rsid w:val="00C82E2A"/>
    <w:rsid w:val="00C82E98"/>
    <w:rsid w:val="00C82F88"/>
    <w:rsid w:val="00C8334C"/>
    <w:rsid w:val="00C8375A"/>
    <w:rsid w:val="00C8380E"/>
    <w:rsid w:val="00C838B4"/>
    <w:rsid w:val="00C83B57"/>
    <w:rsid w:val="00C8402F"/>
    <w:rsid w:val="00C84675"/>
    <w:rsid w:val="00C8483D"/>
    <w:rsid w:val="00C84DCF"/>
    <w:rsid w:val="00C8534C"/>
    <w:rsid w:val="00C8535E"/>
    <w:rsid w:val="00C85637"/>
    <w:rsid w:val="00C85CC6"/>
    <w:rsid w:val="00C85CCF"/>
    <w:rsid w:val="00C85CF9"/>
    <w:rsid w:val="00C85DB3"/>
    <w:rsid w:val="00C85E85"/>
    <w:rsid w:val="00C8613B"/>
    <w:rsid w:val="00C86A42"/>
    <w:rsid w:val="00C86E11"/>
    <w:rsid w:val="00C870FE"/>
    <w:rsid w:val="00C8719D"/>
    <w:rsid w:val="00C871FB"/>
    <w:rsid w:val="00C87303"/>
    <w:rsid w:val="00C8754F"/>
    <w:rsid w:val="00C877FA"/>
    <w:rsid w:val="00C879C6"/>
    <w:rsid w:val="00C87C7F"/>
    <w:rsid w:val="00C87D04"/>
    <w:rsid w:val="00C904FC"/>
    <w:rsid w:val="00C90F20"/>
    <w:rsid w:val="00C913DE"/>
    <w:rsid w:val="00C91449"/>
    <w:rsid w:val="00C914D6"/>
    <w:rsid w:val="00C91BD9"/>
    <w:rsid w:val="00C91C55"/>
    <w:rsid w:val="00C91D0D"/>
    <w:rsid w:val="00C92105"/>
    <w:rsid w:val="00C92423"/>
    <w:rsid w:val="00C928AA"/>
    <w:rsid w:val="00C92A47"/>
    <w:rsid w:val="00C932B7"/>
    <w:rsid w:val="00C93635"/>
    <w:rsid w:val="00C93D34"/>
    <w:rsid w:val="00C940C9"/>
    <w:rsid w:val="00C941B7"/>
    <w:rsid w:val="00C942D9"/>
    <w:rsid w:val="00C943C9"/>
    <w:rsid w:val="00C94876"/>
    <w:rsid w:val="00C94AEC"/>
    <w:rsid w:val="00C94D5C"/>
    <w:rsid w:val="00C94E20"/>
    <w:rsid w:val="00C95291"/>
    <w:rsid w:val="00C95486"/>
    <w:rsid w:val="00C95619"/>
    <w:rsid w:val="00C95686"/>
    <w:rsid w:val="00C957D2"/>
    <w:rsid w:val="00C95BF8"/>
    <w:rsid w:val="00C95CBC"/>
    <w:rsid w:val="00C960C7"/>
    <w:rsid w:val="00C96E57"/>
    <w:rsid w:val="00C96E88"/>
    <w:rsid w:val="00C971C9"/>
    <w:rsid w:val="00C972A1"/>
    <w:rsid w:val="00C9732A"/>
    <w:rsid w:val="00C9768F"/>
    <w:rsid w:val="00C97C1C"/>
    <w:rsid w:val="00C97F3B"/>
    <w:rsid w:val="00CA00FB"/>
    <w:rsid w:val="00CA025C"/>
    <w:rsid w:val="00CA0D49"/>
    <w:rsid w:val="00CA0F5E"/>
    <w:rsid w:val="00CA1884"/>
    <w:rsid w:val="00CA19D3"/>
    <w:rsid w:val="00CA20D7"/>
    <w:rsid w:val="00CA268F"/>
    <w:rsid w:val="00CA29E6"/>
    <w:rsid w:val="00CA2EA9"/>
    <w:rsid w:val="00CA31DE"/>
    <w:rsid w:val="00CA4512"/>
    <w:rsid w:val="00CA45E0"/>
    <w:rsid w:val="00CA4B25"/>
    <w:rsid w:val="00CA4CAD"/>
    <w:rsid w:val="00CA4E63"/>
    <w:rsid w:val="00CA5164"/>
    <w:rsid w:val="00CA51D5"/>
    <w:rsid w:val="00CA5396"/>
    <w:rsid w:val="00CA5421"/>
    <w:rsid w:val="00CA542E"/>
    <w:rsid w:val="00CA54FA"/>
    <w:rsid w:val="00CA589D"/>
    <w:rsid w:val="00CA5C15"/>
    <w:rsid w:val="00CA618B"/>
    <w:rsid w:val="00CA661C"/>
    <w:rsid w:val="00CA68C2"/>
    <w:rsid w:val="00CA6E9C"/>
    <w:rsid w:val="00CA6F36"/>
    <w:rsid w:val="00CA7142"/>
    <w:rsid w:val="00CA74C7"/>
    <w:rsid w:val="00CA75E4"/>
    <w:rsid w:val="00CA7709"/>
    <w:rsid w:val="00CA7880"/>
    <w:rsid w:val="00CA7BBD"/>
    <w:rsid w:val="00CA7C72"/>
    <w:rsid w:val="00CB0273"/>
    <w:rsid w:val="00CB05F5"/>
    <w:rsid w:val="00CB0A48"/>
    <w:rsid w:val="00CB0B84"/>
    <w:rsid w:val="00CB10F9"/>
    <w:rsid w:val="00CB14FC"/>
    <w:rsid w:val="00CB1694"/>
    <w:rsid w:val="00CB1793"/>
    <w:rsid w:val="00CB1B2F"/>
    <w:rsid w:val="00CB2668"/>
    <w:rsid w:val="00CB2827"/>
    <w:rsid w:val="00CB29EF"/>
    <w:rsid w:val="00CB2ED9"/>
    <w:rsid w:val="00CB2FE9"/>
    <w:rsid w:val="00CB3217"/>
    <w:rsid w:val="00CB33CA"/>
    <w:rsid w:val="00CB3439"/>
    <w:rsid w:val="00CB4056"/>
    <w:rsid w:val="00CB407B"/>
    <w:rsid w:val="00CB44B0"/>
    <w:rsid w:val="00CB44B7"/>
    <w:rsid w:val="00CB450F"/>
    <w:rsid w:val="00CB605A"/>
    <w:rsid w:val="00CB62D0"/>
    <w:rsid w:val="00CB655D"/>
    <w:rsid w:val="00CB656C"/>
    <w:rsid w:val="00CB66BA"/>
    <w:rsid w:val="00CB6704"/>
    <w:rsid w:val="00CB6DB5"/>
    <w:rsid w:val="00CB6EF0"/>
    <w:rsid w:val="00CB6F76"/>
    <w:rsid w:val="00CB747C"/>
    <w:rsid w:val="00CB7720"/>
    <w:rsid w:val="00CB7901"/>
    <w:rsid w:val="00CB7A54"/>
    <w:rsid w:val="00CB7D31"/>
    <w:rsid w:val="00CC01F6"/>
    <w:rsid w:val="00CC0A9C"/>
    <w:rsid w:val="00CC134F"/>
    <w:rsid w:val="00CC1645"/>
    <w:rsid w:val="00CC1A77"/>
    <w:rsid w:val="00CC1C13"/>
    <w:rsid w:val="00CC1F96"/>
    <w:rsid w:val="00CC201B"/>
    <w:rsid w:val="00CC258D"/>
    <w:rsid w:val="00CC278B"/>
    <w:rsid w:val="00CC28E8"/>
    <w:rsid w:val="00CC2C3C"/>
    <w:rsid w:val="00CC2DA5"/>
    <w:rsid w:val="00CC2E96"/>
    <w:rsid w:val="00CC2EB6"/>
    <w:rsid w:val="00CC2FE1"/>
    <w:rsid w:val="00CC317E"/>
    <w:rsid w:val="00CC3694"/>
    <w:rsid w:val="00CC388A"/>
    <w:rsid w:val="00CC3AB5"/>
    <w:rsid w:val="00CC413C"/>
    <w:rsid w:val="00CC415B"/>
    <w:rsid w:val="00CC45F6"/>
    <w:rsid w:val="00CC480D"/>
    <w:rsid w:val="00CC4B43"/>
    <w:rsid w:val="00CC518E"/>
    <w:rsid w:val="00CC5773"/>
    <w:rsid w:val="00CC58EB"/>
    <w:rsid w:val="00CC59CF"/>
    <w:rsid w:val="00CC5D6F"/>
    <w:rsid w:val="00CC6619"/>
    <w:rsid w:val="00CC6761"/>
    <w:rsid w:val="00CC6DF1"/>
    <w:rsid w:val="00CC759E"/>
    <w:rsid w:val="00CC7CB8"/>
    <w:rsid w:val="00CC7DA4"/>
    <w:rsid w:val="00CC7DA8"/>
    <w:rsid w:val="00CC7DE7"/>
    <w:rsid w:val="00CD01B3"/>
    <w:rsid w:val="00CD0225"/>
    <w:rsid w:val="00CD0303"/>
    <w:rsid w:val="00CD08A9"/>
    <w:rsid w:val="00CD0A80"/>
    <w:rsid w:val="00CD0C8B"/>
    <w:rsid w:val="00CD0FEA"/>
    <w:rsid w:val="00CD1298"/>
    <w:rsid w:val="00CD16EA"/>
    <w:rsid w:val="00CD19E4"/>
    <w:rsid w:val="00CD1E5C"/>
    <w:rsid w:val="00CD1E9A"/>
    <w:rsid w:val="00CD2027"/>
    <w:rsid w:val="00CD2831"/>
    <w:rsid w:val="00CD2DA6"/>
    <w:rsid w:val="00CD33A1"/>
    <w:rsid w:val="00CD36B5"/>
    <w:rsid w:val="00CD38BB"/>
    <w:rsid w:val="00CD3D76"/>
    <w:rsid w:val="00CD4228"/>
    <w:rsid w:val="00CD4488"/>
    <w:rsid w:val="00CD519A"/>
    <w:rsid w:val="00CD566E"/>
    <w:rsid w:val="00CD5830"/>
    <w:rsid w:val="00CD586B"/>
    <w:rsid w:val="00CD5891"/>
    <w:rsid w:val="00CD58E9"/>
    <w:rsid w:val="00CD5AE8"/>
    <w:rsid w:val="00CD5F72"/>
    <w:rsid w:val="00CD63A4"/>
    <w:rsid w:val="00CD6897"/>
    <w:rsid w:val="00CD6A34"/>
    <w:rsid w:val="00CD6F41"/>
    <w:rsid w:val="00CD6FA9"/>
    <w:rsid w:val="00CD7534"/>
    <w:rsid w:val="00CD793A"/>
    <w:rsid w:val="00CE026E"/>
    <w:rsid w:val="00CE08D0"/>
    <w:rsid w:val="00CE0C3E"/>
    <w:rsid w:val="00CE0CBC"/>
    <w:rsid w:val="00CE0E62"/>
    <w:rsid w:val="00CE120F"/>
    <w:rsid w:val="00CE1211"/>
    <w:rsid w:val="00CE14B3"/>
    <w:rsid w:val="00CE1688"/>
    <w:rsid w:val="00CE17D2"/>
    <w:rsid w:val="00CE17E3"/>
    <w:rsid w:val="00CE1983"/>
    <w:rsid w:val="00CE226E"/>
    <w:rsid w:val="00CE2620"/>
    <w:rsid w:val="00CE2A2C"/>
    <w:rsid w:val="00CE307C"/>
    <w:rsid w:val="00CE3176"/>
    <w:rsid w:val="00CE3E44"/>
    <w:rsid w:val="00CE3F0E"/>
    <w:rsid w:val="00CE40BE"/>
    <w:rsid w:val="00CE40EF"/>
    <w:rsid w:val="00CE458D"/>
    <w:rsid w:val="00CE473E"/>
    <w:rsid w:val="00CE4D2D"/>
    <w:rsid w:val="00CE4DBB"/>
    <w:rsid w:val="00CE4E50"/>
    <w:rsid w:val="00CE5428"/>
    <w:rsid w:val="00CE56B3"/>
    <w:rsid w:val="00CE5BFF"/>
    <w:rsid w:val="00CE5C1E"/>
    <w:rsid w:val="00CE5F42"/>
    <w:rsid w:val="00CE6286"/>
    <w:rsid w:val="00CE6881"/>
    <w:rsid w:val="00CE6E1D"/>
    <w:rsid w:val="00CE6E4C"/>
    <w:rsid w:val="00CE6F08"/>
    <w:rsid w:val="00CE6F37"/>
    <w:rsid w:val="00CE76EB"/>
    <w:rsid w:val="00CF0033"/>
    <w:rsid w:val="00CF017F"/>
    <w:rsid w:val="00CF08A9"/>
    <w:rsid w:val="00CF09C3"/>
    <w:rsid w:val="00CF0A33"/>
    <w:rsid w:val="00CF0A43"/>
    <w:rsid w:val="00CF0E99"/>
    <w:rsid w:val="00CF0F3C"/>
    <w:rsid w:val="00CF2329"/>
    <w:rsid w:val="00CF253E"/>
    <w:rsid w:val="00CF257B"/>
    <w:rsid w:val="00CF2620"/>
    <w:rsid w:val="00CF2A40"/>
    <w:rsid w:val="00CF2A4A"/>
    <w:rsid w:val="00CF2BC3"/>
    <w:rsid w:val="00CF2DB0"/>
    <w:rsid w:val="00CF2E43"/>
    <w:rsid w:val="00CF3445"/>
    <w:rsid w:val="00CF3770"/>
    <w:rsid w:val="00CF3A4C"/>
    <w:rsid w:val="00CF4198"/>
    <w:rsid w:val="00CF4377"/>
    <w:rsid w:val="00CF465E"/>
    <w:rsid w:val="00CF4694"/>
    <w:rsid w:val="00CF470A"/>
    <w:rsid w:val="00CF487E"/>
    <w:rsid w:val="00CF4B98"/>
    <w:rsid w:val="00CF4C98"/>
    <w:rsid w:val="00CF4E83"/>
    <w:rsid w:val="00CF5442"/>
    <w:rsid w:val="00CF5491"/>
    <w:rsid w:val="00CF5522"/>
    <w:rsid w:val="00CF5641"/>
    <w:rsid w:val="00CF58F6"/>
    <w:rsid w:val="00CF5F91"/>
    <w:rsid w:val="00CF61ED"/>
    <w:rsid w:val="00CF6467"/>
    <w:rsid w:val="00CF68BB"/>
    <w:rsid w:val="00CF6B8E"/>
    <w:rsid w:val="00CF6CFB"/>
    <w:rsid w:val="00CF6ED9"/>
    <w:rsid w:val="00CF760D"/>
    <w:rsid w:val="00CF7BE1"/>
    <w:rsid w:val="00CF7EE5"/>
    <w:rsid w:val="00D00293"/>
    <w:rsid w:val="00D005D9"/>
    <w:rsid w:val="00D00860"/>
    <w:rsid w:val="00D009EC"/>
    <w:rsid w:val="00D01DDE"/>
    <w:rsid w:val="00D01E60"/>
    <w:rsid w:val="00D020B8"/>
    <w:rsid w:val="00D02149"/>
    <w:rsid w:val="00D023A6"/>
    <w:rsid w:val="00D02650"/>
    <w:rsid w:val="00D026D2"/>
    <w:rsid w:val="00D027BE"/>
    <w:rsid w:val="00D0293E"/>
    <w:rsid w:val="00D0293F"/>
    <w:rsid w:val="00D02AC2"/>
    <w:rsid w:val="00D02F93"/>
    <w:rsid w:val="00D0328D"/>
    <w:rsid w:val="00D033B4"/>
    <w:rsid w:val="00D0341D"/>
    <w:rsid w:val="00D03F15"/>
    <w:rsid w:val="00D03FCC"/>
    <w:rsid w:val="00D03FE0"/>
    <w:rsid w:val="00D03FEE"/>
    <w:rsid w:val="00D0427E"/>
    <w:rsid w:val="00D042C2"/>
    <w:rsid w:val="00D042E8"/>
    <w:rsid w:val="00D04617"/>
    <w:rsid w:val="00D047D7"/>
    <w:rsid w:val="00D04A1B"/>
    <w:rsid w:val="00D04B2B"/>
    <w:rsid w:val="00D04FDA"/>
    <w:rsid w:val="00D052D2"/>
    <w:rsid w:val="00D0566F"/>
    <w:rsid w:val="00D05830"/>
    <w:rsid w:val="00D05AAD"/>
    <w:rsid w:val="00D05E80"/>
    <w:rsid w:val="00D06368"/>
    <w:rsid w:val="00D06601"/>
    <w:rsid w:val="00D06BF9"/>
    <w:rsid w:val="00D06CB9"/>
    <w:rsid w:val="00D0708D"/>
    <w:rsid w:val="00D070B2"/>
    <w:rsid w:val="00D077D9"/>
    <w:rsid w:val="00D1065D"/>
    <w:rsid w:val="00D106C6"/>
    <w:rsid w:val="00D10D01"/>
    <w:rsid w:val="00D10E08"/>
    <w:rsid w:val="00D10EE4"/>
    <w:rsid w:val="00D10FDA"/>
    <w:rsid w:val="00D1109C"/>
    <w:rsid w:val="00D11EBE"/>
    <w:rsid w:val="00D1200B"/>
    <w:rsid w:val="00D12133"/>
    <w:rsid w:val="00D12753"/>
    <w:rsid w:val="00D12CD3"/>
    <w:rsid w:val="00D12E3E"/>
    <w:rsid w:val="00D13422"/>
    <w:rsid w:val="00D13500"/>
    <w:rsid w:val="00D138DA"/>
    <w:rsid w:val="00D13923"/>
    <w:rsid w:val="00D139B2"/>
    <w:rsid w:val="00D13AC1"/>
    <w:rsid w:val="00D14263"/>
    <w:rsid w:val="00D147A4"/>
    <w:rsid w:val="00D147C9"/>
    <w:rsid w:val="00D14CCB"/>
    <w:rsid w:val="00D15035"/>
    <w:rsid w:val="00D15917"/>
    <w:rsid w:val="00D160AA"/>
    <w:rsid w:val="00D169D5"/>
    <w:rsid w:val="00D175BD"/>
    <w:rsid w:val="00D178ED"/>
    <w:rsid w:val="00D17D56"/>
    <w:rsid w:val="00D17ED0"/>
    <w:rsid w:val="00D203FE"/>
    <w:rsid w:val="00D2064B"/>
    <w:rsid w:val="00D208E6"/>
    <w:rsid w:val="00D20AAB"/>
    <w:rsid w:val="00D2130C"/>
    <w:rsid w:val="00D214C3"/>
    <w:rsid w:val="00D21736"/>
    <w:rsid w:val="00D2179F"/>
    <w:rsid w:val="00D21914"/>
    <w:rsid w:val="00D21D6D"/>
    <w:rsid w:val="00D21F15"/>
    <w:rsid w:val="00D21FEC"/>
    <w:rsid w:val="00D2245A"/>
    <w:rsid w:val="00D2276D"/>
    <w:rsid w:val="00D22B7C"/>
    <w:rsid w:val="00D23149"/>
    <w:rsid w:val="00D234AA"/>
    <w:rsid w:val="00D23791"/>
    <w:rsid w:val="00D23E19"/>
    <w:rsid w:val="00D23E41"/>
    <w:rsid w:val="00D24001"/>
    <w:rsid w:val="00D24141"/>
    <w:rsid w:val="00D2556D"/>
    <w:rsid w:val="00D2625F"/>
    <w:rsid w:val="00D26880"/>
    <w:rsid w:val="00D269AF"/>
    <w:rsid w:val="00D26AE2"/>
    <w:rsid w:val="00D26B80"/>
    <w:rsid w:val="00D26ED6"/>
    <w:rsid w:val="00D273FD"/>
    <w:rsid w:val="00D275F3"/>
    <w:rsid w:val="00D278A4"/>
    <w:rsid w:val="00D30291"/>
    <w:rsid w:val="00D30327"/>
    <w:rsid w:val="00D30BB1"/>
    <w:rsid w:val="00D30F2A"/>
    <w:rsid w:val="00D31048"/>
    <w:rsid w:val="00D3171F"/>
    <w:rsid w:val="00D31981"/>
    <w:rsid w:val="00D31A9A"/>
    <w:rsid w:val="00D31D9E"/>
    <w:rsid w:val="00D320DD"/>
    <w:rsid w:val="00D32135"/>
    <w:rsid w:val="00D32911"/>
    <w:rsid w:val="00D32BE6"/>
    <w:rsid w:val="00D334E4"/>
    <w:rsid w:val="00D33503"/>
    <w:rsid w:val="00D336EE"/>
    <w:rsid w:val="00D339D1"/>
    <w:rsid w:val="00D33C9F"/>
    <w:rsid w:val="00D34380"/>
    <w:rsid w:val="00D348AA"/>
    <w:rsid w:val="00D34AD7"/>
    <w:rsid w:val="00D34E81"/>
    <w:rsid w:val="00D34FF2"/>
    <w:rsid w:val="00D35135"/>
    <w:rsid w:val="00D35E0D"/>
    <w:rsid w:val="00D3645C"/>
    <w:rsid w:val="00D36828"/>
    <w:rsid w:val="00D36B68"/>
    <w:rsid w:val="00D36E4F"/>
    <w:rsid w:val="00D36EC8"/>
    <w:rsid w:val="00D371D5"/>
    <w:rsid w:val="00D37435"/>
    <w:rsid w:val="00D37680"/>
    <w:rsid w:val="00D37F89"/>
    <w:rsid w:val="00D400C9"/>
    <w:rsid w:val="00D40267"/>
    <w:rsid w:val="00D4054C"/>
    <w:rsid w:val="00D40DC3"/>
    <w:rsid w:val="00D40E52"/>
    <w:rsid w:val="00D41143"/>
    <w:rsid w:val="00D4133D"/>
    <w:rsid w:val="00D41C90"/>
    <w:rsid w:val="00D420B2"/>
    <w:rsid w:val="00D42145"/>
    <w:rsid w:val="00D42E11"/>
    <w:rsid w:val="00D432A5"/>
    <w:rsid w:val="00D43564"/>
    <w:rsid w:val="00D435DA"/>
    <w:rsid w:val="00D4371B"/>
    <w:rsid w:val="00D439E8"/>
    <w:rsid w:val="00D43BAC"/>
    <w:rsid w:val="00D43E18"/>
    <w:rsid w:val="00D443FA"/>
    <w:rsid w:val="00D44473"/>
    <w:rsid w:val="00D44E83"/>
    <w:rsid w:val="00D456CD"/>
    <w:rsid w:val="00D45CF4"/>
    <w:rsid w:val="00D45D16"/>
    <w:rsid w:val="00D45E05"/>
    <w:rsid w:val="00D46028"/>
    <w:rsid w:val="00D46A4F"/>
    <w:rsid w:val="00D46D04"/>
    <w:rsid w:val="00D46E64"/>
    <w:rsid w:val="00D472A3"/>
    <w:rsid w:val="00D47C35"/>
    <w:rsid w:val="00D50371"/>
    <w:rsid w:val="00D50CF1"/>
    <w:rsid w:val="00D5103C"/>
    <w:rsid w:val="00D51305"/>
    <w:rsid w:val="00D5134B"/>
    <w:rsid w:val="00D51409"/>
    <w:rsid w:val="00D5167F"/>
    <w:rsid w:val="00D519E9"/>
    <w:rsid w:val="00D5260E"/>
    <w:rsid w:val="00D5261F"/>
    <w:rsid w:val="00D5275F"/>
    <w:rsid w:val="00D53068"/>
    <w:rsid w:val="00D533B1"/>
    <w:rsid w:val="00D53569"/>
    <w:rsid w:val="00D5394F"/>
    <w:rsid w:val="00D53982"/>
    <w:rsid w:val="00D53E1D"/>
    <w:rsid w:val="00D54525"/>
    <w:rsid w:val="00D547E6"/>
    <w:rsid w:val="00D55055"/>
    <w:rsid w:val="00D556C6"/>
    <w:rsid w:val="00D558EF"/>
    <w:rsid w:val="00D55925"/>
    <w:rsid w:val="00D55A43"/>
    <w:rsid w:val="00D55FE4"/>
    <w:rsid w:val="00D5621B"/>
    <w:rsid w:val="00D5634F"/>
    <w:rsid w:val="00D563FD"/>
    <w:rsid w:val="00D5641B"/>
    <w:rsid w:val="00D56BEB"/>
    <w:rsid w:val="00D56E13"/>
    <w:rsid w:val="00D56F1A"/>
    <w:rsid w:val="00D56F98"/>
    <w:rsid w:val="00D573FA"/>
    <w:rsid w:val="00D57789"/>
    <w:rsid w:val="00D57907"/>
    <w:rsid w:val="00D57D50"/>
    <w:rsid w:val="00D60104"/>
    <w:rsid w:val="00D605BD"/>
    <w:rsid w:val="00D605E9"/>
    <w:rsid w:val="00D607A6"/>
    <w:rsid w:val="00D609F0"/>
    <w:rsid w:val="00D60BCC"/>
    <w:rsid w:val="00D61120"/>
    <w:rsid w:val="00D61603"/>
    <w:rsid w:val="00D61723"/>
    <w:rsid w:val="00D62771"/>
    <w:rsid w:val="00D629D1"/>
    <w:rsid w:val="00D62B99"/>
    <w:rsid w:val="00D62CD1"/>
    <w:rsid w:val="00D62D85"/>
    <w:rsid w:val="00D63171"/>
    <w:rsid w:val="00D63355"/>
    <w:rsid w:val="00D63799"/>
    <w:rsid w:val="00D63C0E"/>
    <w:rsid w:val="00D63D8D"/>
    <w:rsid w:val="00D641A7"/>
    <w:rsid w:val="00D648A1"/>
    <w:rsid w:val="00D64971"/>
    <w:rsid w:val="00D64ADC"/>
    <w:rsid w:val="00D650F8"/>
    <w:rsid w:val="00D65351"/>
    <w:rsid w:val="00D654A1"/>
    <w:rsid w:val="00D66713"/>
    <w:rsid w:val="00D66827"/>
    <w:rsid w:val="00D66EDA"/>
    <w:rsid w:val="00D67372"/>
    <w:rsid w:val="00D673E5"/>
    <w:rsid w:val="00D6747E"/>
    <w:rsid w:val="00D67CFF"/>
    <w:rsid w:val="00D67D7A"/>
    <w:rsid w:val="00D67E8C"/>
    <w:rsid w:val="00D67EFF"/>
    <w:rsid w:val="00D70047"/>
    <w:rsid w:val="00D702D6"/>
    <w:rsid w:val="00D7101E"/>
    <w:rsid w:val="00D711A5"/>
    <w:rsid w:val="00D711FE"/>
    <w:rsid w:val="00D7124C"/>
    <w:rsid w:val="00D712EF"/>
    <w:rsid w:val="00D71302"/>
    <w:rsid w:val="00D71803"/>
    <w:rsid w:val="00D71831"/>
    <w:rsid w:val="00D71B22"/>
    <w:rsid w:val="00D71F53"/>
    <w:rsid w:val="00D728DF"/>
    <w:rsid w:val="00D72D6C"/>
    <w:rsid w:val="00D72E13"/>
    <w:rsid w:val="00D73753"/>
    <w:rsid w:val="00D73B6C"/>
    <w:rsid w:val="00D742A4"/>
    <w:rsid w:val="00D7499F"/>
    <w:rsid w:val="00D74BBF"/>
    <w:rsid w:val="00D74BFF"/>
    <w:rsid w:val="00D74E8F"/>
    <w:rsid w:val="00D74E9A"/>
    <w:rsid w:val="00D75756"/>
    <w:rsid w:val="00D75F42"/>
    <w:rsid w:val="00D76A30"/>
    <w:rsid w:val="00D76D71"/>
    <w:rsid w:val="00D770DD"/>
    <w:rsid w:val="00D77320"/>
    <w:rsid w:val="00D77F5A"/>
    <w:rsid w:val="00D8014C"/>
    <w:rsid w:val="00D801DF"/>
    <w:rsid w:val="00D80545"/>
    <w:rsid w:val="00D80AB4"/>
    <w:rsid w:val="00D80DC5"/>
    <w:rsid w:val="00D81579"/>
    <w:rsid w:val="00D81D0E"/>
    <w:rsid w:val="00D829FB"/>
    <w:rsid w:val="00D82C13"/>
    <w:rsid w:val="00D82C6B"/>
    <w:rsid w:val="00D82CD9"/>
    <w:rsid w:val="00D8315F"/>
    <w:rsid w:val="00D8346C"/>
    <w:rsid w:val="00D839E1"/>
    <w:rsid w:val="00D84128"/>
    <w:rsid w:val="00D845A2"/>
    <w:rsid w:val="00D84662"/>
    <w:rsid w:val="00D856C0"/>
    <w:rsid w:val="00D85F37"/>
    <w:rsid w:val="00D85F67"/>
    <w:rsid w:val="00D86455"/>
    <w:rsid w:val="00D865C2"/>
    <w:rsid w:val="00D86819"/>
    <w:rsid w:val="00D86881"/>
    <w:rsid w:val="00D86AC1"/>
    <w:rsid w:val="00D86BB6"/>
    <w:rsid w:val="00D87251"/>
    <w:rsid w:val="00D8751F"/>
    <w:rsid w:val="00D8758A"/>
    <w:rsid w:val="00D87B09"/>
    <w:rsid w:val="00D87F66"/>
    <w:rsid w:val="00D87FD6"/>
    <w:rsid w:val="00D87FE4"/>
    <w:rsid w:val="00D90ADB"/>
    <w:rsid w:val="00D90C50"/>
    <w:rsid w:val="00D912DC"/>
    <w:rsid w:val="00D91460"/>
    <w:rsid w:val="00D914DB"/>
    <w:rsid w:val="00D91C14"/>
    <w:rsid w:val="00D91C41"/>
    <w:rsid w:val="00D91ED7"/>
    <w:rsid w:val="00D9267C"/>
    <w:rsid w:val="00D9324C"/>
    <w:rsid w:val="00D93375"/>
    <w:rsid w:val="00D93880"/>
    <w:rsid w:val="00D93D59"/>
    <w:rsid w:val="00D93EFF"/>
    <w:rsid w:val="00D93F72"/>
    <w:rsid w:val="00D9460D"/>
    <w:rsid w:val="00D94A6B"/>
    <w:rsid w:val="00D94EBE"/>
    <w:rsid w:val="00D956EF"/>
    <w:rsid w:val="00D95F00"/>
    <w:rsid w:val="00D96313"/>
    <w:rsid w:val="00D96499"/>
    <w:rsid w:val="00D9676F"/>
    <w:rsid w:val="00D96A0F"/>
    <w:rsid w:val="00D96CB4"/>
    <w:rsid w:val="00D9711B"/>
    <w:rsid w:val="00D978CF"/>
    <w:rsid w:val="00D97CAE"/>
    <w:rsid w:val="00DA005D"/>
    <w:rsid w:val="00DA0552"/>
    <w:rsid w:val="00DA0765"/>
    <w:rsid w:val="00DA0B8A"/>
    <w:rsid w:val="00DA10D0"/>
    <w:rsid w:val="00DA11B2"/>
    <w:rsid w:val="00DA1AD0"/>
    <w:rsid w:val="00DA1BA7"/>
    <w:rsid w:val="00DA20B5"/>
    <w:rsid w:val="00DA22DA"/>
    <w:rsid w:val="00DA23DD"/>
    <w:rsid w:val="00DA2423"/>
    <w:rsid w:val="00DA287B"/>
    <w:rsid w:val="00DA2A00"/>
    <w:rsid w:val="00DA2A96"/>
    <w:rsid w:val="00DA3080"/>
    <w:rsid w:val="00DA30A2"/>
    <w:rsid w:val="00DA337B"/>
    <w:rsid w:val="00DA390D"/>
    <w:rsid w:val="00DA3961"/>
    <w:rsid w:val="00DA436C"/>
    <w:rsid w:val="00DA44A8"/>
    <w:rsid w:val="00DA44CF"/>
    <w:rsid w:val="00DA47A3"/>
    <w:rsid w:val="00DA4C33"/>
    <w:rsid w:val="00DA5076"/>
    <w:rsid w:val="00DA5D0B"/>
    <w:rsid w:val="00DA5F76"/>
    <w:rsid w:val="00DA60A5"/>
    <w:rsid w:val="00DA60F5"/>
    <w:rsid w:val="00DA6895"/>
    <w:rsid w:val="00DA76EE"/>
    <w:rsid w:val="00DA79C8"/>
    <w:rsid w:val="00DB01EA"/>
    <w:rsid w:val="00DB03AE"/>
    <w:rsid w:val="00DB03F6"/>
    <w:rsid w:val="00DB08CB"/>
    <w:rsid w:val="00DB0963"/>
    <w:rsid w:val="00DB0B52"/>
    <w:rsid w:val="00DB0BDE"/>
    <w:rsid w:val="00DB0FA3"/>
    <w:rsid w:val="00DB16C1"/>
    <w:rsid w:val="00DB196A"/>
    <w:rsid w:val="00DB1D88"/>
    <w:rsid w:val="00DB2595"/>
    <w:rsid w:val="00DB2E57"/>
    <w:rsid w:val="00DB2F7A"/>
    <w:rsid w:val="00DB303F"/>
    <w:rsid w:val="00DB321D"/>
    <w:rsid w:val="00DB3421"/>
    <w:rsid w:val="00DB3635"/>
    <w:rsid w:val="00DB3649"/>
    <w:rsid w:val="00DB3B1D"/>
    <w:rsid w:val="00DB3C08"/>
    <w:rsid w:val="00DB4006"/>
    <w:rsid w:val="00DB42EF"/>
    <w:rsid w:val="00DB462A"/>
    <w:rsid w:val="00DB4B61"/>
    <w:rsid w:val="00DB55CE"/>
    <w:rsid w:val="00DB55F6"/>
    <w:rsid w:val="00DB5FF8"/>
    <w:rsid w:val="00DB64F5"/>
    <w:rsid w:val="00DB6CAF"/>
    <w:rsid w:val="00DB7164"/>
    <w:rsid w:val="00DB729B"/>
    <w:rsid w:val="00DB72CE"/>
    <w:rsid w:val="00DB7400"/>
    <w:rsid w:val="00DB7BFC"/>
    <w:rsid w:val="00DB7EB1"/>
    <w:rsid w:val="00DC0114"/>
    <w:rsid w:val="00DC02FC"/>
    <w:rsid w:val="00DC0347"/>
    <w:rsid w:val="00DC051E"/>
    <w:rsid w:val="00DC0ADA"/>
    <w:rsid w:val="00DC0CF6"/>
    <w:rsid w:val="00DC0FE9"/>
    <w:rsid w:val="00DC13C3"/>
    <w:rsid w:val="00DC1763"/>
    <w:rsid w:val="00DC1B9A"/>
    <w:rsid w:val="00DC1C03"/>
    <w:rsid w:val="00DC2212"/>
    <w:rsid w:val="00DC23B3"/>
    <w:rsid w:val="00DC252D"/>
    <w:rsid w:val="00DC2595"/>
    <w:rsid w:val="00DC2823"/>
    <w:rsid w:val="00DC2C47"/>
    <w:rsid w:val="00DC2DF4"/>
    <w:rsid w:val="00DC30E1"/>
    <w:rsid w:val="00DC3143"/>
    <w:rsid w:val="00DC31F2"/>
    <w:rsid w:val="00DC3339"/>
    <w:rsid w:val="00DC35F6"/>
    <w:rsid w:val="00DC3752"/>
    <w:rsid w:val="00DC3898"/>
    <w:rsid w:val="00DC4083"/>
    <w:rsid w:val="00DC447E"/>
    <w:rsid w:val="00DC48DF"/>
    <w:rsid w:val="00DC4C8A"/>
    <w:rsid w:val="00DC5631"/>
    <w:rsid w:val="00DC5D8A"/>
    <w:rsid w:val="00DC6572"/>
    <w:rsid w:val="00DC6E4A"/>
    <w:rsid w:val="00DC7650"/>
    <w:rsid w:val="00DC7740"/>
    <w:rsid w:val="00DC789A"/>
    <w:rsid w:val="00DC7912"/>
    <w:rsid w:val="00DC7A1C"/>
    <w:rsid w:val="00DC7AEF"/>
    <w:rsid w:val="00DD0D38"/>
    <w:rsid w:val="00DD0D67"/>
    <w:rsid w:val="00DD0D77"/>
    <w:rsid w:val="00DD0E2A"/>
    <w:rsid w:val="00DD15E7"/>
    <w:rsid w:val="00DD16E2"/>
    <w:rsid w:val="00DD1A0F"/>
    <w:rsid w:val="00DD1C3A"/>
    <w:rsid w:val="00DD2514"/>
    <w:rsid w:val="00DD25D6"/>
    <w:rsid w:val="00DD3364"/>
    <w:rsid w:val="00DD3CA2"/>
    <w:rsid w:val="00DD3E8E"/>
    <w:rsid w:val="00DD4038"/>
    <w:rsid w:val="00DD40B6"/>
    <w:rsid w:val="00DD426B"/>
    <w:rsid w:val="00DD42C3"/>
    <w:rsid w:val="00DD46E2"/>
    <w:rsid w:val="00DD485A"/>
    <w:rsid w:val="00DD4F01"/>
    <w:rsid w:val="00DD51F6"/>
    <w:rsid w:val="00DD595A"/>
    <w:rsid w:val="00DD5BB8"/>
    <w:rsid w:val="00DD685B"/>
    <w:rsid w:val="00DD6A64"/>
    <w:rsid w:val="00DD6C94"/>
    <w:rsid w:val="00DD711F"/>
    <w:rsid w:val="00DD7703"/>
    <w:rsid w:val="00DE081E"/>
    <w:rsid w:val="00DE1838"/>
    <w:rsid w:val="00DE1CB1"/>
    <w:rsid w:val="00DE1E5B"/>
    <w:rsid w:val="00DE2409"/>
    <w:rsid w:val="00DE339D"/>
    <w:rsid w:val="00DE3604"/>
    <w:rsid w:val="00DE3621"/>
    <w:rsid w:val="00DE3788"/>
    <w:rsid w:val="00DE3A38"/>
    <w:rsid w:val="00DE3F28"/>
    <w:rsid w:val="00DE41A5"/>
    <w:rsid w:val="00DE44B4"/>
    <w:rsid w:val="00DE588F"/>
    <w:rsid w:val="00DE5E98"/>
    <w:rsid w:val="00DE63D0"/>
    <w:rsid w:val="00DE6534"/>
    <w:rsid w:val="00DE67D6"/>
    <w:rsid w:val="00DE67EC"/>
    <w:rsid w:val="00DE69D3"/>
    <w:rsid w:val="00DE6A43"/>
    <w:rsid w:val="00DE6D32"/>
    <w:rsid w:val="00DE6DF3"/>
    <w:rsid w:val="00DE7542"/>
    <w:rsid w:val="00DE77A1"/>
    <w:rsid w:val="00DE77C6"/>
    <w:rsid w:val="00DE79D6"/>
    <w:rsid w:val="00DF0045"/>
    <w:rsid w:val="00DF03B1"/>
    <w:rsid w:val="00DF04D2"/>
    <w:rsid w:val="00DF0537"/>
    <w:rsid w:val="00DF0775"/>
    <w:rsid w:val="00DF083E"/>
    <w:rsid w:val="00DF0AD2"/>
    <w:rsid w:val="00DF11E3"/>
    <w:rsid w:val="00DF13B9"/>
    <w:rsid w:val="00DF17E4"/>
    <w:rsid w:val="00DF192E"/>
    <w:rsid w:val="00DF1D0B"/>
    <w:rsid w:val="00DF1FD5"/>
    <w:rsid w:val="00DF22CE"/>
    <w:rsid w:val="00DF23DF"/>
    <w:rsid w:val="00DF29E6"/>
    <w:rsid w:val="00DF29F8"/>
    <w:rsid w:val="00DF3641"/>
    <w:rsid w:val="00DF366D"/>
    <w:rsid w:val="00DF37D4"/>
    <w:rsid w:val="00DF38AD"/>
    <w:rsid w:val="00DF3917"/>
    <w:rsid w:val="00DF3D97"/>
    <w:rsid w:val="00DF3F0D"/>
    <w:rsid w:val="00DF4271"/>
    <w:rsid w:val="00DF4521"/>
    <w:rsid w:val="00DF45B7"/>
    <w:rsid w:val="00DF4916"/>
    <w:rsid w:val="00DF497D"/>
    <w:rsid w:val="00DF4C0F"/>
    <w:rsid w:val="00DF5008"/>
    <w:rsid w:val="00DF50ED"/>
    <w:rsid w:val="00DF5E50"/>
    <w:rsid w:val="00DF60B0"/>
    <w:rsid w:val="00DF61F5"/>
    <w:rsid w:val="00DF6480"/>
    <w:rsid w:val="00DF66C8"/>
    <w:rsid w:val="00DF67EC"/>
    <w:rsid w:val="00DF69FB"/>
    <w:rsid w:val="00DF6C17"/>
    <w:rsid w:val="00DF707F"/>
    <w:rsid w:val="00DF75EA"/>
    <w:rsid w:val="00DF785E"/>
    <w:rsid w:val="00DF7966"/>
    <w:rsid w:val="00DF7B53"/>
    <w:rsid w:val="00DF7E4A"/>
    <w:rsid w:val="00DF7F08"/>
    <w:rsid w:val="00E002A8"/>
    <w:rsid w:val="00E00596"/>
    <w:rsid w:val="00E005B2"/>
    <w:rsid w:val="00E00A96"/>
    <w:rsid w:val="00E00BDF"/>
    <w:rsid w:val="00E00F89"/>
    <w:rsid w:val="00E015E4"/>
    <w:rsid w:val="00E01698"/>
    <w:rsid w:val="00E01943"/>
    <w:rsid w:val="00E01DC4"/>
    <w:rsid w:val="00E01F35"/>
    <w:rsid w:val="00E022E5"/>
    <w:rsid w:val="00E026D3"/>
    <w:rsid w:val="00E02A18"/>
    <w:rsid w:val="00E02E9C"/>
    <w:rsid w:val="00E02FD4"/>
    <w:rsid w:val="00E03BC7"/>
    <w:rsid w:val="00E04230"/>
    <w:rsid w:val="00E0450C"/>
    <w:rsid w:val="00E04676"/>
    <w:rsid w:val="00E04D1A"/>
    <w:rsid w:val="00E051CF"/>
    <w:rsid w:val="00E051E0"/>
    <w:rsid w:val="00E05662"/>
    <w:rsid w:val="00E0570B"/>
    <w:rsid w:val="00E0571C"/>
    <w:rsid w:val="00E060BA"/>
    <w:rsid w:val="00E062CB"/>
    <w:rsid w:val="00E063FD"/>
    <w:rsid w:val="00E065B4"/>
    <w:rsid w:val="00E0674D"/>
    <w:rsid w:val="00E06835"/>
    <w:rsid w:val="00E07183"/>
    <w:rsid w:val="00E071DA"/>
    <w:rsid w:val="00E0770D"/>
    <w:rsid w:val="00E07776"/>
    <w:rsid w:val="00E07E8B"/>
    <w:rsid w:val="00E1026F"/>
    <w:rsid w:val="00E1047C"/>
    <w:rsid w:val="00E10699"/>
    <w:rsid w:val="00E10812"/>
    <w:rsid w:val="00E11421"/>
    <w:rsid w:val="00E11FFD"/>
    <w:rsid w:val="00E1228F"/>
    <w:rsid w:val="00E12784"/>
    <w:rsid w:val="00E12A15"/>
    <w:rsid w:val="00E1321F"/>
    <w:rsid w:val="00E135D6"/>
    <w:rsid w:val="00E1369C"/>
    <w:rsid w:val="00E13807"/>
    <w:rsid w:val="00E13B1D"/>
    <w:rsid w:val="00E13D11"/>
    <w:rsid w:val="00E14011"/>
    <w:rsid w:val="00E14176"/>
    <w:rsid w:val="00E144AC"/>
    <w:rsid w:val="00E14E05"/>
    <w:rsid w:val="00E1539A"/>
    <w:rsid w:val="00E1592F"/>
    <w:rsid w:val="00E15B70"/>
    <w:rsid w:val="00E15C72"/>
    <w:rsid w:val="00E1606C"/>
    <w:rsid w:val="00E16931"/>
    <w:rsid w:val="00E16A6C"/>
    <w:rsid w:val="00E16ABA"/>
    <w:rsid w:val="00E16E41"/>
    <w:rsid w:val="00E177AB"/>
    <w:rsid w:val="00E20246"/>
    <w:rsid w:val="00E2024A"/>
    <w:rsid w:val="00E209D7"/>
    <w:rsid w:val="00E20B38"/>
    <w:rsid w:val="00E20C45"/>
    <w:rsid w:val="00E2103F"/>
    <w:rsid w:val="00E210E8"/>
    <w:rsid w:val="00E2132A"/>
    <w:rsid w:val="00E21484"/>
    <w:rsid w:val="00E21A8E"/>
    <w:rsid w:val="00E21AA0"/>
    <w:rsid w:val="00E21C0D"/>
    <w:rsid w:val="00E2232E"/>
    <w:rsid w:val="00E223F5"/>
    <w:rsid w:val="00E224BF"/>
    <w:rsid w:val="00E22686"/>
    <w:rsid w:val="00E22708"/>
    <w:rsid w:val="00E22D70"/>
    <w:rsid w:val="00E23C85"/>
    <w:rsid w:val="00E23D60"/>
    <w:rsid w:val="00E23E5D"/>
    <w:rsid w:val="00E23F4C"/>
    <w:rsid w:val="00E24D8A"/>
    <w:rsid w:val="00E24F38"/>
    <w:rsid w:val="00E24F54"/>
    <w:rsid w:val="00E2516F"/>
    <w:rsid w:val="00E25B4D"/>
    <w:rsid w:val="00E25BB7"/>
    <w:rsid w:val="00E261B9"/>
    <w:rsid w:val="00E263E0"/>
    <w:rsid w:val="00E26457"/>
    <w:rsid w:val="00E26ABB"/>
    <w:rsid w:val="00E26CC1"/>
    <w:rsid w:val="00E27589"/>
    <w:rsid w:val="00E27B2D"/>
    <w:rsid w:val="00E27B98"/>
    <w:rsid w:val="00E27F3C"/>
    <w:rsid w:val="00E30084"/>
    <w:rsid w:val="00E30488"/>
    <w:rsid w:val="00E3049E"/>
    <w:rsid w:val="00E304FD"/>
    <w:rsid w:val="00E30B31"/>
    <w:rsid w:val="00E31BE7"/>
    <w:rsid w:val="00E320D0"/>
    <w:rsid w:val="00E322C9"/>
    <w:rsid w:val="00E3241F"/>
    <w:rsid w:val="00E32A87"/>
    <w:rsid w:val="00E32EA0"/>
    <w:rsid w:val="00E3369A"/>
    <w:rsid w:val="00E338C8"/>
    <w:rsid w:val="00E33F38"/>
    <w:rsid w:val="00E344C4"/>
    <w:rsid w:val="00E349A4"/>
    <w:rsid w:val="00E34E41"/>
    <w:rsid w:val="00E350EA"/>
    <w:rsid w:val="00E3565C"/>
    <w:rsid w:val="00E3565D"/>
    <w:rsid w:val="00E35B26"/>
    <w:rsid w:val="00E35B99"/>
    <w:rsid w:val="00E35EEE"/>
    <w:rsid w:val="00E35F79"/>
    <w:rsid w:val="00E36C56"/>
    <w:rsid w:val="00E36F91"/>
    <w:rsid w:val="00E37058"/>
    <w:rsid w:val="00E3706C"/>
    <w:rsid w:val="00E37635"/>
    <w:rsid w:val="00E37E56"/>
    <w:rsid w:val="00E37E6C"/>
    <w:rsid w:val="00E37E6F"/>
    <w:rsid w:val="00E40088"/>
    <w:rsid w:val="00E40384"/>
    <w:rsid w:val="00E4049E"/>
    <w:rsid w:val="00E407DD"/>
    <w:rsid w:val="00E408E3"/>
    <w:rsid w:val="00E40B17"/>
    <w:rsid w:val="00E40B5B"/>
    <w:rsid w:val="00E419AE"/>
    <w:rsid w:val="00E41B74"/>
    <w:rsid w:val="00E41E7E"/>
    <w:rsid w:val="00E41FCB"/>
    <w:rsid w:val="00E4268B"/>
    <w:rsid w:val="00E426DF"/>
    <w:rsid w:val="00E428C0"/>
    <w:rsid w:val="00E42B80"/>
    <w:rsid w:val="00E43152"/>
    <w:rsid w:val="00E434DF"/>
    <w:rsid w:val="00E437C3"/>
    <w:rsid w:val="00E439D0"/>
    <w:rsid w:val="00E43AB5"/>
    <w:rsid w:val="00E44055"/>
    <w:rsid w:val="00E449C2"/>
    <w:rsid w:val="00E44B62"/>
    <w:rsid w:val="00E44BE3"/>
    <w:rsid w:val="00E44ED4"/>
    <w:rsid w:val="00E44FF5"/>
    <w:rsid w:val="00E45058"/>
    <w:rsid w:val="00E4511B"/>
    <w:rsid w:val="00E4534B"/>
    <w:rsid w:val="00E455F3"/>
    <w:rsid w:val="00E45C52"/>
    <w:rsid w:val="00E45D71"/>
    <w:rsid w:val="00E45E18"/>
    <w:rsid w:val="00E463DA"/>
    <w:rsid w:val="00E46DC7"/>
    <w:rsid w:val="00E46E76"/>
    <w:rsid w:val="00E47164"/>
    <w:rsid w:val="00E4733A"/>
    <w:rsid w:val="00E47789"/>
    <w:rsid w:val="00E47A93"/>
    <w:rsid w:val="00E47B32"/>
    <w:rsid w:val="00E503B6"/>
    <w:rsid w:val="00E509B9"/>
    <w:rsid w:val="00E5153C"/>
    <w:rsid w:val="00E5191C"/>
    <w:rsid w:val="00E51D90"/>
    <w:rsid w:val="00E52A6D"/>
    <w:rsid w:val="00E52BAA"/>
    <w:rsid w:val="00E530B3"/>
    <w:rsid w:val="00E531F6"/>
    <w:rsid w:val="00E53746"/>
    <w:rsid w:val="00E537A4"/>
    <w:rsid w:val="00E53836"/>
    <w:rsid w:val="00E53A31"/>
    <w:rsid w:val="00E53B79"/>
    <w:rsid w:val="00E54117"/>
    <w:rsid w:val="00E54441"/>
    <w:rsid w:val="00E548B3"/>
    <w:rsid w:val="00E54CF3"/>
    <w:rsid w:val="00E5523A"/>
    <w:rsid w:val="00E5583B"/>
    <w:rsid w:val="00E55B2B"/>
    <w:rsid w:val="00E55DFF"/>
    <w:rsid w:val="00E560B2"/>
    <w:rsid w:val="00E564E1"/>
    <w:rsid w:val="00E56AC0"/>
    <w:rsid w:val="00E56B77"/>
    <w:rsid w:val="00E57273"/>
    <w:rsid w:val="00E57DE9"/>
    <w:rsid w:val="00E6064A"/>
    <w:rsid w:val="00E607E0"/>
    <w:rsid w:val="00E60CD8"/>
    <w:rsid w:val="00E60D1A"/>
    <w:rsid w:val="00E60EA0"/>
    <w:rsid w:val="00E60FC7"/>
    <w:rsid w:val="00E6149B"/>
    <w:rsid w:val="00E61515"/>
    <w:rsid w:val="00E6151D"/>
    <w:rsid w:val="00E617F8"/>
    <w:rsid w:val="00E619A3"/>
    <w:rsid w:val="00E6213B"/>
    <w:rsid w:val="00E622A8"/>
    <w:rsid w:val="00E628CC"/>
    <w:rsid w:val="00E62926"/>
    <w:rsid w:val="00E62927"/>
    <w:rsid w:val="00E62C66"/>
    <w:rsid w:val="00E62DC6"/>
    <w:rsid w:val="00E63162"/>
    <w:rsid w:val="00E637B9"/>
    <w:rsid w:val="00E638B3"/>
    <w:rsid w:val="00E6484D"/>
    <w:rsid w:val="00E64965"/>
    <w:rsid w:val="00E6509F"/>
    <w:rsid w:val="00E65133"/>
    <w:rsid w:val="00E652D5"/>
    <w:rsid w:val="00E659DE"/>
    <w:rsid w:val="00E65A20"/>
    <w:rsid w:val="00E66062"/>
    <w:rsid w:val="00E6619D"/>
    <w:rsid w:val="00E662A0"/>
    <w:rsid w:val="00E6659E"/>
    <w:rsid w:val="00E666A6"/>
    <w:rsid w:val="00E6684C"/>
    <w:rsid w:val="00E668C9"/>
    <w:rsid w:val="00E67480"/>
    <w:rsid w:val="00E67841"/>
    <w:rsid w:val="00E67FD8"/>
    <w:rsid w:val="00E70614"/>
    <w:rsid w:val="00E7067A"/>
    <w:rsid w:val="00E7069F"/>
    <w:rsid w:val="00E70DA8"/>
    <w:rsid w:val="00E70EF9"/>
    <w:rsid w:val="00E71596"/>
    <w:rsid w:val="00E71B3C"/>
    <w:rsid w:val="00E71CE6"/>
    <w:rsid w:val="00E720CC"/>
    <w:rsid w:val="00E72BFE"/>
    <w:rsid w:val="00E7413E"/>
    <w:rsid w:val="00E74797"/>
    <w:rsid w:val="00E74812"/>
    <w:rsid w:val="00E74B4E"/>
    <w:rsid w:val="00E74E4C"/>
    <w:rsid w:val="00E74F22"/>
    <w:rsid w:val="00E74F9D"/>
    <w:rsid w:val="00E75009"/>
    <w:rsid w:val="00E7642E"/>
    <w:rsid w:val="00E76D59"/>
    <w:rsid w:val="00E76DC9"/>
    <w:rsid w:val="00E771C7"/>
    <w:rsid w:val="00E77537"/>
    <w:rsid w:val="00E775CE"/>
    <w:rsid w:val="00E77B37"/>
    <w:rsid w:val="00E77BB8"/>
    <w:rsid w:val="00E77D3B"/>
    <w:rsid w:val="00E803E8"/>
    <w:rsid w:val="00E80A0B"/>
    <w:rsid w:val="00E80A1D"/>
    <w:rsid w:val="00E80A39"/>
    <w:rsid w:val="00E80C56"/>
    <w:rsid w:val="00E81AE7"/>
    <w:rsid w:val="00E81B71"/>
    <w:rsid w:val="00E81C52"/>
    <w:rsid w:val="00E82574"/>
    <w:rsid w:val="00E82DA4"/>
    <w:rsid w:val="00E8329B"/>
    <w:rsid w:val="00E832E5"/>
    <w:rsid w:val="00E834CB"/>
    <w:rsid w:val="00E83961"/>
    <w:rsid w:val="00E83AF3"/>
    <w:rsid w:val="00E83C11"/>
    <w:rsid w:val="00E84B5E"/>
    <w:rsid w:val="00E850CB"/>
    <w:rsid w:val="00E855CA"/>
    <w:rsid w:val="00E857B8"/>
    <w:rsid w:val="00E857CA"/>
    <w:rsid w:val="00E857D5"/>
    <w:rsid w:val="00E85E41"/>
    <w:rsid w:val="00E86143"/>
    <w:rsid w:val="00E8628F"/>
    <w:rsid w:val="00E867B0"/>
    <w:rsid w:val="00E86BE8"/>
    <w:rsid w:val="00E86CF3"/>
    <w:rsid w:val="00E86D30"/>
    <w:rsid w:val="00E8711A"/>
    <w:rsid w:val="00E8736B"/>
    <w:rsid w:val="00E87723"/>
    <w:rsid w:val="00E87731"/>
    <w:rsid w:val="00E87867"/>
    <w:rsid w:val="00E903B8"/>
    <w:rsid w:val="00E904FD"/>
    <w:rsid w:val="00E90B67"/>
    <w:rsid w:val="00E90DB4"/>
    <w:rsid w:val="00E90F78"/>
    <w:rsid w:val="00E910DC"/>
    <w:rsid w:val="00E913B9"/>
    <w:rsid w:val="00E914AE"/>
    <w:rsid w:val="00E92A47"/>
    <w:rsid w:val="00E92ABD"/>
    <w:rsid w:val="00E92C6C"/>
    <w:rsid w:val="00E9374F"/>
    <w:rsid w:val="00E9376F"/>
    <w:rsid w:val="00E938A4"/>
    <w:rsid w:val="00E93982"/>
    <w:rsid w:val="00E93EEF"/>
    <w:rsid w:val="00E93F0E"/>
    <w:rsid w:val="00E940C7"/>
    <w:rsid w:val="00E941E5"/>
    <w:rsid w:val="00E94679"/>
    <w:rsid w:val="00E94809"/>
    <w:rsid w:val="00E95001"/>
    <w:rsid w:val="00E9546D"/>
    <w:rsid w:val="00E95549"/>
    <w:rsid w:val="00E95C8E"/>
    <w:rsid w:val="00E95D30"/>
    <w:rsid w:val="00E95DC2"/>
    <w:rsid w:val="00E95FB3"/>
    <w:rsid w:val="00E95FDF"/>
    <w:rsid w:val="00E9626E"/>
    <w:rsid w:val="00E964E7"/>
    <w:rsid w:val="00E96825"/>
    <w:rsid w:val="00E969FB"/>
    <w:rsid w:val="00E96A96"/>
    <w:rsid w:val="00E96B80"/>
    <w:rsid w:val="00E96B9E"/>
    <w:rsid w:val="00E97208"/>
    <w:rsid w:val="00E977BC"/>
    <w:rsid w:val="00E978C5"/>
    <w:rsid w:val="00E9799F"/>
    <w:rsid w:val="00E97AF9"/>
    <w:rsid w:val="00E97E73"/>
    <w:rsid w:val="00E97EFF"/>
    <w:rsid w:val="00EA05E7"/>
    <w:rsid w:val="00EA066A"/>
    <w:rsid w:val="00EA0C7F"/>
    <w:rsid w:val="00EA0D31"/>
    <w:rsid w:val="00EA0DAD"/>
    <w:rsid w:val="00EA1186"/>
    <w:rsid w:val="00EA1680"/>
    <w:rsid w:val="00EA183B"/>
    <w:rsid w:val="00EA21AD"/>
    <w:rsid w:val="00EA2393"/>
    <w:rsid w:val="00EA2EEA"/>
    <w:rsid w:val="00EA2F66"/>
    <w:rsid w:val="00EA35B5"/>
    <w:rsid w:val="00EA3982"/>
    <w:rsid w:val="00EA434B"/>
    <w:rsid w:val="00EA4766"/>
    <w:rsid w:val="00EA481C"/>
    <w:rsid w:val="00EA4941"/>
    <w:rsid w:val="00EA4D30"/>
    <w:rsid w:val="00EA500C"/>
    <w:rsid w:val="00EA58FA"/>
    <w:rsid w:val="00EA5E96"/>
    <w:rsid w:val="00EA5EF9"/>
    <w:rsid w:val="00EA6927"/>
    <w:rsid w:val="00EA69BF"/>
    <w:rsid w:val="00EA6C58"/>
    <w:rsid w:val="00EA6DC0"/>
    <w:rsid w:val="00EA7048"/>
    <w:rsid w:val="00EA7395"/>
    <w:rsid w:val="00EA7A42"/>
    <w:rsid w:val="00EA7B4E"/>
    <w:rsid w:val="00EA7E88"/>
    <w:rsid w:val="00EA7F9F"/>
    <w:rsid w:val="00EB00B9"/>
    <w:rsid w:val="00EB0319"/>
    <w:rsid w:val="00EB04DA"/>
    <w:rsid w:val="00EB0755"/>
    <w:rsid w:val="00EB07C1"/>
    <w:rsid w:val="00EB0885"/>
    <w:rsid w:val="00EB0AC1"/>
    <w:rsid w:val="00EB14CF"/>
    <w:rsid w:val="00EB1BCF"/>
    <w:rsid w:val="00EB1DC5"/>
    <w:rsid w:val="00EB229C"/>
    <w:rsid w:val="00EB237F"/>
    <w:rsid w:val="00EB2481"/>
    <w:rsid w:val="00EB271B"/>
    <w:rsid w:val="00EB2832"/>
    <w:rsid w:val="00EB29E1"/>
    <w:rsid w:val="00EB37D4"/>
    <w:rsid w:val="00EB3A9E"/>
    <w:rsid w:val="00EB3C37"/>
    <w:rsid w:val="00EB3EF5"/>
    <w:rsid w:val="00EB4430"/>
    <w:rsid w:val="00EB4734"/>
    <w:rsid w:val="00EB4ACF"/>
    <w:rsid w:val="00EB5300"/>
    <w:rsid w:val="00EB5312"/>
    <w:rsid w:val="00EB568B"/>
    <w:rsid w:val="00EB58C3"/>
    <w:rsid w:val="00EB614B"/>
    <w:rsid w:val="00EB614D"/>
    <w:rsid w:val="00EB617D"/>
    <w:rsid w:val="00EB625F"/>
    <w:rsid w:val="00EB6482"/>
    <w:rsid w:val="00EB6614"/>
    <w:rsid w:val="00EB676A"/>
    <w:rsid w:val="00EB6D92"/>
    <w:rsid w:val="00EB72DF"/>
    <w:rsid w:val="00EB7794"/>
    <w:rsid w:val="00EB7804"/>
    <w:rsid w:val="00EB7E0B"/>
    <w:rsid w:val="00EB7E6D"/>
    <w:rsid w:val="00EC015F"/>
    <w:rsid w:val="00EC0184"/>
    <w:rsid w:val="00EC0243"/>
    <w:rsid w:val="00EC0D5D"/>
    <w:rsid w:val="00EC0ECF"/>
    <w:rsid w:val="00EC1506"/>
    <w:rsid w:val="00EC16C8"/>
    <w:rsid w:val="00EC170B"/>
    <w:rsid w:val="00EC1C2C"/>
    <w:rsid w:val="00EC1CC5"/>
    <w:rsid w:val="00EC1E41"/>
    <w:rsid w:val="00EC1FEB"/>
    <w:rsid w:val="00EC2670"/>
    <w:rsid w:val="00EC2AC8"/>
    <w:rsid w:val="00EC2F83"/>
    <w:rsid w:val="00EC3092"/>
    <w:rsid w:val="00EC3215"/>
    <w:rsid w:val="00EC323A"/>
    <w:rsid w:val="00EC3438"/>
    <w:rsid w:val="00EC34F3"/>
    <w:rsid w:val="00EC380E"/>
    <w:rsid w:val="00EC43FB"/>
    <w:rsid w:val="00EC53A3"/>
    <w:rsid w:val="00EC604E"/>
    <w:rsid w:val="00EC640B"/>
    <w:rsid w:val="00EC6760"/>
    <w:rsid w:val="00EC686B"/>
    <w:rsid w:val="00EC699C"/>
    <w:rsid w:val="00EC6CB8"/>
    <w:rsid w:val="00EC6EDD"/>
    <w:rsid w:val="00EC706B"/>
    <w:rsid w:val="00EC712E"/>
    <w:rsid w:val="00EC7384"/>
    <w:rsid w:val="00EC7473"/>
    <w:rsid w:val="00EC754B"/>
    <w:rsid w:val="00EC7E20"/>
    <w:rsid w:val="00ED0702"/>
    <w:rsid w:val="00ED0998"/>
    <w:rsid w:val="00ED0A64"/>
    <w:rsid w:val="00ED0C89"/>
    <w:rsid w:val="00ED0E87"/>
    <w:rsid w:val="00ED1382"/>
    <w:rsid w:val="00ED1CD0"/>
    <w:rsid w:val="00ED1D38"/>
    <w:rsid w:val="00ED2504"/>
    <w:rsid w:val="00ED28D9"/>
    <w:rsid w:val="00ED294F"/>
    <w:rsid w:val="00ED2A18"/>
    <w:rsid w:val="00ED311E"/>
    <w:rsid w:val="00ED3561"/>
    <w:rsid w:val="00ED48B7"/>
    <w:rsid w:val="00ED5091"/>
    <w:rsid w:val="00ED51C6"/>
    <w:rsid w:val="00ED51E1"/>
    <w:rsid w:val="00ED550D"/>
    <w:rsid w:val="00ED5738"/>
    <w:rsid w:val="00ED5DDE"/>
    <w:rsid w:val="00ED62E3"/>
    <w:rsid w:val="00ED631F"/>
    <w:rsid w:val="00ED67FE"/>
    <w:rsid w:val="00ED6839"/>
    <w:rsid w:val="00ED6A84"/>
    <w:rsid w:val="00ED6BF7"/>
    <w:rsid w:val="00ED6ED3"/>
    <w:rsid w:val="00ED724E"/>
    <w:rsid w:val="00ED7299"/>
    <w:rsid w:val="00ED731D"/>
    <w:rsid w:val="00ED7733"/>
    <w:rsid w:val="00ED7D57"/>
    <w:rsid w:val="00EE0161"/>
    <w:rsid w:val="00EE0CD7"/>
    <w:rsid w:val="00EE1028"/>
    <w:rsid w:val="00EE1AB2"/>
    <w:rsid w:val="00EE1D2F"/>
    <w:rsid w:val="00EE1E29"/>
    <w:rsid w:val="00EE1F6F"/>
    <w:rsid w:val="00EE202C"/>
    <w:rsid w:val="00EE21ED"/>
    <w:rsid w:val="00EE2260"/>
    <w:rsid w:val="00EE25F8"/>
    <w:rsid w:val="00EE2CD7"/>
    <w:rsid w:val="00EE3096"/>
    <w:rsid w:val="00EE3257"/>
    <w:rsid w:val="00EE3966"/>
    <w:rsid w:val="00EE3C33"/>
    <w:rsid w:val="00EE3E73"/>
    <w:rsid w:val="00EE404E"/>
    <w:rsid w:val="00EE42DB"/>
    <w:rsid w:val="00EE43A2"/>
    <w:rsid w:val="00EE47B1"/>
    <w:rsid w:val="00EE4AD9"/>
    <w:rsid w:val="00EE4F4E"/>
    <w:rsid w:val="00EE54A6"/>
    <w:rsid w:val="00EE5A5B"/>
    <w:rsid w:val="00EE5D9F"/>
    <w:rsid w:val="00EE5FB3"/>
    <w:rsid w:val="00EE613D"/>
    <w:rsid w:val="00EE61F7"/>
    <w:rsid w:val="00EE6240"/>
    <w:rsid w:val="00EE6754"/>
    <w:rsid w:val="00EE694F"/>
    <w:rsid w:val="00EE69A6"/>
    <w:rsid w:val="00EE7214"/>
    <w:rsid w:val="00EE7881"/>
    <w:rsid w:val="00EE78D6"/>
    <w:rsid w:val="00EE7967"/>
    <w:rsid w:val="00EE7D68"/>
    <w:rsid w:val="00EF013D"/>
    <w:rsid w:val="00EF0173"/>
    <w:rsid w:val="00EF0927"/>
    <w:rsid w:val="00EF0E51"/>
    <w:rsid w:val="00EF0E5D"/>
    <w:rsid w:val="00EF1608"/>
    <w:rsid w:val="00EF1A22"/>
    <w:rsid w:val="00EF1B0A"/>
    <w:rsid w:val="00EF1C38"/>
    <w:rsid w:val="00EF3CC3"/>
    <w:rsid w:val="00EF3F84"/>
    <w:rsid w:val="00EF4219"/>
    <w:rsid w:val="00EF42EF"/>
    <w:rsid w:val="00EF47D9"/>
    <w:rsid w:val="00EF4C13"/>
    <w:rsid w:val="00EF5109"/>
    <w:rsid w:val="00EF5176"/>
    <w:rsid w:val="00EF5C03"/>
    <w:rsid w:val="00EF5E0D"/>
    <w:rsid w:val="00EF5EBC"/>
    <w:rsid w:val="00EF634B"/>
    <w:rsid w:val="00EF6605"/>
    <w:rsid w:val="00EF6C7F"/>
    <w:rsid w:val="00EF6EE0"/>
    <w:rsid w:val="00EF74BC"/>
    <w:rsid w:val="00EF75EA"/>
    <w:rsid w:val="00EF7BCF"/>
    <w:rsid w:val="00EF7E31"/>
    <w:rsid w:val="00F0009E"/>
    <w:rsid w:val="00F00771"/>
    <w:rsid w:val="00F00FB3"/>
    <w:rsid w:val="00F010F1"/>
    <w:rsid w:val="00F01340"/>
    <w:rsid w:val="00F019E5"/>
    <w:rsid w:val="00F01A09"/>
    <w:rsid w:val="00F01A4E"/>
    <w:rsid w:val="00F02504"/>
    <w:rsid w:val="00F02872"/>
    <w:rsid w:val="00F03044"/>
    <w:rsid w:val="00F0308A"/>
    <w:rsid w:val="00F03393"/>
    <w:rsid w:val="00F03A4A"/>
    <w:rsid w:val="00F03CA2"/>
    <w:rsid w:val="00F03FDA"/>
    <w:rsid w:val="00F04410"/>
    <w:rsid w:val="00F04512"/>
    <w:rsid w:val="00F04AC3"/>
    <w:rsid w:val="00F04BDE"/>
    <w:rsid w:val="00F04EC6"/>
    <w:rsid w:val="00F04F80"/>
    <w:rsid w:val="00F05B4C"/>
    <w:rsid w:val="00F05D30"/>
    <w:rsid w:val="00F06141"/>
    <w:rsid w:val="00F06266"/>
    <w:rsid w:val="00F0672B"/>
    <w:rsid w:val="00F06E5D"/>
    <w:rsid w:val="00F074E2"/>
    <w:rsid w:val="00F0768C"/>
    <w:rsid w:val="00F07AFB"/>
    <w:rsid w:val="00F102B2"/>
    <w:rsid w:val="00F10896"/>
    <w:rsid w:val="00F109F5"/>
    <w:rsid w:val="00F10AC3"/>
    <w:rsid w:val="00F10E28"/>
    <w:rsid w:val="00F10F3F"/>
    <w:rsid w:val="00F114AC"/>
    <w:rsid w:val="00F11EEA"/>
    <w:rsid w:val="00F1254A"/>
    <w:rsid w:val="00F1292A"/>
    <w:rsid w:val="00F12D5D"/>
    <w:rsid w:val="00F13426"/>
    <w:rsid w:val="00F13545"/>
    <w:rsid w:val="00F13F6D"/>
    <w:rsid w:val="00F14169"/>
    <w:rsid w:val="00F14597"/>
    <w:rsid w:val="00F14F2A"/>
    <w:rsid w:val="00F15167"/>
    <w:rsid w:val="00F1567C"/>
    <w:rsid w:val="00F158C0"/>
    <w:rsid w:val="00F158F2"/>
    <w:rsid w:val="00F15E4E"/>
    <w:rsid w:val="00F161FA"/>
    <w:rsid w:val="00F16255"/>
    <w:rsid w:val="00F1654F"/>
    <w:rsid w:val="00F167BF"/>
    <w:rsid w:val="00F16C8E"/>
    <w:rsid w:val="00F16EF9"/>
    <w:rsid w:val="00F16F07"/>
    <w:rsid w:val="00F1719A"/>
    <w:rsid w:val="00F179C7"/>
    <w:rsid w:val="00F17DAA"/>
    <w:rsid w:val="00F17F1E"/>
    <w:rsid w:val="00F2038B"/>
    <w:rsid w:val="00F209A7"/>
    <w:rsid w:val="00F209AB"/>
    <w:rsid w:val="00F20DB6"/>
    <w:rsid w:val="00F20F65"/>
    <w:rsid w:val="00F20FC5"/>
    <w:rsid w:val="00F21343"/>
    <w:rsid w:val="00F21498"/>
    <w:rsid w:val="00F2172B"/>
    <w:rsid w:val="00F21CF9"/>
    <w:rsid w:val="00F21DD0"/>
    <w:rsid w:val="00F22393"/>
    <w:rsid w:val="00F223EE"/>
    <w:rsid w:val="00F22AF2"/>
    <w:rsid w:val="00F22D51"/>
    <w:rsid w:val="00F2306B"/>
    <w:rsid w:val="00F2338B"/>
    <w:rsid w:val="00F23600"/>
    <w:rsid w:val="00F2362D"/>
    <w:rsid w:val="00F23A95"/>
    <w:rsid w:val="00F23ACF"/>
    <w:rsid w:val="00F23D3F"/>
    <w:rsid w:val="00F23EB0"/>
    <w:rsid w:val="00F24808"/>
    <w:rsid w:val="00F24C8A"/>
    <w:rsid w:val="00F24EAE"/>
    <w:rsid w:val="00F2515E"/>
    <w:rsid w:val="00F2543C"/>
    <w:rsid w:val="00F25B8B"/>
    <w:rsid w:val="00F25EA9"/>
    <w:rsid w:val="00F2627D"/>
    <w:rsid w:val="00F269B1"/>
    <w:rsid w:val="00F27094"/>
    <w:rsid w:val="00F27299"/>
    <w:rsid w:val="00F2756F"/>
    <w:rsid w:val="00F275DF"/>
    <w:rsid w:val="00F276AE"/>
    <w:rsid w:val="00F278E3"/>
    <w:rsid w:val="00F27A6B"/>
    <w:rsid w:val="00F27C71"/>
    <w:rsid w:val="00F27D67"/>
    <w:rsid w:val="00F3065F"/>
    <w:rsid w:val="00F30699"/>
    <w:rsid w:val="00F30902"/>
    <w:rsid w:val="00F3092B"/>
    <w:rsid w:val="00F312BB"/>
    <w:rsid w:val="00F318F0"/>
    <w:rsid w:val="00F31976"/>
    <w:rsid w:val="00F31ACE"/>
    <w:rsid w:val="00F31B62"/>
    <w:rsid w:val="00F31FA6"/>
    <w:rsid w:val="00F32669"/>
    <w:rsid w:val="00F32BE4"/>
    <w:rsid w:val="00F32C7E"/>
    <w:rsid w:val="00F32E03"/>
    <w:rsid w:val="00F32FAD"/>
    <w:rsid w:val="00F331EE"/>
    <w:rsid w:val="00F33698"/>
    <w:rsid w:val="00F33794"/>
    <w:rsid w:val="00F339D9"/>
    <w:rsid w:val="00F33B83"/>
    <w:rsid w:val="00F33CCB"/>
    <w:rsid w:val="00F33CFD"/>
    <w:rsid w:val="00F33F31"/>
    <w:rsid w:val="00F33FD6"/>
    <w:rsid w:val="00F3400E"/>
    <w:rsid w:val="00F348D0"/>
    <w:rsid w:val="00F349C9"/>
    <w:rsid w:val="00F34EFF"/>
    <w:rsid w:val="00F35DCC"/>
    <w:rsid w:val="00F362DF"/>
    <w:rsid w:val="00F36A74"/>
    <w:rsid w:val="00F36BC0"/>
    <w:rsid w:val="00F36D00"/>
    <w:rsid w:val="00F37053"/>
    <w:rsid w:val="00F372E2"/>
    <w:rsid w:val="00F3776E"/>
    <w:rsid w:val="00F37782"/>
    <w:rsid w:val="00F3790E"/>
    <w:rsid w:val="00F37947"/>
    <w:rsid w:val="00F37A3D"/>
    <w:rsid w:val="00F37F6D"/>
    <w:rsid w:val="00F40026"/>
    <w:rsid w:val="00F4012B"/>
    <w:rsid w:val="00F4055C"/>
    <w:rsid w:val="00F40754"/>
    <w:rsid w:val="00F40A86"/>
    <w:rsid w:val="00F40C40"/>
    <w:rsid w:val="00F40D46"/>
    <w:rsid w:val="00F40ED6"/>
    <w:rsid w:val="00F40F90"/>
    <w:rsid w:val="00F40FF8"/>
    <w:rsid w:val="00F41006"/>
    <w:rsid w:val="00F4114A"/>
    <w:rsid w:val="00F411CD"/>
    <w:rsid w:val="00F413DD"/>
    <w:rsid w:val="00F417EF"/>
    <w:rsid w:val="00F4188F"/>
    <w:rsid w:val="00F41CE4"/>
    <w:rsid w:val="00F41E1C"/>
    <w:rsid w:val="00F41E95"/>
    <w:rsid w:val="00F41ECF"/>
    <w:rsid w:val="00F4212D"/>
    <w:rsid w:val="00F4226F"/>
    <w:rsid w:val="00F42337"/>
    <w:rsid w:val="00F426E2"/>
    <w:rsid w:val="00F427D4"/>
    <w:rsid w:val="00F428C0"/>
    <w:rsid w:val="00F42A57"/>
    <w:rsid w:val="00F42E4B"/>
    <w:rsid w:val="00F42FB7"/>
    <w:rsid w:val="00F432EA"/>
    <w:rsid w:val="00F43634"/>
    <w:rsid w:val="00F439EF"/>
    <w:rsid w:val="00F44151"/>
    <w:rsid w:val="00F443CA"/>
    <w:rsid w:val="00F445BF"/>
    <w:rsid w:val="00F4478C"/>
    <w:rsid w:val="00F447C8"/>
    <w:rsid w:val="00F44D08"/>
    <w:rsid w:val="00F44E6B"/>
    <w:rsid w:val="00F453ED"/>
    <w:rsid w:val="00F45807"/>
    <w:rsid w:val="00F45903"/>
    <w:rsid w:val="00F45AB4"/>
    <w:rsid w:val="00F45ABF"/>
    <w:rsid w:val="00F45B05"/>
    <w:rsid w:val="00F45FAA"/>
    <w:rsid w:val="00F4631D"/>
    <w:rsid w:val="00F46332"/>
    <w:rsid w:val="00F463EE"/>
    <w:rsid w:val="00F47072"/>
    <w:rsid w:val="00F4732E"/>
    <w:rsid w:val="00F477B9"/>
    <w:rsid w:val="00F47CDD"/>
    <w:rsid w:val="00F47DE5"/>
    <w:rsid w:val="00F50283"/>
    <w:rsid w:val="00F50318"/>
    <w:rsid w:val="00F50637"/>
    <w:rsid w:val="00F506B3"/>
    <w:rsid w:val="00F50738"/>
    <w:rsid w:val="00F50924"/>
    <w:rsid w:val="00F509C3"/>
    <w:rsid w:val="00F50B4A"/>
    <w:rsid w:val="00F50E1A"/>
    <w:rsid w:val="00F51486"/>
    <w:rsid w:val="00F51531"/>
    <w:rsid w:val="00F51632"/>
    <w:rsid w:val="00F521FD"/>
    <w:rsid w:val="00F52216"/>
    <w:rsid w:val="00F52558"/>
    <w:rsid w:val="00F52691"/>
    <w:rsid w:val="00F52E30"/>
    <w:rsid w:val="00F52E92"/>
    <w:rsid w:val="00F53135"/>
    <w:rsid w:val="00F535CC"/>
    <w:rsid w:val="00F53EBA"/>
    <w:rsid w:val="00F53F2D"/>
    <w:rsid w:val="00F540E8"/>
    <w:rsid w:val="00F54156"/>
    <w:rsid w:val="00F542C1"/>
    <w:rsid w:val="00F54302"/>
    <w:rsid w:val="00F5473B"/>
    <w:rsid w:val="00F54D6D"/>
    <w:rsid w:val="00F555F0"/>
    <w:rsid w:val="00F5565E"/>
    <w:rsid w:val="00F556FA"/>
    <w:rsid w:val="00F5580B"/>
    <w:rsid w:val="00F55A5B"/>
    <w:rsid w:val="00F56279"/>
    <w:rsid w:val="00F56336"/>
    <w:rsid w:val="00F563D6"/>
    <w:rsid w:val="00F566E0"/>
    <w:rsid w:val="00F5677D"/>
    <w:rsid w:val="00F56B85"/>
    <w:rsid w:val="00F56E0B"/>
    <w:rsid w:val="00F57717"/>
    <w:rsid w:val="00F6010F"/>
    <w:rsid w:val="00F60788"/>
    <w:rsid w:val="00F607BE"/>
    <w:rsid w:val="00F608B9"/>
    <w:rsid w:val="00F60A2D"/>
    <w:rsid w:val="00F60E13"/>
    <w:rsid w:val="00F60EB2"/>
    <w:rsid w:val="00F610AD"/>
    <w:rsid w:val="00F615DC"/>
    <w:rsid w:val="00F6193C"/>
    <w:rsid w:val="00F61A8C"/>
    <w:rsid w:val="00F61BBA"/>
    <w:rsid w:val="00F62099"/>
    <w:rsid w:val="00F6214C"/>
    <w:rsid w:val="00F62477"/>
    <w:rsid w:val="00F625EC"/>
    <w:rsid w:val="00F6291C"/>
    <w:rsid w:val="00F6345A"/>
    <w:rsid w:val="00F63464"/>
    <w:rsid w:val="00F637BB"/>
    <w:rsid w:val="00F63991"/>
    <w:rsid w:val="00F6497B"/>
    <w:rsid w:val="00F64B34"/>
    <w:rsid w:val="00F64C09"/>
    <w:rsid w:val="00F6507E"/>
    <w:rsid w:val="00F650A5"/>
    <w:rsid w:val="00F651EC"/>
    <w:rsid w:val="00F65604"/>
    <w:rsid w:val="00F656DB"/>
    <w:rsid w:val="00F6576B"/>
    <w:rsid w:val="00F658CC"/>
    <w:rsid w:val="00F6615B"/>
    <w:rsid w:val="00F6636F"/>
    <w:rsid w:val="00F668B7"/>
    <w:rsid w:val="00F66CB0"/>
    <w:rsid w:val="00F67775"/>
    <w:rsid w:val="00F679F2"/>
    <w:rsid w:val="00F67B0E"/>
    <w:rsid w:val="00F67E49"/>
    <w:rsid w:val="00F701CA"/>
    <w:rsid w:val="00F7088E"/>
    <w:rsid w:val="00F722A3"/>
    <w:rsid w:val="00F72EAA"/>
    <w:rsid w:val="00F7301E"/>
    <w:rsid w:val="00F7367E"/>
    <w:rsid w:val="00F73881"/>
    <w:rsid w:val="00F73992"/>
    <w:rsid w:val="00F73F12"/>
    <w:rsid w:val="00F741A7"/>
    <w:rsid w:val="00F742F8"/>
    <w:rsid w:val="00F74486"/>
    <w:rsid w:val="00F748EA"/>
    <w:rsid w:val="00F74F7D"/>
    <w:rsid w:val="00F75065"/>
    <w:rsid w:val="00F75095"/>
    <w:rsid w:val="00F750B6"/>
    <w:rsid w:val="00F75737"/>
    <w:rsid w:val="00F757AF"/>
    <w:rsid w:val="00F75ADC"/>
    <w:rsid w:val="00F76408"/>
    <w:rsid w:val="00F764D3"/>
    <w:rsid w:val="00F76BE7"/>
    <w:rsid w:val="00F7716E"/>
    <w:rsid w:val="00F7741E"/>
    <w:rsid w:val="00F77932"/>
    <w:rsid w:val="00F77ED9"/>
    <w:rsid w:val="00F801DB"/>
    <w:rsid w:val="00F806A0"/>
    <w:rsid w:val="00F80AEA"/>
    <w:rsid w:val="00F811DB"/>
    <w:rsid w:val="00F81D31"/>
    <w:rsid w:val="00F82763"/>
    <w:rsid w:val="00F82F24"/>
    <w:rsid w:val="00F8314A"/>
    <w:rsid w:val="00F8340C"/>
    <w:rsid w:val="00F83E96"/>
    <w:rsid w:val="00F8406A"/>
    <w:rsid w:val="00F84103"/>
    <w:rsid w:val="00F845C6"/>
    <w:rsid w:val="00F84A0B"/>
    <w:rsid w:val="00F84E22"/>
    <w:rsid w:val="00F84FCB"/>
    <w:rsid w:val="00F8563D"/>
    <w:rsid w:val="00F859B0"/>
    <w:rsid w:val="00F85F25"/>
    <w:rsid w:val="00F865E8"/>
    <w:rsid w:val="00F86DCE"/>
    <w:rsid w:val="00F87CFF"/>
    <w:rsid w:val="00F90174"/>
    <w:rsid w:val="00F903BE"/>
    <w:rsid w:val="00F907A8"/>
    <w:rsid w:val="00F907E5"/>
    <w:rsid w:val="00F90807"/>
    <w:rsid w:val="00F9080F"/>
    <w:rsid w:val="00F90A06"/>
    <w:rsid w:val="00F90CF2"/>
    <w:rsid w:val="00F910D2"/>
    <w:rsid w:val="00F91E1D"/>
    <w:rsid w:val="00F91F0C"/>
    <w:rsid w:val="00F91FE3"/>
    <w:rsid w:val="00F92250"/>
    <w:rsid w:val="00F928A8"/>
    <w:rsid w:val="00F92ADD"/>
    <w:rsid w:val="00F92C05"/>
    <w:rsid w:val="00F92C7C"/>
    <w:rsid w:val="00F92D63"/>
    <w:rsid w:val="00F93010"/>
    <w:rsid w:val="00F934FD"/>
    <w:rsid w:val="00F93859"/>
    <w:rsid w:val="00F938E9"/>
    <w:rsid w:val="00F93CDA"/>
    <w:rsid w:val="00F93ED7"/>
    <w:rsid w:val="00F93FC9"/>
    <w:rsid w:val="00F94190"/>
    <w:rsid w:val="00F941F2"/>
    <w:rsid w:val="00F94534"/>
    <w:rsid w:val="00F946EC"/>
    <w:rsid w:val="00F94744"/>
    <w:rsid w:val="00F94CE4"/>
    <w:rsid w:val="00F94DD3"/>
    <w:rsid w:val="00F951A9"/>
    <w:rsid w:val="00F952E3"/>
    <w:rsid w:val="00F9554F"/>
    <w:rsid w:val="00F95E69"/>
    <w:rsid w:val="00F9680E"/>
    <w:rsid w:val="00F96D0D"/>
    <w:rsid w:val="00F96ECE"/>
    <w:rsid w:val="00F972E0"/>
    <w:rsid w:val="00F9746C"/>
    <w:rsid w:val="00F9757F"/>
    <w:rsid w:val="00F979C4"/>
    <w:rsid w:val="00F97A70"/>
    <w:rsid w:val="00FA028E"/>
    <w:rsid w:val="00FA08D9"/>
    <w:rsid w:val="00FA0BBC"/>
    <w:rsid w:val="00FA0D03"/>
    <w:rsid w:val="00FA0D14"/>
    <w:rsid w:val="00FA0EAB"/>
    <w:rsid w:val="00FA1250"/>
    <w:rsid w:val="00FA166F"/>
    <w:rsid w:val="00FA16ED"/>
    <w:rsid w:val="00FA1898"/>
    <w:rsid w:val="00FA19C2"/>
    <w:rsid w:val="00FA1FDE"/>
    <w:rsid w:val="00FA246F"/>
    <w:rsid w:val="00FA26D3"/>
    <w:rsid w:val="00FA2779"/>
    <w:rsid w:val="00FA2866"/>
    <w:rsid w:val="00FA2B05"/>
    <w:rsid w:val="00FA2EEB"/>
    <w:rsid w:val="00FA3BCB"/>
    <w:rsid w:val="00FA3DAE"/>
    <w:rsid w:val="00FA4124"/>
    <w:rsid w:val="00FA45D6"/>
    <w:rsid w:val="00FA4CBF"/>
    <w:rsid w:val="00FA4D9A"/>
    <w:rsid w:val="00FA5B63"/>
    <w:rsid w:val="00FA5C13"/>
    <w:rsid w:val="00FA6518"/>
    <w:rsid w:val="00FA699D"/>
    <w:rsid w:val="00FA6F68"/>
    <w:rsid w:val="00FA718D"/>
    <w:rsid w:val="00FA71CF"/>
    <w:rsid w:val="00FA74A5"/>
    <w:rsid w:val="00FB0466"/>
    <w:rsid w:val="00FB064C"/>
    <w:rsid w:val="00FB0999"/>
    <w:rsid w:val="00FB0A50"/>
    <w:rsid w:val="00FB0DF1"/>
    <w:rsid w:val="00FB11D0"/>
    <w:rsid w:val="00FB1B43"/>
    <w:rsid w:val="00FB20E8"/>
    <w:rsid w:val="00FB278F"/>
    <w:rsid w:val="00FB2FE4"/>
    <w:rsid w:val="00FB3860"/>
    <w:rsid w:val="00FB4124"/>
    <w:rsid w:val="00FB41EA"/>
    <w:rsid w:val="00FB4505"/>
    <w:rsid w:val="00FB458E"/>
    <w:rsid w:val="00FB4E26"/>
    <w:rsid w:val="00FB4F3E"/>
    <w:rsid w:val="00FB4F97"/>
    <w:rsid w:val="00FB5520"/>
    <w:rsid w:val="00FB581D"/>
    <w:rsid w:val="00FB5FA6"/>
    <w:rsid w:val="00FB6278"/>
    <w:rsid w:val="00FB6583"/>
    <w:rsid w:val="00FB6606"/>
    <w:rsid w:val="00FB691E"/>
    <w:rsid w:val="00FB6C43"/>
    <w:rsid w:val="00FB7293"/>
    <w:rsid w:val="00FB7491"/>
    <w:rsid w:val="00FB74EE"/>
    <w:rsid w:val="00FB7AE4"/>
    <w:rsid w:val="00FC0422"/>
    <w:rsid w:val="00FC0855"/>
    <w:rsid w:val="00FC0F41"/>
    <w:rsid w:val="00FC104E"/>
    <w:rsid w:val="00FC10AB"/>
    <w:rsid w:val="00FC1204"/>
    <w:rsid w:val="00FC1857"/>
    <w:rsid w:val="00FC1C68"/>
    <w:rsid w:val="00FC1EC4"/>
    <w:rsid w:val="00FC1ECF"/>
    <w:rsid w:val="00FC2237"/>
    <w:rsid w:val="00FC2360"/>
    <w:rsid w:val="00FC2511"/>
    <w:rsid w:val="00FC292E"/>
    <w:rsid w:val="00FC2C44"/>
    <w:rsid w:val="00FC2CAA"/>
    <w:rsid w:val="00FC2D3D"/>
    <w:rsid w:val="00FC2F33"/>
    <w:rsid w:val="00FC337D"/>
    <w:rsid w:val="00FC3717"/>
    <w:rsid w:val="00FC39AA"/>
    <w:rsid w:val="00FC3ECC"/>
    <w:rsid w:val="00FC416F"/>
    <w:rsid w:val="00FC41B5"/>
    <w:rsid w:val="00FC4480"/>
    <w:rsid w:val="00FC45BD"/>
    <w:rsid w:val="00FC48E4"/>
    <w:rsid w:val="00FC51D0"/>
    <w:rsid w:val="00FC521F"/>
    <w:rsid w:val="00FC5490"/>
    <w:rsid w:val="00FC5C5A"/>
    <w:rsid w:val="00FC5F48"/>
    <w:rsid w:val="00FC61FB"/>
    <w:rsid w:val="00FC6ED0"/>
    <w:rsid w:val="00FC6FC5"/>
    <w:rsid w:val="00FC70F5"/>
    <w:rsid w:val="00FC770B"/>
    <w:rsid w:val="00FC7830"/>
    <w:rsid w:val="00FC794E"/>
    <w:rsid w:val="00FD0472"/>
    <w:rsid w:val="00FD065E"/>
    <w:rsid w:val="00FD07C3"/>
    <w:rsid w:val="00FD08ED"/>
    <w:rsid w:val="00FD0989"/>
    <w:rsid w:val="00FD0A83"/>
    <w:rsid w:val="00FD0AE7"/>
    <w:rsid w:val="00FD0CDD"/>
    <w:rsid w:val="00FD0D3E"/>
    <w:rsid w:val="00FD133A"/>
    <w:rsid w:val="00FD168D"/>
    <w:rsid w:val="00FD1691"/>
    <w:rsid w:val="00FD2648"/>
    <w:rsid w:val="00FD26E5"/>
    <w:rsid w:val="00FD2792"/>
    <w:rsid w:val="00FD2D89"/>
    <w:rsid w:val="00FD336B"/>
    <w:rsid w:val="00FD4095"/>
    <w:rsid w:val="00FD43E0"/>
    <w:rsid w:val="00FD4447"/>
    <w:rsid w:val="00FD468D"/>
    <w:rsid w:val="00FD48E7"/>
    <w:rsid w:val="00FD4BE0"/>
    <w:rsid w:val="00FD4BFA"/>
    <w:rsid w:val="00FD4DC7"/>
    <w:rsid w:val="00FD4EC5"/>
    <w:rsid w:val="00FD5303"/>
    <w:rsid w:val="00FD56D9"/>
    <w:rsid w:val="00FD59A1"/>
    <w:rsid w:val="00FD5A2D"/>
    <w:rsid w:val="00FD628F"/>
    <w:rsid w:val="00FD64E1"/>
    <w:rsid w:val="00FD66FF"/>
    <w:rsid w:val="00FD6A9B"/>
    <w:rsid w:val="00FD70C3"/>
    <w:rsid w:val="00FD7353"/>
    <w:rsid w:val="00FD754E"/>
    <w:rsid w:val="00FD7BED"/>
    <w:rsid w:val="00FE0772"/>
    <w:rsid w:val="00FE07BB"/>
    <w:rsid w:val="00FE0921"/>
    <w:rsid w:val="00FE0A69"/>
    <w:rsid w:val="00FE10CA"/>
    <w:rsid w:val="00FE146F"/>
    <w:rsid w:val="00FE1BD8"/>
    <w:rsid w:val="00FE21CE"/>
    <w:rsid w:val="00FE265B"/>
    <w:rsid w:val="00FE2660"/>
    <w:rsid w:val="00FE2D84"/>
    <w:rsid w:val="00FE2E29"/>
    <w:rsid w:val="00FE378A"/>
    <w:rsid w:val="00FE3921"/>
    <w:rsid w:val="00FE3954"/>
    <w:rsid w:val="00FE3A51"/>
    <w:rsid w:val="00FE3BBA"/>
    <w:rsid w:val="00FE3C08"/>
    <w:rsid w:val="00FE3E6A"/>
    <w:rsid w:val="00FE4165"/>
    <w:rsid w:val="00FE4299"/>
    <w:rsid w:val="00FE4378"/>
    <w:rsid w:val="00FE4EBA"/>
    <w:rsid w:val="00FE4F49"/>
    <w:rsid w:val="00FE4FB6"/>
    <w:rsid w:val="00FE5068"/>
    <w:rsid w:val="00FE57F9"/>
    <w:rsid w:val="00FE60C9"/>
    <w:rsid w:val="00FE61E0"/>
    <w:rsid w:val="00FE66B3"/>
    <w:rsid w:val="00FE66C6"/>
    <w:rsid w:val="00FE6A9C"/>
    <w:rsid w:val="00FE7079"/>
    <w:rsid w:val="00FE723F"/>
    <w:rsid w:val="00FE7374"/>
    <w:rsid w:val="00FE75DA"/>
    <w:rsid w:val="00FE784B"/>
    <w:rsid w:val="00FE7892"/>
    <w:rsid w:val="00FE795F"/>
    <w:rsid w:val="00FE7A65"/>
    <w:rsid w:val="00FF0245"/>
    <w:rsid w:val="00FF046F"/>
    <w:rsid w:val="00FF0899"/>
    <w:rsid w:val="00FF1280"/>
    <w:rsid w:val="00FF1A6D"/>
    <w:rsid w:val="00FF20B9"/>
    <w:rsid w:val="00FF28D6"/>
    <w:rsid w:val="00FF2996"/>
    <w:rsid w:val="00FF36AF"/>
    <w:rsid w:val="00FF373B"/>
    <w:rsid w:val="00FF3898"/>
    <w:rsid w:val="00FF3A16"/>
    <w:rsid w:val="00FF3E53"/>
    <w:rsid w:val="00FF407A"/>
    <w:rsid w:val="00FF4915"/>
    <w:rsid w:val="00FF4A42"/>
    <w:rsid w:val="00FF4E65"/>
    <w:rsid w:val="00FF4F74"/>
    <w:rsid w:val="00FF5257"/>
    <w:rsid w:val="00FF5B46"/>
    <w:rsid w:val="00FF5D58"/>
    <w:rsid w:val="00FF68B1"/>
    <w:rsid w:val="00FF6B01"/>
    <w:rsid w:val="00FF6C35"/>
    <w:rsid w:val="00FF6D0E"/>
    <w:rsid w:val="00FF6D2F"/>
    <w:rsid w:val="00FF6D58"/>
    <w:rsid w:val="00FF6ED4"/>
    <w:rsid w:val="00FF703B"/>
    <w:rsid w:val="00FF7085"/>
    <w:rsid w:val="00FF7444"/>
    <w:rsid w:val="00FF7630"/>
    <w:rsid w:val="00FF7646"/>
    <w:rsid w:val="00FF7A90"/>
    <w:rsid w:val="00FF7BB0"/>
    <w:rsid w:val="00FF7CDC"/>
    <w:rsid w:val="00FF7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411DE5"/>
  <w15:docId w15:val="{A507093E-EBB6-46F7-A7D1-4C3E0344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F6C"/>
    <w:pPr>
      <w:jc w:val="both"/>
    </w:pPr>
    <w:rPr>
      <w:rFonts w:ascii="ZapfCalligr BT" w:hAnsi="ZapfCalligr BT" w:cs="ZapfCalligr BT"/>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cs="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cs="Arial"/>
      <w:b/>
      <w:bCs/>
      <w:sz w:val="24"/>
      <w:szCs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bCs/>
      <w:sz w:val="28"/>
      <w:szCs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bCs/>
      <w:sz w:val="26"/>
      <w:szCs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bCs/>
      <w:sz w:val="28"/>
      <w:szCs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66ADF"/>
    <w:pPr>
      <w:keepNext/>
      <w:outlineLvl w:val="7"/>
    </w:pPr>
    <w:rPr>
      <w:sz w:val="26"/>
      <w:szCs w:val="26"/>
      <w:u w:val="single"/>
      <w:lang w:eastAsia="en-US"/>
    </w:rPr>
  </w:style>
  <w:style w:type="paragraph" w:styleId="Heading9">
    <w:name w:val="heading 9"/>
    <w:basedOn w:val="Normal"/>
    <w:next w:val="Normal"/>
    <w:link w:val="Heading9Char"/>
    <w:uiPriority w:val="99"/>
    <w:qFormat/>
    <w:rsid w:val="00866ADF"/>
    <w:pPr>
      <w:keepNext/>
      <w:outlineLvl w:val="8"/>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A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12A1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12A1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12A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12A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12A15"/>
    <w:rPr>
      <w:rFonts w:ascii="Calibri" w:hAnsi="Calibri" w:cs="Calibri"/>
      <w:b/>
      <w:bCs/>
    </w:rPr>
  </w:style>
  <w:style w:type="character" w:customStyle="1" w:styleId="Heading7Char">
    <w:name w:val="Heading 7 Char"/>
    <w:basedOn w:val="DefaultParagraphFont"/>
    <w:link w:val="Heading7"/>
    <w:uiPriority w:val="99"/>
    <w:semiHidden/>
    <w:locked/>
    <w:rsid w:val="00E12A15"/>
    <w:rPr>
      <w:rFonts w:ascii="Calibri" w:hAnsi="Calibri" w:cs="Calibri"/>
      <w:sz w:val="24"/>
      <w:szCs w:val="24"/>
    </w:rPr>
  </w:style>
  <w:style w:type="character" w:customStyle="1" w:styleId="Heading8Char">
    <w:name w:val="Heading 8 Char"/>
    <w:basedOn w:val="DefaultParagraphFont"/>
    <w:link w:val="Heading8"/>
    <w:uiPriority w:val="99"/>
    <w:semiHidden/>
    <w:locked/>
    <w:rsid w:val="00E12A1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12A15"/>
    <w:rPr>
      <w:rFonts w:ascii="Cambria" w:hAnsi="Cambria" w:cs="Cambria"/>
    </w:rPr>
  </w:style>
  <w:style w:type="table" w:styleId="TableGrid">
    <w:name w:val="Table Grid"/>
    <w:basedOn w:val="TableNormal"/>
    <w:uiPriority w:val="59"/>
    <w:rsid w:val="00ED099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basedOn w:val="DefaultParagraphFont"/>
    <w:link w:val="Footer"/>
    <w:uiPriority w:val="99"/>
    <w:locked/>
    <w:rsid w:val="00E12A15"/>
    <w:rPr>
      <w:rFonts w:ascii="ZapfCalligr BT" w:hAnsi="ZapfCalligr BT" w:cs="ZapfCalligr BT"/>
      <w:sz w:val="20"/>
      <w:szCs w:val="20"/>
    </w:rPr>
  </w:style>
  <w:style w:type="character" w:styleId="PageNumber">
    <w:name w:val="page number"/>
    <w:basedOn w:val="DefaultParagraphFont"/>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basedOn w:val="DefaultParagraphFont"/>
    <w:link w:val="Header"/>
    <w:uiPriority w:val="99"/>
    <w:locked/>
    <w:rsid w:val="00E12A15"/>
    <w:rPr>
      <w:rFonts w:ascii="ZapfCalligr BT" w:hAnsi="ZapfCalligr BT" w:cs="ZapfCalligr BT"/>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A15"/>
    <w:rPr>
      <w:rFonts w:cs="Times New Roman"/>
      <w:sz w:val="2"/>
      <w:szCs w:val="2"/>
    </w:rPr>
  </w:style>
  <w:style w:type="paragraph" w:styleId="BodyText">
    <w:name w:val="Body Text"/>
    <w:basedOn w:val="Normal"/>
    <w:link w:val="BodyTextChar"/>
    <w:uiPriority w:val="99"/>
    <w:rsid w:val="00866ADF"/>
    <w:rPr>
      <w:sz w:val="28"/>
      <w:szCs w:val="28"/>
      <w:lang w:eastAsia="en-US"/>
    </w:rPr>
  </w:style>
  <w:style w:type="character" w:customStyle="1" w:styleId="BodyTextChar">
    <w:name w:val="Body Text Char"/>
    <w:basedOn w:val="DefaultParagraphFont"/>
    <w:link w:val="BodyText"/>
    <w:uiPriority w:val="99"/>
    <w:semiHidden/>
    <w:locked/>
    <w:rsid w:val="00E12A15"/>
    <w:rPr>
      <w:rFonts w:ascii="ZapfCalligr BT" w:hAnsi="ZapfCalligr BT" w:cs="ZapfCalligr BT"/>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E12A15"/>
    <w:rPr>
      <w:rFonts w:ascii="ZapfCalligr BT" w:hAnsi="ZapfCalligr BT" w:cs="ZapfCalligr BT"/>
      <w:sz w:val="20"/>
      <w:szCs w:val="20"/>
    </w:rPr>
  </w:style>
  <w:style w:type="paragraph" w:styleId="BodyText2">
    <w:name w:val="Body Text 2"/>
    <w:basedOn w:val="Normal"/>
    <w:link w:val="BodyText2Char"/>
    <w:uiPriority w:val="99"/>
    <w:rsid w:val="00866ADF"/>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semiHidden/>
    <w:locked/>
    <w:rsid w:val="00E12A15"/>
    <w:rPr>
      <w:rFonts w:ascii="ZapfCalligr BT" w:hAnsi="ZapfCalligr BT" w:cs="ZapfCalligr BT"/>
      <w:sz w:val="20"/>
      <w:szCs w:val="20"/>
    </w:rPr>
  </w:style>
  <w:style w:type="paragraph" w:styleId="BodyText3">
    <w:name w:val="Body Text 3"/>
    <w:basedOn w:val="Normal"/>
    <w:link w:val="BodyText3Char"/>
    <w:uiPriority w:val="99"/>
    <w:rsid w:val="00866ADF"/>
    <w:pPr>
      <w:spacing w:after="120"/>
    </w:pPr>
    <w:rPr>
      <w:rFonts w:ascii="Arial" w:hAnsi="Arial" w:cs="Arial"/>
      <w:sz w:val="16"/>
      <w:szCs w:val="16"/>
    </w:rPr>
  </w:style>
  <w:style w:type="character" w:customStyle="1" w:styleId="BodyText3Char">
    <w:name w:val="Body Text 3 Char"/>
    <w:basedOn w:val="DefaultParagraphFont"/>
    <w:link w:val="BodyText3"/>
    <w:uiPriority w:val="99"/>
    <w:semiHidden/>
    <w:locked/>
    <w:rsid w:val="00E12A15"/>
    <w:rPr>
      <w:rFonts w:ascii="ZapfCalligr BT" w:hAnsi="ZapfCalligr BT" w:cs="ZapfCalligr BT"/>
      <w:sz w:val="16"/>
      <w:szCs w:val="16"/>
    </w:rPr>
  </w:style>
  <w:style w:type="character" w:styleId="FollowedHyperlink">
    <w:name w:val="FollowedHyperlink"/>
    <w:basedOn w:val="DefaultParagraphFont"/>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szCs w:val="24"/>
      <w:lang w:eastAsia="en-US"/>
    </w:rPr>
  </w:style>
  <w:style w:type="character" w:customStyle="1" w:styleId="BodyTextIndentChar">
    <w:name w:val="Body Text Indent Char"/>
    <w:basedOn w:val="DefaultParagraphFont"/>
    <w:link w:val="BodyTextIndent"/>
    <w:uiPriority w:val="99"/>
    <w:semiHidden/>
    <w:locked/>
    <w:rsid w:val="00E12A15"/>
    <w:rPr>
      <w:rFonts w:ascii="ZapfCalligr BT" w:hAnsi="ZapfCalligr BT" w:cs="ZapfCalligr BT"/>
      <w:sz w:val="20"/>
      <w:szCs w:val="20"/>
    </w:rPr>
  </w:style>
  <w:style w:type="paragraph" w:styleId="BodyTextIndent3">
    <w:name w:val="Body Text Indent 3"/>
    <w:basedOn w:val="Normal"/>
    <w:link w:val="BodyTextIndent3Char"/>
    <w:uiPriority w:val="99"/>
    <w:rsid w:val="00866ADF"/>
    <w:pPr>
      <w:ind w:left="180" w:hanging="180"/>
    </w:pPr>
    <w:rPr>
      <w:sz w:val="26"/>
      <w:szCs w:val="26"/>
      <w:lang w:eastAsia="en-US"/>
    </w:rPr>
  </w:style>
  <w:style w:type="character" w:customStyle="1" w:styleId="BodyTextIndent3Char">
    <w:name w:val="Body Text Indent 3 Char"/>
    <w:basedOn w:val="DefaultParagraphFont"/>
    <w:link w:val="BodyTextIndent3"/>
    <w:uiPriority w:val="99"/>
    <w:semiHidden/>
    <w:locked/>
    <w:rsid w:val="00E12A15"/>
    <w:rPr>
      <w:rFonts w:ascii="ZapfCalligr BT" w:hAnsi="ZapfCalligr BT" w:cs="ZapfCalligr BT"/>
      <w:sz w:val="16"/>
      <w:szCs w:val="16"/>
    </w:rPr>
  </w:style>
  <w:style w:type="paragraph" w:styleId="NoSpacing">
    <w:name w:val="No Spacing"/>
    <w:uiPriority w:val="99"/>
    <w:qFormat/>
    <w:rsid w:val="008A2104"/>
    <w:rPr>
      <w:rFonts w:ascii="Calibri" w:hAnsi="Calibri" w:cs="Calibri"/>
      <w:lang w:eastAsia="en-US"/>
    </w:rPr>
  </w:style>
  <w:style w:type="paragraph" w:styleId="PlainText">
    <w:name w:val="Plain Text"/>
    <w:basedOn w:val="Normal"/>
    <w:link w:val="PlainTextChar"/>
    <w:uiPriority w:val="99"/>
    <w:rsid w:val="00647960"/>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E12A15"/>
    <w:rPr>
      <w:rFonts w:ascii="Courier New" w:hAnsi="Courier New" w:cs="Courier New"/>
      <w:sz w:val="20"/>
      <w:szCs w:val="20"/>
    </w:rPr>
  </w:style>
  <w:style w:type="character" w:customStyle="1" w:styleId="n66611listyle">
    <w:name w:val="n66611 listyle"/>
    <w:basedOn w:val="DefaultParagraphFont"/>
    <w:uiPriority w:val="99"/>
    <w:rsid w:val="00523F9C"/>
    <w:rPr>
      <w:rFonts w:cs="Times New Roman"/>
    </w:rPr>
  </w:style>
  <w:style w:type="paragraph" w:styleId="NormalWeb">
    <w:name w:val="Normal (Web)"/>
    <w:basedOn w:val="Normal"/>
    <w:uiPriority w:val="99"/>
    <w:rsid w:val="008C0BC2"/>
    <w:pPr>
      <w:spacing w:before="100" w:beforeAutospacing="1" w:after="100" w:afterAutospacing="1"/>
      <w:jc w:val="left"/>
    </w:pPr>
    <w:rPr>
      <w:rFonts w:ascii="Times New Roman" w:hAnsi="Times New Roman" w:cs="Times New Roman"/>
      <w:sz w:val="24"/>
      <w:szCs w:val="24"/>
    </w:rPr>
  </w:style>
  <w:style w:type="paragraph" w:customStyle="1" w:styleId="Default">
    <w:name w:val="Default"/>
    <w:rsid w:val="00E92C6C"/>
    <w:pPr>
      <w:autoSpaceDE w:val="0"/>
      <w:autoSpaceDN w:val="0"/>
      <w:adjustRightInd w:val="0"/>
    </w:pPr>
    <w:rPr>
      <w:rFonts w:ascii="Avenir 35" w:hAnsi="Avenir 35" w:cs="Avenir 35"/>
      <w:color w:val="000000"/>
      <w:sz w:val="24"/>
      <w:szCs w:val="24"/>
    </w:rPr>
  </w:style>
  <w:style w:type="character" w:customStyle="1" w:styleId="EmailStyle52">
    <w:name w:val="EmailStyle52"/>
    <w:basedOn w:val="DefaultParagraphFont"/>
    <w:uiPriority w:val="99"/>
    <w:semiHidden/>
    <w:rsid w:val="000D21AF"/>
    <w:rPr>
      <w:rFonts w:ascii="Arial" w:hAnsi="Arial" w:cs="Arial"/>
      <w:color w:val="auto"/>
      <w:sz w:val="20"/>
      <w:szCs w:val="20"/>
    </w:rPr>
  </w:style>
  <w:style w:type="paragraph" w:styleId="Revision">
    <w:name w:val="Revision"/>
    <w:hidden/>
    <w:uiPriority w:val="99"/>
    <w:semiHidden/>
    <w:rsid w:val="003B0D78"/>
    <w:rPr>
      <w:rFonts w:ascii="ZapfCalligr BT" w:hAnsi="ZapfCalligr BT" w:cs="ZapfCalligr BT"/>
    </w:rPr>
  </w:style>
  <w:style w:type="paragraph" w:customStyle="1" w:styleId="smalltext">
    <w:name w:val="smalltext"/>
    <w:basedOn w:val="Normal"/>
    <w:uiPriority w:val="99"/>
    <w:rsid w:val="008D399A"/>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20"/>
    <w:qFormat/>
    <w:rsid w:val="008D399A"/>
    <w:rPr>
      <w:rFonts w:cs="Times New Roman"/>
      <w:i/>
      <w:iCs/>
    </w:rPr>
  </w:style>
  <w:style w:type="paragraph" w:styleId="ListParagraph">
    <w:name w:val="List Paragraph"/>
    <w:basedOn w:val="Normal"/>
    <w:uiPriority w:val="34"/>
    <w:qFormat/>
    <w:rsid w:val="00D027BE"/>
    <w:pPr>
      <w:ind w:left="720"/>
    </w:pPr>
  </w:style>
  <w:style w:type="character" w:styleId="SubtleEmphasis">
    <w:name w:val="Subtle Emphasis"/>
    <w:basedOn w:val="DefaultParagraphFont"/>
    <w:uiPriority w:val="19"/>
    <w:qFormat/>
    <w:rsid w:val="00BC7D0A"/>
    <w:rPr>
      <w:i/>
      <w:iCs/>
      <w:color w:val="808080" w:themeColor="text1" w:themeTint="7F"/>
    </w:rPr>
  </w:style>
  <w:style w:type="character" w:customStyle="1" w:styleId="gerrans">
    <w:name w:val="gerrans"/>
    <w:basedOn w:val="DefaultParagraphFont"/>
    <w:semiHidden/>
    <w:rsid w:val="000D30A7"/>
    <w:rPr>
      <w:rFonts w:ascii="Arial" w:hAnsi="Arial" w:cs="Arial"/>
      <w:color w:val="auto"/>
      <w:sz w:val="20"/>
      <w:szCs w:val="20"/>
    </w:rPr>
  </w:style>
  <w:style w:type="character" w:styleId="CommentReference">
    <w:name w:val="annotation reference"/>
    <w:basedOn w:val="DefaultParagraphFont"/>
    <w:uiPriority w:val="99"/>
    <w:semiHidden/>
    <w:locked/>
    <w:rsid w:val="000D30A7"/>
    <w:rPr>
      <w:sz w:val="16"/>
      <w:szCs w:val="16"/>
    </w:rPr>
  </w:style>
  <w:style w:type="paragraph" w:styleId="CommentText">
    <w:name w:val="annotation text"/>
    <w:basedOn w:val="Normal"/>
    <w:link w:val="CommentTextChar"/>
    <w:uiPriority w:val="99"/>
    <w:semiHidden/>
    <w:locked/>
    <w:rsid w:val="000D30A7"/>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D30A7"/>
    <w:rPr>
      <w:rFonts w:ascii="ZapfCalligr BT" w:eastAsia="Times New Roman" w:hAnsi="ZapfCalligr BT"/>
      <w:sz w:val="20"/>
      <w:szCs w:val="20"/>
    </w:rPr>
  </w:style>
  <w:style w:type="table" w:styleId="LightShading">
    <w:name w:val="Light Shading"/>
    <w:basedOn w:val="TableNormal"/>
    <w:uiPriority w:val="60"/>
    <w:rsid w:val="00CA6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A6F3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5148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AfterTables">
    <w:name w:val="Bodytext AfterTables"/>
    <w:basedOn w:val="Normal"/>
    <w:rsid w:val="00C050BA"/>
    <w:pPr>
      <w:spacing w:before="120" w:after="105" w:line="210" w:lineRule="exact"/>
      <w:jc w:val="left"/>
    </w:pPr>
    <w:rPr>
      <w:rFonts w:ascii="Trade Gothic LT Std Light" w:eastAsia="Times New Roman" w:hAnsi="Trade Gothic LT Std Light" w:cs="Times New Roman"/>
      <w:spacing w:val="-3"/>
      <w:sz w:val="18"/>
      <w:szCs w:val="24"/>
    </w:rPr>
  </w:style>
  <w:style w:type="paragraph" w:customStyle="1" w:styleId="Tabletext">
    <w:name w:val="Tabletext"/>
    <w:basedOn w:val="Normal"/>
    <w:rsid w:val="00C050BA"/>
    <w:pPr>
      <w:tabs>
        <w:tab w:val="left" w:pos="284"/>
      </w:tabs>
      <w:spacing w:before="20" w:after="20" w:line="180" w:lineRule="exact"/>
      <w:jc w:val="left"/>
    </w:pPr>
    <w:rPr>
      <w:rFonts w:ascii="Trade Gothic LT Std Light" w:eastAsia="Times New Roman" w:hAnsi="Trade Gothic LT Std Light" w:cs="Times New Roman"/>
      <w:spacing w:val="-3"/>
      <w:sz w:val="16"/>
      <w:szCs w:val="20"/>
    </w:rPr>
  </w:style>
  <w:style w:type="paragraph" w:customStyle="1" w:styleId="TableColHeads">
    <w:name w:val="TableColHeads"/>
    <w:basedOn w:val="Tabletext"/>
    <w:rsid w:val="00C050BA"/>
    <w:pPr>
      <w:spacing w:before="40" w:after="40" w:line="160" w:lineRule="exact"/>
      <w:ind w:right="57"/>
      <w:jc w:val="right"/>
    </w:pPr>
    <w:rPr>
      <w:sz w:val="14"/>
    </w:rPr>
  </w:style>
  <w:style w:type="paragraph" w:customStyle="1" w:styleId="TableFigures">
    <w:name w:val="TableFigures"/>
    <w:basedOn w:val="Tabletext"/>
    <w:rsid w:val="00C050BA"/>
    <w:pPr>
      <w:ind w:right="57"/>
      <w:jc w:val="right"/>
    </w:pPr>
  </w:style>
  <w:style w:type="paragraph" w:customStyle="1" w:styleId="TableFiguresBold">
    <w:name w:val="TableFigures Bold"/>
    <w:basedOn w:val="TableFigures"/>
    <w:rsid w:val="00C050BA"/>
    <w:rPr>
      <w:rFonts w:ascii="Trade Gothic LT Std Bold" w:hAnsi="Trade Gothic LT Std Bold"/>
      <w:bCs/>
    </w:rPr>
  </w:style>
  <w:style w:type="paragraph" w:customStyle="1" w:styleId="Footnotes">
    <w:name w:val="Footnotes"/>
    <w:basedOn w:val="Normal"/>
    <w:rsid w:val="00EE1AB2"/>
    <w:pPr>
      <w:spacing w:before="85" w:line="170" w:lineRule="exact"/>
      <w:ind w:left="170" w:hanging="170"/>
      <w:jc w:val="left"/>
    </w:pPr>
    <w:rPr>
      <w:rFonts w:ascii="Trade Gothic LT Std Light" w:eastAsia="Times New Roman" w:hAnsi="Trade Gothic LT Std Light" w:cs="Times New Roman"/>
      <w:spacing w:val="-3"/>
      <w:sz w:val="15"/>
      <w:szCs w:val="24"/>
    </w:rPr>
  </w:style>
  <w:style w:type="paragraph" w:customStyle="1" w:styleId="TableColHeadsLeft">
    <w:name w:val="TableColHeads Left"/>
    <w:basedOn w:val="TableColHeads"/>
    <w:rsid w:val="00793F84"/>
    <w:pPr>
      <w:jc w:val="left"/>
    </w:pPr>
  </w:style>
  <w:style w:type="paragraph" w:customStyle="1" w:styleId="TableFiguresBrackets">
    <w:name w:val="TableFigures Brackets"/>
    <w:basedOn w:val="TableFigures"/>
    <w:rsid w:val="005F309B"/>
    <w:pPr>
      <w:ind w:right="17"/>
    </w:pPr>
  </w:style>
  <w:style w:type="paragraph" w:customStyle="1" w:styleId="Bullets">
    <w:name w:val="Bullets"/>
    <w:basedOn w:val="Normal"/>
    <w:rsid w:val="00C659A8"/>
    <w:pPr>
      <w:numPr>
        <w:numId w:val="2"/>
      </w:numPr>
      <w:spacing w:after="105" w:line="210" w:lineRule="exact"/>
      <w:jc w:val="left"/>
    </w:pPr>
    <w:rPr>
      <w:rFonts w:ascii="Trade Gothic LT Std Light" w:eastAsia="Times New Roman" w:hAnsi="Trade Gothic LT Std Light" w:cs="Times New Roman"/>
      <w:spacing w:val="-3"/>
      <w:sz w:val="18"/>
      <w:szCs w:val="24"/>
    </w:rPr>
  </w:style>
  <w:style w:type="paragraph" w:styleId="ListBullet4">
    <w:name w:val="List Bullet 4"/>
    <w:basedOn w:val="Normal"/>
    <w:uiPriority w:val="99"/>
    <w:semiHidden/>
    <w:unhideWhenUsed/>
    <w:locked/>
    <w:rsid w:val="000A761B"/>
    <w:pPr>
      <w:numPr>
        <w:numId w:val="3"/>
      </w:numPr>
      <w:spacing w:after="80" w:line="210" w:lineRule="exact"/>
      <w:jc w:val="left"/>
    </w:pPr>
    <w:rPr>
      <w:rFonts w:ascii="Trade Gothic LT Std Light" w:eastAsiaTheme="minorHAnsi" w:hAnsi="Trade Gothic LT Std Light" w:cs="Times New Roman"/>
      <w:spacing w:val="-4"/>
      <w:sz w:val="18"/>
      <w:szCs w:val="18"/>
    </w:rPr>
  </w:style>
  <w:style w:type="paragraph" w:styleId="CommentSubject">
    <w:name w:val="annotation subject"/>
    <w:basedOn w:val="CommentText"/>
    <w:next w:val="CommentText"/>
    <w:link w:val="CommentSubjectChar"/>
    <w:uiPriority w:val="99"/>
    <w:semiHidden/>
    <w:unhideWhenUsed/>
    <w:locked/>
    <w:rsid w:val="00A7352B"/>
    <w:rPr>
      <w:rFonts w:eastAsia="Batang" w:cs="ZapfCalligr BT"/>
      <w:b/>
      <w:bCs/>
    </w:rPr>
  </w:style>
  <w:style w:type="character" w:customStyle="1" w:styleId="CommentSubjectChar">
    <w:name w:val="Comment Subject Char"/>
    <w:basedOn w:val="CommentTextChar"/>
    <w:link w:val="CommentSubject"/>
    <w:uiPriority w:val="99"/>
    <w:semiHidden/>
    <w:rsid w:val="00A7352B"/>
    <w:rPr>
      <w:rFonts w:ascii="ZapfCalligr BT" w:eastAsia="Times New Roman" w:hAnsi="ZapfCalligr BT" w:cs="ZapfCalligr BT"/>
      <w:b/>
      <w:bCs/>
      <w:sz w:val="20"/>
      <w:szCs w:val="20"/>
    </w:rPr>
  </w:style>
  <w:style w:type="paragraph" w:customStyle="1" w:styleId="Heading1NoSpace">
    <w:name w:val="Heading 1 NoSpace"/>
    <w:basedOn w:val="Heading1"/>
    <w:rsid w:val="00104D21"/>
    <w:pPr>
      <w:pBdr>
        <w:bottom w:val="single" w:sz="8" w:space="4" w:color="auto"/>
      </w:pBdr>
      <w:shd w:val="clear" w:color="auto" w:fill="auto"/>
      <w:tabs>
        <w:tab w:val="left" w:pos="284"/>
        <w:tab w:val="left" w:pos="340"/>
      </w:tabs>
      <w:spacing w:after="60" w:line="280" w:lineRule="exact"/>
      <w:jc w:val="left"/>
    </w:pPr>
    <w:rPr>
      <w:rFonts w:ascii="Trade Gothic LT Std Bold" w:eastAsia="Times New Roman" w:hAnsi="Trade Gothic LT Std Bold" w:cs="Times New Roman"/>
      <w:bCs w:val="0"/>
      <w:color w:val="auto"/>
      <w:spacing w:val="-3"/>
      <w:kern w:val="32"/>
      <w:sz w:val="24"/>
      <w:szCs w:val="20"/>
      <w:lang w:eastAsia="en-GB"/>
    </w:rPr>
  </w:style>
  <w:style w:type="character" w:customStyle="1" w:styleId="Bold">
    <w:name w:val="Bold"/>
    <w:rsid w:val="00104D21"/>
    <w:rPr>
      <w:rFonts w:ascii="Trade Gothic LT Std Bold" w:hAnsi="Trade Gothic LT Std Bold"/>
    </w:rPr>
  </w:style>
  <w:style w:type="paragraph" w:styleId="Bibliography">
    <w:name w:val="Bibliography"/>
    <w:basedOn w:val="Normal"/>
    <w:next w:val="Normal"/>
    <w:uiPriority w:val="37"/>
    <w:semiHidden/>
    <w:unhideWhenUsed/>
    <w:rsid w:val="00F859B0"/>
  </w:style>
  <w:style w:type="paragraph" w:styleId="BlockText">
    <w:name w:val="Block Text"/>
    <w:basedOn w:val="Normal"/>
    <w:uiPriority w:val="99"/>
    <w:semiHidden/>
    <w:unhideWhenUsed/>
    <w:locked/>
    <w:rsid w:val="00F859B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F859B0"/>
    <w:pPr>
      <w:ind w:firstLine="360"/>
    </w:pPr>
    <w:rPr>
      <w:sz w:val="22"/>
      <w:szCs w:val="22"/>
      <w:lang w:eastAsia="en-GB"/>
    </w:rPr>
  </w:style>
  <w:style w:type="character" w:customStyle="1" w:styleId="BodyTextFirstIndentChar">
    <w:name w:val="Body Text First Indent Char"/>
    <w:basedOn w:val="BodyTextChar"/>
    <w:link w:val="BodyTextFirstIndent"/>
    <w:uiPriority w:val="99"/>
    <w:semiHidden/>
    <w:rsid w:val="00F859B0"/>
    <w:rPr>
      <w:rFonts w:ascii="ZapfCalligr BT" w:hAnsi="ZapfCalligr BT" w:cs="ZapfCalligr BT"/>
      <w:sz w:val="20"/>
      <w:szCs w:val="20"/>
    </w:rPr>
  </w:style>
  <w:style w:type="paragraph" w:styleId="BodyTextFirstIndent2">
    <w:name w:val="Body Text First Indent 2"/>
    <w:basedOn w:val="BodyTextIndent"/>
    <w:link w:val="BodyTextFirstIndent2Char"/>
    <w:uiPriority w:val="99"/>
    <w:semiHidden/>
    <w:unhideWhenUsed/>
    <w:locked/>
    <w:rsid w:val="00F859B0"/>
    <w:pPr>
      <w:tabs>
        <w:tab w:val="clear" w:pos="567"/>
        <w:tab w:val="clear" w:pos="4537"/>
        <w:tab w:val="clear" w:pos="5245"/>
        <w:tab w:val="clear" w:pos="6804"/>
      </w:tabs>
      <w:ind w:left="360" w:firstLine="360"/>
    </w:pPr>
    <w:rPr>
      <w:sz w:val="22"/>
      <w:szCs w:val="22"/>
      <w:lang w:eastAsia="en-GB"/>
    </w:rPr>
  </w:style>
  <w:style w:type="character" w:customStyle="1" w:styleId="BodyTextFirstIndent2Char">
    <w:name w:val="Body Text First Indent 2 Char"/>
    <w:basedOn w:val="BodyTextIndentChar"/>
    <w:link w:val="BodyTextFirstIndent2"/>
    <w:uiPriority w:val="99"/>
    <w:semiHidden/>
    <w:rsid w:val="00F859B0"/>
    <w:rPr>
      <w:rFonts w:ascii="ZapfCalligr BT" w:hAnsi="ZapfCalligr BT" w:cs="ZapfCalligr BT"/>
      <w:sz w:val="20"/>
      <w:szCs w:val="20"/>
    </w:rPr>
  </w:style>
  <w:style w:type="paragraph" w:styleId="Caption">
    <w:name w:val="caption"/>
    <w:basedOn w:val="Normal"/>
    <w:next w:val="Normal"/>
    <w:uiPriority w:val="35"/>
    <w:semiHidden/>
    <w:unhideWhenUsed/>
    <w:qFormat/>
    <w:locked/>
    <w:rsid w:val="00F859B0"/>
    <w:pPr>
      <w:spacing w:after="200"/>
    </w:pPr>
    <w:rPr>
      <w:i/>
      <w:iCs/>
      <w:color w:val="1F497D" w:themeColor="text2"/>
      <w:sz w:val="18"/>
      <w:szCs w:val="18"/>
    </w:rPr>
  </w:style>
  <w:style w:type="paragraph" w:styleId="Closing">
    <w:name w:val="Closing"/>
    <w:basedOn w:val="Normal"/>
    <w:link w:val="ClosingChar"/>
    <w:uiPriority w:val="99"/>
    <w:semiHidden/>
    <w:unhideWhenUsed/>
    <w:locked/>
    <w:rsid w:val="00F859B0"/>
    <w:pPr>
      <w:ind w:left="4252"/>
    </w:pPr>
  </w:style>
  <w:style w:type="character" w:customStyle="1" w:styleId="ClosingChar">
    <w:name w:val="Closing Char"/>
    <w:basedOn w:val="DefaultParagraphFont"/>
    <w:link w:val="Closing"/>
    <w:uiPriority w:val="99"/>
    <w:semiHidden/>
    <w:rsid w:val="00F859B0"/>
    <w:rPr>
      <w:rFonts w:ascii="ZapfCalligr BT" w:hAnsi="ZapfCalligr BT" w:cs="ZapfCalligr BT"/>
    </w:rPr>
  </w:style>
  <w:style w:type="paragraph" w:styleId="Date">
    <w:name w:val="Date"/>
    <w:basedOn w:val="Normal"/>
    <w:next w:val="Normal"/>
    <w:link w:val="DateChar"/>
    <w:uiPriority w:val="99"/>
    <w:semiHidden/>
    <w:unhideWhenUsed/>
    <w:locked/>
    <w:rsid w:val="00F859B0"/>
  </w:style>
  <w:style w:type="character" w:customStyle="1" w:styleId="DateChar">
    <w:name w:val="Date Char"/>
    <w:basedOn w:val="DefaultParagraphFont"/>
    <w:link w:val="Date"/>
    <w:uiPriority w:val="99"/>
    <w:semiHidden/>
    <w:rsid w:val="00F859B0"/>
    <w:rPr>
      <w:rFonts w:ascii="ZapfCalligr BT" w:hAnsi="ZapfCalligr BT" w:cs="ZapfCalligr BT"/>
    </w:rPr>
  </w:style>
  <w:style w:type="paragraph" w:styleId="DocumentMap">
    <w:name w:val="Document Map"/>
    <w:basedOn w:val="Normal"/>
    <w:link w:val="DocumentMapChar"/>
    <w:uiPriority w:val="99"/>
    <w:semiHidden/>
    <w:unhideWhenUsed/>
    <w:locked/>
    <w:rsid w:val="00F859B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859B0"/>
    <w:rPr>
      <w:rFonts w:ascii="Segoe UI" w:hAnsi="Segoe UI" w:cs="Segoe UI"/>
      <w:sz w:val="16"/>
      <w:szCs w:val="16"/>
    </w:rPr>
  </w:style>
  <w:style w:type="paragraph" w:styleId="E-mailSignature">
    <w:name w:val="E-mail Signature"/>
    <w:basedOn w:val="Normal"/>
    <w:link w:val="E-mailSignatureChar"/>
    <w:uiPriority w:val="99"/>
    <w:semiHidden/>
    <w:unhideWhenUsed/>
    <w:locked/>
    <w:rsid w:val="00F859B0"/>
  </w:style>
  <w:style w:type="character" w:customStyle="1" w:styleId="E-mailSignatureChar">
    <w:name w:val="E-mail Signature Char"/>
    <w:basedOn w:val="DefaultParagraphFont"/>
    <w:link w:val="E-mailSignature"/>
    <w:uiPriority w:val="99"/>
    <w:semiHidden/>
    <w:rsid w:val="00F859B0"/>
    <w:rPr>
      <w:rFonts w:ascii="ZapfCalligr BT" w:hAnsi="ZapfCalligr BT" w:cs="ZapfCalligr BT"/>
    </w:rPr>
  </w:style>
  <w:style w:type="paragraph" w:styleId="EndnoteText">
    <w:name w:val="endnote text"/>
    <w:basedOn w:val="Normal"/>
    <w:link w:val="EndnoteTextChar"/>
    <w:uiPriority w:val="99"/>
    <w:semiHidden/>
    <w:unhideWhenUsed/>
    <w:locked/>
    <w:rsid w:val="00F859B0"/>
    <w:rPr>
      <w:sz w:val="20"/>
      <w:szCs w:val="20"/>
    </w:rPr>
  </w:style>
  <w:style w:type="character" w:customStyle="1" w:styleId="EndnoteTextChar">
    <w:name w:val="Endnote Text Char"/>
    <w:basedOn w:val="DefaultParagraphFont"/>
    <w:link w:val="EndnoteText"/>
    <w:uiPriority w:val="99"/>
    <w:semiHidden/>
    <w:rsid w:val="00F859B0"/>
    <w:rPr>
      <w:rFonts w:ascii="ZapfCalligr BT" w:hAnsi="ZapfCalligr BT" w:cs="ZapfCalligr BT"/>
      <w:sz w:val="20"/>
      <w:szCs w:val="20"/>
    </w:rPr>
  </w:style>
  <w:style w:type="paragraph" w:styleId="EnvelopeAddress">
    <w:name w:val="envelope address"/>
    <w:basedOn w:val="Normal"/>
    <w:uiPriority w:val="99"/>
    <w:semiHidden/>
    <w:unhideWhenUsed/>
    <w:locked/>
    <w:rsid w:val="00F859B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859B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F859B0"/>
    <w:rPr>
      <w:sz w:val="20"/>
      <w:szCs w:val="20"/>
    </w:rPr>
  </w:style>
  <w:style w:type="character" w:customStyle="1" w:styleId="FootnoteTextChar">
    <w:name w:val="Footnote Text Char"/>
    <w:basedOn w:val="DefaultParagraphFont"/>
    <w:link w:val="FootnoteText"/>
    <w:uiPriority w:val="99"/>
    <w:semiHidden/>
    <w:rsid w:val="00F859B0"/>
    <w:rPr>
      <w:rFonts w:ascii="ZapfCalligr BT" w:hAnsi="ZapfCalligr BT" w:cs="ZapfCalligr BT"/>
      <w:sz w:val="20"/>
      <w:szCs w:val="20"/>
    </w:rPr>
  </w:style>
  <w:style w:type="paragraph" w:styleId="HTMLAddress">
    <w:name w:val="HTML Address"/>
    <w:basedOn w:val="Normal"/>
    <w:link w:val="HTMLAddressChar"/>
    <w:uiPriority w:val="99"/>
    <w:semiHidden/>
    <w:unhideWhenUsed/>
    <w:locked/>
    <w:rsid w:val="00F859B0"/>
    <w:rPr>
      <w:i/>
      <w:iCs/>
    </w:rPr>
  </w:style>
  <w:style w:type="character" w:customStyle="1" w:styleId="HTMLAddressChar">
    <w:name w:val="HTML Address Char"/>
    <w:basedOn w:val="DefaultParagraphFont"/>
    <w:link w:val="HTMLAddress"/>
    <w:uiPriority w:val="99"/>
    <w:semiHidden/>
    <w:rsid w:val="00F859B0"/>
    <w:rPr>
      <w:rFonts w:ascii="ZapfCalligr BT" w:hAnsi="ZapfCalligr BT" w:cs="ZapfCalligr BT"/>
      <w:i/>
      <w:iCs/>
    </w:rPr>
  </w:style>
  <w:style w:type="paragraph" w:styleId="HTMLPreformatted">
    <w:name w:val="HTML Preformatted"/>
    <w:basedOn w:val="Normal"/>
    <w:link w:val="HTMLPreformattedChar"/>
    <w:uiPriority w:val="99"/>
    <w:semiHidden/>
    <w:unhideWhenUsed/>
    <w:locked/>
    <w:rsid w:val="00F859B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859B0"/>
    <w:rPr>
      <w:rFonts w:ascii="Consolas" w:hAnsi="Consolas" w:cs="Consolas"/>
      <w:sz w:val="20"/>
      <w:szCs w:val="20"/>
    </w:rPr>
  </w:style>
  <w:style w:type="paragraph" w:styleId="Index1">
    <w:name w:val="index 1"/>
    <w:basedOn w:val="Normal"/>
    <w:next w:val="Normal"/>
    <w:autoRedefine/>
    <w:uiPriority w:val="99"/>
    <w:semiHidden/>
    <w:unhideWhenUsed/>
    <w:locked/>
    <w:rsid w:val="00F859B0"/>
    <w:pPr>
      <w:ind w:left="220" w:hanging="220"/>
    </w:pPr>
  </w:style>
  <w:style w:type="paragraph" w:styleId="Index2">
    <w:name w:val="index 2"/>
    <w:basedOn w:val="Normal"/>
    <w:next w:val="Normal"/>
    <w:autoRedefine/>
    <w:uiPriority w:val="99"/>
    <w:semiHidden/>
    <w:unhideWhenUsed/>
    <w:locked/>
    <w:rsid w:val="00F859B0"/>
    <w:pPr>
      <w:ind w:left="440" w:hanging="220"/>
    </w:pPr>
  </w:style>
  <w:style w:type="paragraph" w:styleId="Index3">
    <w:name w:val="index 3"/>
    <w:basedOn w:val="Normal"/>
    <w:next w:val="Normal"/>
    <w:autoRedefine/>
    <w:uiPriority w:val="99"/>
    <w:semiHidden/>
    <w:unhideWhenUsed/>
    <w:locked/>
    <w:rsid w:val="00F859B0"/>
    <w:pPr>
      <w:ind w:left="660" w:hanging="220"/>
    </w:pPr>
  </w:style>
  <w:style w:type="paragraph" w:styleId="Index4">
    <w:name w:val="index 4"/>
    <w:basedOn w:val="Normal"/>
    <w:next w:val="Normal"/>
    <w:autoRedefine/>
    <w:uiPriority w:val="99"/>
    <w:semiHidden/>
    <w:unhideWhenUsed/>
    <w:locked/>
    <w:rsid w:val="00F859B0"/>
    <w:pPr>
      <w:ind w:left="880" w:hanging="220"/>
    </w:pPr>
  </w:style>
  <w:style w:type="paragraph" w:styleId="Index5">
    <w:name w:val="index 5"/>
    <w:basedOn w:val="Normal"/>
    <w:next w:val="Normal"/>
    <w:autoRedefine/>
    <w:uiPriority w:val="99"/>
    <w:semiHidden/>
    <w:unhideWhenUsed/>
    <w:locked/>
    <w:rsid w:val="00F859B0"/>
    <w:pPr>
      <w:ind w:left="1100" w:hanging="220"/>
    </w:pPr>
  </w:style>
  <w:style w:type="paragraph" w:styleId="Index6">
    <w:name w:val="index 6"/>
    <w:basedOn w:val="Normal"/>
    <w:next w:val="Normal"/>
    <w:autoRedefine/>
    <w:uiPriority w:val="99"/>
    <w:semiHidden/>
    <w:unhideWhenUsed/>
    <w:locked/>
    <w:rsid w:val="00F859B0"/>
    <w:pPr>
      <w:ind w:left="1320" w:hanging="220"/>
    </w:pPr>
  </w:style>
  <w:style w:type="paragraph" w:styleId="Index7">
    <w:name w:val="index 7"/>
    <w:basedOn w:val="Normal"/>
    <w:next w:val="Normal"/>
    <w:autoRedefine/>
    <w:uiPriority w:val="99"/>
    <w:semiHidden/>
    <w:unhideWhenUsed/>
    <w:locked/>
    <w:rsid w:val="00F859B0"/>
    <w:pPr>
      <w:ind w:left="1540" w:hanging="220"/>
    </w:pPr>
  </w:style>
  <w:style w:type="paragraph" w:styleId="Index8">
    <w:name w:val="index 8"/>
    <w:basedOn w:val="Normal"/>
    <w:next w:val="Normal"/>
    <w:autoRedefine/>
    <w:uiPriority w:val="99"/>
    <w:semiHidden/>
    <w:unhideWhenUsed/>
    <w:locked/>
    <w:rsid w:val="00F859B0"/>
    <w:pPr>
      <w:ind w:left="1760" w:hanging="220"/>
    </w:pPr>
  </w:style>
  <w:style w:type="paragraph" w:styleId="Index9">
    <w:name w:val="index 9"/>
    <w:basedOn w:val="Normal"/>
    <w:next w:val="Normal"/>
    <w:autoRedefine/>
    <w:uiPriority w:val="99"/>
    <w:semiHidden/>
    <w:unhideWhenUsed/>
    <w:locked/>
    <w:rsid w:val="00F859B0"/>
    <w:pPr>
      <w:ind w:left="1980" w:hanging="220"/>
    </w:pPr>
  </w:style>
  <w:style w:type="paragraph" w:styleId="IndexHeading">
    <w:name w:val="index heading"/>
    <w:basedOn w:val="Normal"/>
    <w:next w:val="Index1"/>
    <w:uiPriority w:val="99"/>
    <w:semiHidden/>
    <w:unhideWhenUsed/>
    <w:locked/>
    <w:rsid w:val="00F859B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859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859B0"/>
    <w:rPr>
      <w:rFonts w:ascii="ZapfCalligr BT" w:hAnsi="ZapfCalligr BT" w:cs="ZapfCalligr BT"/>
      <w:i/>
      <w:iCs/>
      <w:color w:val="4F81BD" w:themeColor="accent1"/>
    </w:rPr>
  </w:style>
  <w:style w:type="paragraph" w:styleId="List">
    <w:name w:val="List"/>
    <w:basedOn w:val="Normal"/>
    <w:uiPriority w:val="99"/>
    <w:semiHidden/>
    <w:unhideWhenUsed/>
    <w:locked/>
    <w:rsid w:val="00F859B0"/>
    <w:pPr>
      <w:ind w:left="283" w:hanging="283"/>
      <w:contextualSpacing/>
    </w:pPr>
  </w:style>
  <w:style w:type="paragraph" w:styleId="List2">
    <w:name w:val="List 2"/>
    <w:basedOn w:val="Normal"/>
    <w:uiPriority w:val="99"/>
    <w:semiHidden/>
    <w:unhideWhenUsed/>
    <w:locked/>
    <w:rsid w:val="00F859B0"/>
    <w:pPr>
      <w:ind w:left="566" w:hanging="283"/>
      <w:contextualSpacing/>
    </w:pPr>
  </w:style>
  <w:style w:type="paragraph" w:styleId="List3">
    <w:name w:val="List 3"/>
    <w:basedOn w:val="Normal"/>
    <w:uiPriority w:val="99"/>
    <w:semiHidden/>
    <w:unhideWhenUsed/>
    <w:locked/>
    <w:rsid w:val="00F859B0"/>
    <w:pPr>
      <w:ind w:left="849" w:hanging="283"/>
      <w:contextualSpacing/>
    </w:pPr>
  </w:style>
  <w:style w:type="paragraph" w:styleId="List4">
    <w:name w:val="List 4"/>
    <w:basedOn w:val="Normal"/>
    <w:uiPriority w:val="99"/>
    <w:semiHidden/>
    <w:unhideWhenUsed/>
    <w:locked/>
    <w:rsid w:val="00F859B0"/>
    <w:pPr>
      <w:ind w:left="1132" w:hanging="283"/>
      <w:contextualSpacing/>
    </w:pPr>
  </w:style>
  <w:style w:type="paragraph" w:styleId="List5">
    <w:name w:val="List 5"/>
    <w:basedOn w:val="Normal"/>
    <w:uiPriority w:val="99"/>
    <w:semiHidden/>
    <w:unhideWhenUsed/>
    <w:locked/>
    <w:rsid w:val="00F859B0"/>
    <w:pPr>
      <w:ind w:left="1415" w:hanging="283"/>
      <w:contextualSpacing/>
    </w:pPr>
  </w:style>
  <w:style w:type="paragraph" w:styleId="ListBullet">
    <w:name w:val="List Bullet"/>
    <w:basedOn w:val="Normal"/>
    <w:uiPriority w:val="99"/>
    <w:semiHidden/>
    <w:unhideWhenUsed/>
    <w:locked/>
    <w:rsid w:val="00F859B0"/>
    <w:pPr>
      <w:numPr>
        <w:numId w:val="16"/>
      </w:numPr>
      <w:contextualSpacing/>
    </w:pPr>
  </w:style>
  <w:style w:type="paragraph" w:styleId="ListBullet2">
    <w:name w:val="List Bullet 2"/>
    <w:basedOn w:val="Normal"/>
    <w:uiPriority w:val="99"/>
    <w:semiHidden/>
    <w:unhideWhenUsed/>
    <w:locked/>
    <w:rsid w:val="00F859B0"/>
    <w:pPr>
      <w:numPr>
        <w:numId w:val="17"/>
      </w:numPr>
      <w:contextualSpacing/>
    </w:pPr>
  </w:style>
  <w:style w:type="paragraph" w:styleId="ListBullet3">
    <w:name w:val="List Bullet 3"/>
    <w:basedOn w:val="Normal"/>
    <w:uiPriority w:val="99"/>
    <w:semiHidden/>
    <w:unhideWhenUsed/>
    <w:locked/>
    <w:rsid w:val="00F859B0"/>
    <w:pPr>
      <w:numPr>
        <w:numId w:val="18"/>
      </w:numPr>
      <w:contextualSpacing/>
    </w:pPr>
  </w:style>
  <w:style w:type="paragraph" w:styleId="ListBullet5">
    <w:name w:val="List Bullet 5"/>
    <w:basedOn w:val="Normal"/>
    <w:uiPriority w:val="99"/>
    <w:semiHidden/>
    <w:unhideWhenUsed/>
    <w:locked/>
    <w:rsid w:val="00F859B0"/>
    <w:pPr>
      <w:numPr>
        <w:numId w:val="19"/>
      </w:numPr>
      <w:contextualSpacing/>
    </w:pPr>
  </w:style>
  <w:style w:type="paragraph" w:styleId="ListContinue">
    <w:name w:val="List Continue"/>
    <w:basedOn w:val="Normal"/>
    <w:uiPriority w:val="99"/>
    <w:semiHidden/>
    <w:unhideWhenUsed/>
    <w:locked/>
    <w:rsid w:val="00F859B0"/>
    <w:pPr>
      <w:spacing w:after="120"/>
      <w:ind w:left="283"/>
      <w:contextualSpacing/>
    </w:pPr>
  </w:style>
  <w:style w:type="paragraph" w:styleId="ListContinue2">
    <w:name w:val="List Continue 2"/>
    <w:basedOn w:val="Normal"/>
    <w:uiPriority w:val="99"/>
    <w:semiHidden/>
    <w:unhideWhenUsed/>
    <w:locked/>
    <w:rsid w:val="00F859B0"/>
    <w:pPr>
      <w:spacing w:after="120"/>
      <w:ind w:left="566"/>
      <w:contextualSpacing/>
    </w:pPr>
  </w:style>
  <w:style w:type="paragraph" w:styleId="ListContinue3">
    <w:name w:val="List Continue 3"/>
    <w:basedOn w:val="Normal"/>
    <w:uiPriority w:val="99"/>
    <w:semiHidden/>
    <w:unhideWhenUsed/>
    <w:locked/>
    <w:rsid w:val="00F859B0"/>
    <w:pPr>
      <w:spacing w:after="120"/>
      <w:ind w:left="849"/>
      <w:contextualSpacing/>
    </w:pPr>
  </w:style>
  <w:style w:type="paragraph" w:styleId="ListContinue4">
    <w:name w:val="List Continue 4"/>
    <w:basedOn w:val="Normal"/>
    <w:uiPriority w:val="99"/>
    <w:semiHidden/>
    <w:unhideWhenUsed/>
    <w:locked/>
    <w:rsid w:val="00F859B0"/>
    <w:pPr>
      <w:spacing w:after="120"/>
      <w:ind w:left="1132"/>
      <w:contextualSpacing/>
    </w:pPr>
  </w:style>
  <w:style w:type="paragraph" w:styleId="ListContinue5">
    <w:name w:val="List Continue 5"/>
    <w:basedOn w:val="Normal"/>
    <w:uiPriority w:val="99"/>
    <w:semiHidden/>
    <w:unhideWhenUsed/>
    <w:locked/>
    <w:rsid w:val="00F859B0"/>
    <w:pPr>
      <w:spacing w:after="120"/>
      <w:ind w:left="1415"/>
      <w:contextualSpacing/>
    </w:pPr>
  </w:style>
  <w:style w:type="paragraph" w:styleId="ListNumber">
    <w:name w:val="List Number"/>
    <w:basedOn w:val="Normal"/>
    <w:uiPriority w:val="99"/>
    <w:semiHidden/>
    <w:unhideWhenUsed/>
    <w:locked/>
    <w:rsid w:val="00F859B0"/>
    <w:pPr>
      <w:numPr>
        <w:numId w:val="20"/>
      </w:numPr>
      <w:contextualSpacing/>
    </w:pPr>
  </w:style>
  <w:style w:type="paragraph" w:styleId="ListNumber2">
    <w:name w:val="List Number 2"/>
    <w:basedOn w:val="Normal"/>
    <w:uiPriority w:val="99"/>
    <w:semiHidden/>
    <w:unhideWhenUsed/>
    <w:locked/>
    <w:rsid w:val="00F859B0"/>
    <w:pPr>
      <w:numPr>
        <w:numId w:val="21"/>
      </w:numPr>
      <w:contextualSpacing/>
    </w:pPr>
  </w:style>
  <w:style w:type="paragraph" w:styleId="ListNumber3">
    <w:name w:val="List Number 3"/>
    <w:basedOn w:val="Normal"/>
    <w:uiPriority w:val="99"/>
    <w:semiHidden/>
    <w:unhideWhenUsed/>
    <w:locked/>
    <w:rsid w:val="00F859B0"/>
    <w:pPr>
      <w:numPr>
        <w:numId w:val="22"/>
      </w:numPr>
      <w:contextualSpacing/>
    </w:pPr>
  </w:style>
  <w:style w:type="paragraph" w:styleId="ListNumber4">
    <w:name w:val="List Number 4"/>
    <w:basedOn w:val="Normal"/>
    <w:uiPriority w:val="99"/>
    <w:semiHidden/>
    <w:unhideWhenUsed/>
    <w:locked/>
    <w:rsid w:val="00F859B0"/>
    <w:pPr>
      <w:numPr>
        <w:numId w:val="23"/>
      </w:numPr>
      <w:contextualSpacing/>
    </w:pPr>
  </w:style>
  <w:style w:type="paragraph" w:styleId="ListNumber5">
    <w:name w:val="List Number 5"/>
    <w:basedOn w:val="Normal"/>
    <w:uiPriority w:val="99"/>
    <w:semiHidden/>
    <w:unhideWhenUsed/>
    <w:locked/>
    <w:rsid w:val="00F859B0"/>
    <w:pPr>
      <w:numPr>
        <w:numId w:val="24"/>
      </w:numPr>
      <w:contextualSpacing/>
    </w:pPr>
  </w:style>
  <w:style w:type="paragraph" w:styleId="MacroText">
    <w:name w:val="macro"/>
    <w:link w:val="MacroTextChar"/>
    <w:uiPriority w:val="99"/>
    <w:semiHidden/>
    <w:unhideWhenUsed/>
    <w:locked/>
    <w:rsid w:val="00F859B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F859B0"/>
    <w:rPr>
      <w:rFonts w:ascii="Consolas" w:hAnsi="Consolas" w:cs="Consolas"/>
      <w:sz w:val="20"/>
      <w:szCs w:val="20"/>
    </w:rPr>
  </w:style>
  <w:style w:type="paragraph" w:styleId="MessageHeader">
    <w:name w:val="Message Header"/>
    <w:basedOn w:val="Normal"/>
    <w:link w:val="MessageHeaderChar"/>
    <w:uiPriority w:val="99"/>
    <w:semiHidden/>
    <w:unhideWhenUsed/>
    <w:locked/>
    <w:rsid w:val="00F859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59B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locked/>
    <w:rsid w:val="00F859B0"/>
    <w:pPr>
      <w:ind w:left="720"/>
    </w:pPr>
  </w:style>
  <w:style w:type="paragraph" w:styleId="NoteHeading">
    <w:name w:val="Note Heading"/>
    <w:basedOn w:val="Normal"/>
    <w:next w:val="Normal"/>
    <w:link w:val="NoteHeadingChar"/>
    <w:uiPriority w:val="99"/>
    <w:semiHidden/>
    <w:unhideWhenUsed/>
    <w:locked/>
    <w:rsid w:val="00F859B0"/>
  </w:style>
  <w:style w:type="character" w:customStyle="1" w:styleId="NoteHeadingChar">
    <w:name w:val="Note Heading Char"/>
    <w:basedOn w:val="DefaultParagraphFont"/>
    <w:link w:val="NoteHeading"/>
    <w:uiPriority w:val="99"/>
    <w:semiHidden/>
    <w:rsid w:val="00F859B0"/>
    <w:rPr>
      <w:rFonts w:ascii="ZapfCalligr BT" w:hAnsi="ZapfCalligr BT" w:cs="ZapfCalligr BT"/>
    </w:rPr>
  </w:style>
  <w:style w:type="paragraph" w:styleId="Quote">
    <w:name w:val="Quote"/>
    <w:basedOn w:val="Normal"/>
    <w:next w:val="Normal"/>
    <w:link w:val="QuoteChar"/>
    <w:uiPriority w:val="29"/>
    <w:qFormat/>
    <w:rsid w:val="00F859B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59B0"/>
    <w:rPr>
      <w:rFonts w:ascii="ZapfCalligr BT" w:hAnsi="ZapfCalligr BT" w:cs="ZapfCalligr BT"/>
      <w:i/>
      <w:iCs/>
      <w:color w:val="404040" w:themeColor="text1" w:themeTint="BF"/>
    </w:rPr>
  </w:style>
  <w:style w:type="paragraph" w:styleId="Salutation">
    <w:name w:val="Salutation"/>
    <w:basedOn w:val="Normal"/>
    <w:next w:val="Normal"/>
    <w:link w:val="SalutationChar"/>
    <w:uiPriority w:val="99"/>
    <w:semiHidden/>
    <w:unhideWhenUsed/>
    <w:locked/>
    <w:rsid w:val="00F859B0"/>
  </w:style>
  <w:style w:type="character" w:customStyle="1" w:styleId="SalutationChar">
    <w:name w:val="Salutation Char"/>
    <w:basedOn w:val="DefaultParagraphFont"/>
    <w:link w:val="Salutation"/>
    <w:uiPriority w:val="99"/>
    <w:semiHidden/>
    <w:rsid w:val="00F859B0"/>
    <w:rPr>
      <w:rFonts w:ascii="ZapfCalligr BT" w:hAnsi="ZapfCalligr BT" w:cs="ZapfCalligr BT"/>
    </w:rPr>
  </w:style>
  <w:style w:type="paragraph" w:styleId="Signature">
    <w:name w:val="Signature"/>
    <w:basedOn w:val="Normal"/>
    <w:link w:val="SignatureChar"/>
    <w:uiPriority w:val="99"/>
    <w:semiHidden/>
    <w:unhideWhenUsed/>
    <w:locked/>
    <w:rsid w:val="00F859B0"/>
    <w:pPr>
      <w:ind w:left="4252"/>
    </w:pPr>
  </w:style>
  <w:style w:type="character" w:customStyle="1" w:styleId="SignatureChar">
    <w:name w:val="Signature Char"/>
    <w:basedOn w:val="DefaultParagraphFont"/>
    <w:link w:val="Signature"/>
    <w:uiPriority w:val="99"/>
    <w:semiHidden/>
    <w:rsid w:val="00F859B0"/>
    <w:rPr>
      <w:rFonts w:ascii="ZapfCalligr BT" w:hAnsi="ZapfCalligr BT" w:cs="ZapfCalligr BT"/>
    </w:rPr>
  </w:style>
  <w:style w:type="paragraph" w:styleId="Subtitle">
    <w:name w:val="Subtitle"/>
    <w:basedOn w:val="Normal"/>
    <w:next w:val="Normal"/>
    <w:link w:val="SubtitleChar"/>
    <w:uiPriority w:val="11"/>
    <w:qFormat/>
    <w:locked/>
    <w:rsid w:val="00F859B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859B0"/>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locked/>
    <w:rsid w:val="00F859B0"/>
    <w:pPr>
      <w:ind w:left="220" w:hanging="220"/>
    </w:pPr>
  </w:style>
  <w:style w:type="paragraph" w:styleId="TableofFigures">
    <w:name w:val="table of figures"/>
    <w:basedOn w:val="Normal"/>
    <w:next w:val="Normal"/>
    <w:uiPriority w:val="99"/>
    <w:semiHidden/>
    <w:unhideWhenUsed/>
    <w:locked/>
    <w:rsid w:val="00F859B0"/>
  </w:style>
  <w:style w:type="paragraph" w:styleId="Title">
    <w:name w:val="Title"/>
    <w:basedOn w:val="Normal"/>
    <w:next w:val="Normal"/>
    <w:link w:val="TitleChar"/>
    <w:uiPriority w:val="10"/>
    <w:qFormat/>
    <w:locked/>
    <w:rsid w:val="00F859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9B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locked/>
    <w:rsid w:val="00F859B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F859B0"/>
    <w:pPr>
      <w:spacing w:after="100"/>
    </w:pPr>
  </w:style>
  <w:style w:type="paragraph" w:styleId="TOC2">
    <w:name w:val="toc 2"/>
    <w:basedOn w:val="Normal"/>
    <w:next w:val="Normal"/>
    <w:autoRedefine/>
    <w:uiPriority w:val="39"/>
    <w:semiHidden/>
    <w:unhideWhenUsed/>
    <w:locked/>
    <w:rsid w:val="00F859B0"/>
    <w:pPr>
      <w:spacing w:after="100"/>
      <w:ind w:left="220"/>
    </w:pPr>
  </w:style>
  <w:style w:type="paragraph" w:styleId="TOC3">
    <w:name w:val="toc 3"/>
    <w:basedOn w:val="Normal"/>
    <w:next w:val="Normal"/>
    <w:autoRedefine/>
    <w:uiPriority w:val="39"/>
    <w:semiHidden/>
    <w:unhideWhenUsed/>
    <w:locked/>
    <w:rsid w:val="00F859B0"/>
    <w:pPr>
      <w:spacing w:after="100"/>
      <w:ind w:left="440"/>
    </w:pPr>
  </w:style>
  <w:style w:type="paragraph" w:styleId="TOC4">
    <w:name w:val="toc 4"/>
    <w:basedOn w:val="Normal"/>
    <w:next w:val="Normal"/>
    <w:autoRedefine/>
    <w:uiPriority w:val="39"/>
    <w:semiHidden/>
    <w:unhideWhenUsed/>
    <w:locked/>
    <w:rsid w:val="00F859B0"/>
    <w:pPr>
      <w:spacing w:after="100"/>
      <w:ind w:left="660"/>
    </w:pPr>
  </w:style>
  <w:style w:type="paragraph" w:styleId="TOC5">
    <w:name w:val="toc 5"/>
    <w:basedOn w:val="Normal"/>
    <w:next w:val="Normal"/>
    <w:autoRedefine/>
    <w:uiPriority w:val="39"/>
    <w:semiHidden/>
    <w:unhideWhenUsed/>
    <w:locked/>
    <w:rsid w:val="00F859B0"/>
    <w:pPr>
      <w:spacing w:after="100"/>
      <w:ind w:left="880"/>
    </w:pPr>
  </w:style>
  <w:style w:type="paragraph" w:styleId="TOC6">
    <w:name w:val="toc 6"/>
    <w:basedOn w:val="Normal"/>
    <w:next w:val="Normal"/>
    <w:autoRedefine/>
    <w:uiPriority w:val="39"/>
    <w:semiHidden/>
    <w:unhideWhenUsed/>
    <w:locked/>
    <w:rsid w:val="00F859B0"/>
    <w:pPr>
      <w:spacing w:after="100"/>
      <w:ind w:left="1100"/>
    </w:pPr>
  </w:style>
  <w:style w:type="paragraph" w:styleId="TOC7">
    <w:name w:val="toc 7"/>
    <w:basedOn w:val="Normal"/>
    <w:next w:val="Normal"/>
    <w:autoRedefine/>
    <w:uiPriority w:val="39"/>
    <w:semiHidden/>
    <w:unhideWhenUsed/>
    <w:locked/>
    <w:rsid w:val="00F859B0"/>
    <w:pPr>
      <w:spacing w:after="100"/>
      <w:ind w:left="1320"/>
    </w:pPr>
  </w:style>
  <w:style w:type="paragraph" w:styleId="TOC8">
    <w:name w:val="toc 8"/>
    <w:basedOn w:val="Normal"/>
    <w:next w:val="Normal"/>
    <w:autoRedefine/>
    <w:uiPriority w:val="39"/>
    <w:semiHidden/>
    <w:unhideWhenUsed/>
    <w:locked/>
    <w:rsid w:val="00F859B0"/>
    <w:pPr>
      <w:spacing w:after="100"/>
      <w:ind w:left="1540"/>
    </w:pPr>
  </w:style>
  <w:style w:type="paragraph" w:styleId="TOC9">
    <w:name w:val="toc 9"/>
    <w:basedOn w:val="Normal"/>
    <w:next w:val="Normal"/>
    <w:autoRedefine/>
    <w:uiPriority w:val="39"/>
    <w:semiHidden/>
    <w:unhideWhenUsed/>
    <w:locked/>
    <w:rsid w:val="00F859B0"/>
    <w:pPr>
      <w:spacing w:after="100"/>
      <w:ind w:left="1760"/>
    </w:pPr>
  </w:style>
  <w:style w:type="paragraph" w:styleId="TOCHeading">
    <w:name w:val="TOC Heading"/>
    <w:basedOn w:val="Heading1"/>
    <w:next w:val="Normal"/>
    <w:uiPriority w:val="39"/>
    <w:semiHidden/>
    <w:unhideWhenUsed/>
    <w:qFormat/>
    <w:rsid w:val="00F859B0"/>
    <w:pPr>
      <w:keepLines/>
      <w:shd w:val="clear" w:color="auto" w:fill="auto"/>
      <w:spacing w:before="240"/>
      <w:outlineLvl w:val="9"/>
    </w:pPr>
    <w:rPr>
      <w:rFonts w:asciiTheme="majorHAnsi" w:eastAsiaTheme="majorEastAsia" w:hAnsiTheme="majorHAnsi" w:cstheme="majorBidi"/>
      <w:b w:val="0"/>
      <w:bCs w:val="0"/>
      <w:color w:val="365F91" w:themeColor="accent1" w:themeShade="BF"/>
      <w:sz w:val="32"/>
      <w:szCs w:val="32"/>
      <w:lang w:eastAsia="en-GB"/>
    </w:rPr>
  </w:style>
  <w:style w:type="table" w:customStyle="1" w:styleId="TableGrid1">
    <w:name w:val="Table Grid1"/>
    <w:basedOn w:val="TableNormal"/>
    <w:next w:val="TableGrid"/>
    <w:uiPriority w:val="39"/>
    <w:rsid w:val="00D5261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6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1328">
      <w:bodyDiv w:val="1"/>
      <w:marLeft w:val="0"/>
      <w:marRight w:val="0"/>
      <w:marTop w:val="0"/>
      <w:marBottom w:val="0"/>
      <w:divBdr>
        <w:top w:val="none" w:sz="0" w:space="0" w:color="auto"/>
        <w:left w:val="none" w:sz="0" w:space="0" w:color="auto"/>
        <w:bottom w:val="none" w:sz="0" w:space="0" w:color="auto"/>
        <w:right w:val="none" w:sz="0" w:space="0" w:color="auto"/>
      </w:divBdr>
      <w:divsChild>
        <w:div w:id="1093934589">
          <w:marLeft w:val="547"/>
          <w:marRight w:val="0"/>
          <w:marTop w:val="0"/>
          <w:marBottom w:val="0"/>
          <w:divBdr>
            <w:top w:val="none" w:sz="0" w:space="0" w:color="auto"/>
            <w:left w:val="none" w:sz="0" w:space="0" w:color="auto"/>
            <w:bottom w:val="none" w:sz="0" w:space="0" w:color="auto"/>
            <w:right w:val="none" w:sz="0" w:space="0" w:color="auto"/>
          </w:divBdr>
        </w:div>
      </w:divsChild>
    </w:div>
    <w:div w:id="67116346">
      <w:bodyDiv w:val="1"/>
      <w:marLeft w:val="0"/>
      <w:marRight w:val="0"/>
      <w:marTop w:val="0"/>
      <w:marBottom w:val="0"/>
      <w:divBdr>
        <w:top w:val="none" w:sz="0" w:space="0" w:color="auto"/>
        <w:left w:val="none" w:sz="0" w:space="0" w:color="auto"/>
        <w:bottom w:val="none" w:sz="0" w:space="0" w:color="auto"/>
        <w:right w:val="none" w:sz="0" w:space="0" w:color="auto"/>
      </w:divBdr>
      <w:divsChild>
        <w:div w:id="29301691">
          <w:marLeft w:val="562"/>
          <w:marRight w:val="0"/>
          <w:marTop w:val="67"/>
          <w:marBottom w:val="0"/>
          <w:divBdr>
            <w:top w:val="none" w:sz="0" w:space="0" w:color="auto"/>
            <w:left w:val="none" w:sz="0" w:space="0" w:color="auto"/>
            <w:bottom w:val="none" w:sz="0" w:space="0" w:color="auto"/>
            <w:right w:val="none" w:sz="0" w:space="0" w:color="auto"/>
          </w:divBdr>
        </w:div>
        <w:div w:id="159661310">
          <w:marLeft w:val="562"/>
          <w:marRight w:val="0"/>
          <w:marTop w:val="67"/>
          <w:marBottom w:val="0"/>
          <w:divBdr>
            <w:top w:val="none" w:sz="0" w:space="0" w:color="auto"/>
            <w:left w:val="none" w:sz="0" w:space="0" w:color="auto"/>
            <w:bottom w:val="none" w:sz="0" w:space="0" w:color="auto"/>
            <w:right w:val="none" w:sz="0" w:space="0" w:color="auto"/>
          </w:divBdr>
        </w:div>
        <w:div w:id="397900498">
          <w:marLeft w:val="274"/>
          <w:marRight w:val="0"/>
          <w:marTop w:val="120"/>
          <w:marBottom w:val="0"/>
          <w:divBdr>
            <w:top w:val="none" w:sz="0" w:space="0" w:color="auto"/>
            <w:left w:val="none" w:sz="0" w:space="0" w:color="auto"/>
            <w:bottom w:val="none" w:sz="0" w:space="0" w:color="auto"/>
            <w:right w:val="none" w:sz="0" w:space="0" w:color="auto"/>
          </w:divBdr>
        </w:div>
        <w:div w:id="1118914631">
          <w:marLeft w:val="562"/>
          <w:marRight w:val="0"/>
          <w:marTop w:val="67"/>
          <w:marBottom w:val="0"/>
          <w:divBdr>
            <w:top w:val="none" w:sz="0" w:space="0" w:color="auto"/>
            <w:left w:val="none" w:sz="0" w:space="0" w:color="auto"/>
            <w:bottom w:val="none" w:sz="0" w:space="0" w:color="auto"/>
            <w:right w:val="none" w:sz="0" w:space="0" w:color="auto"/>
          </w:divBdr>
        </w:div>
        <w:div w:id="1152479381">
          <w:marLeft w:val="274"/>
          <w:marRight w:val="0"/>
          <w:marTop w:val="120"/>
          <w:marBottom w:val="0"/>
          <w:divBdr>
            <w:top w:val="none" w:sz="0" w:space="0" w:color="auto"/>
            <w:left w:val="none" w:sz="0" w:space="0" w:color="auto"/>
            <w:bottom w:val="none" w:sz="0" w:space="0" w:color="auto"/>
            <w:right w:val="none" w:sz="0" w:space="0" w:color="auto"/>
          </w:divBdr>
        </w:div>
        <w:div w:id="1446121874">
          <w:marLeft w:val="274"/>
          <w:marRight w:val="0"/>
          <w:marTop w:val="120"/>
          <w:marBottom w:val="0"/>
          <w:divBdr>
            <w:top w:val="none" w:sz="0" w:space="0" w:color="auto"/>
            <w:left w:val="none" w:sz="0" w:space="0" w:color="auto"/>
            <w:bottom w:val="none" w:sz="0" w:space="0" w:color="auto"/>
            <w:right w:val="none" w:sz="0" w:space="0" w:color="auto"/>
          </w:divBdr>
        </w:div>
      </w:divsChild>
    </w:div>
    <w:div w:id="87505035">
      <w:bodyDiv w:val="1"/>
      <w:marLeft w:val="0"/>
      <w:marRight w:val="0"/>
      <w:marTop w:val="0"/>
      <w:marBottom w:val="0"/>
      <w:divBdr>
        <w:top w:val="none" w:sz="0" w:space="0" w:color="auto"/>
        <w:left w:val="none" w:sz="0" w:space="0" w:color="auto"/>
        <w:bottom w:val="none" w:sz="0" w:space="0" w:color="auto"/>
        <w:right w:val="none" w:sz="0" w:space="0" w:color="auto"/>
      </w:divBdr>
    </w:div>
    <w:div w:id="90206534">
      <w:bodyDiv w:val="1"/>
      <w:marLeft w:val="0"/>
      <w:marRight w:val="0"/>
      <w:marTop w:val="0"/>
      <w:marBottom w:val="0"/>
      <w:divBdr>
        <w:top w:val="none" w:sz="0" w:space="0" w:color="auto"/>
        <w:left w:val="none" w:sz="0" w:space="0" w:color="auto"/>
        <w:bottom w:val="none" w:sz="0" w:space="0" w:color="auto"/>
        <w:right w:val="none" w:sz="0" w:space="0" w:color="auto"/>
      </w:divBdr>
    </w:div>
    <w:div w:id="93670323">
      <w:bodyDiv w:val="1"/>
      <w:marLeft w:val="0"/>
      <w:marRight w:val="0"/>
      <w:marTop w:val="0"/>
      <w:marBottom w:val="0"/>
      <w:divBdr>
        <w:top w:val="none" w:sz="0" w:space="0" w:color="auto"/>
        <w:left w:val="none" w:sz="0" w:space="0" w:color="auto"/>
        <w:bottom w:val="none" w:sz="0" w:space="0" w:color="auto"/>
        <w:right w:val="none" w:sz="0" w:space="0" w:color="auto"/>
      </w:divBdr>
    </w:div>
    <w:div w:id="97062309">
      <w:bodyDiv w:val="1"/>
      <w:marLeft w:val="0"/>
      <w:marRight w:val="0"/>
      <w:marTop w:val="0"/>
      <w:marBottom w:val="0"/>
      <w:divBdr>
        <w:top w:val="none" w:sz="0" w:space="0" w:color="auto"/>
        <w:left w:val="none" w:sz="0" w:space="0" w:color="auto"/>
        <w:bottom w:val="none" w:sz="0" w:space="0" w:color="auto"/>
        <w:right w:val="none" w:sz="0" w:space="0" w:color="auto"/>
      </w:divBdr>
    </w:div>
    <w:div w:id="109907516">
      <w:bodyDiv w:val="1"/>
      <w:marLeft w:val="0"/>
      <w:marRight w:val="0"/>
      <w:marTop w:val="0"/>
      <w:marBottom w:val="0"/>
      <w:divBdr>
        <w:top w:val="none" w:sz="0" w:space="0" w:color="auto"/>
        <w:left w:val="none" w:sz="0" w:space="0" w:color="auto"/>
        <w:bottom w:val="none" w:sz="0" w:space="0" w:color="auto"/>
        <w:right w:val="none" w:sz="0" w:space="0" w:color="auto"/>
      </w:divBdr>
    </w:div>
    <w:div w:id="116529282">
      <w:bodyDiv w:val="1"/>
      <w:marLeft w:val="0"/>
      <w:marRight w:val="0"/>
      <w:marTop w:val="0"/>
      <w:marBottom w:val="0"/>
      <w:divBdr>
        <w:top w:val="none" w:sz="0" w:space="0" w:color="auto"/>
        <w:left w:val="none" w:sz="0" w:space="0" w:color="auto"/>
        <w:bottom w:val="none" w:sz="0" w:space="0" w:color="auto"/>
        <w:right w:val="none" w:sz="0" w:space="0" w:color="auto"/>
      </w:divBdr>
    </w:div>
    <w:div w:id="128600077">
      <w:bodyDiv w:val="1"/>
      <w:marLeft w:val="0"/>
      <w:marRight w:val="0"/>
      <w:marTop w:val="0"/>
      <w:marBottom w:val="0"/>
      <w:divBdr>
        <w:top w:val="none" w:sz="0" w:space="0" w:color="auto"/>
        <w:left w:val="none" w:sz="0" w:space="0" w:color="auto"/>
        <w:bottom w:val="none" w:sz="0" w:space="0" w:color="auto"/>
        <w:right w:val="none" w:sz="0" w:space="0" w:color="auto"/>
      </w:divBdr>
    </w:div>
    <w:div w:id="141505133">
      <w:bodyDiv w:val="1"/>
      <w:marLeft w:val="0"/>
      <w:marRight w:val="0"/>
      <w:marTop w:val="0"/>
      <w:marBottom w:val="0"/>
      <w:divBdr>
        <w:top w:val="none" w:sz="0" w:space="0" w:color="auto"/>
        <w:left w:val="none" w:sz="0" w:space="0" w:color="auto"/>
        <w:bottom w:val="none" w:sz="0" w:space="0" w:color="auto"/>
        <w:right w:val="none" w:sz="0" w:space="0" w:color="auto"/>
      </w:divBdr>
    </w:div>
    <w:div w:id="150146212">
      <w:bodyDiv w:val="1"/>
      <w:marLeft w:val="0"/>
      <w:marRight w:val="0"/>
      <w:marTop w:val="0"/>
      <w:marBottom w:val="0"/>
      <w:divBdr>
        <w:top w:val="none" w:sz="0" w:space="0" w:color="auto"/>
        <w:left w:val="none" w:sz="0" w:space="0" w:color="auto"/>
        <w:bottom w:val="none" w:sz="0" w:space="0" w:color="auto"/>
        <w:right w:val="none" w:sz="0" w:space="0" w:color="auto"/>
      </w:divBdr>
    </w:div>
    <w:div w:id="170024012">
      <w:bodyDiv w:val="1"/>
      <w:marLeft w:val="0"/>
      <w:marRight w:val="0"/>
      <w:marTop w:val="0"/>
      <w:marBottom w:val="0"/>
      <w:divBdr>
        <w:top w:val="none" w:sz="0" w:space="0" w:color="auto"/>
        <w:left w:val="none" w:sz="0" w:space="0" w:color="auto"/>
        <w:bottom w:val="none" w:sz="0" w:space="0" w:color="auto"/>
        <w:right w:val="none" w:sz="0" w:space="0" w:color="auto"/>
      </w:divBdr>
    </w:div>
    <w:div w:id="214003881">
      <w:bodyDiv w:val="1"/>
      <w:marLeft w:val="0"/>
      <w:marRight w:val="0"/>
      <w:marTop w:val="0"/>
      <w:marBottom w:val="0"/>
      <w:divBdr>
        <w:top w:val="none" w:sz="0" w:space="0" w:color="auto"/>
        <w:left w:val="none" w:sz="0" w:space="0" w:color="auto"/>
        <w:bottom w:val="none" w:sz="0" w:space="0" w:color="auto"/>
        <w:right w:val="none" w:sz="0" w:space="0" w:color="auto"/>
      </w:divBdr>
    </w:div>
    <w:div w:id="222567162">
      <w:bodyDiv w:val="1"/>
      <w:marLeft w:val="0"/>
      <w:marRight w:val="0"/>
      <w:marTop w:val="0"/>
      <w:marBottom w:val="0"/>
      <w:divBdr>
        <w:top w:val="none" w:sz="0" w:space="0" w:color="auto"/>
        <w:left w:val="none" w:sz="0" w:space="0" w:color="auto"/>
        <w:bottom w:val="none" w:sz="0" w:space="0" w:color="auto"/>
        <w:right w:val="none" w:sz="0" w:space="0" w:color="auto"/>
      </w:divBdr>
      <w:divsChild>
        <w:div w:id="1934627304">
          <w:marLeft w:val="547"/>
          <w:marRight w:val="0"/>
          <w:marTop w:val="0"/>
          <w:marBottom w:val="0"/>
          <w:divBdr>
            <w:top w:val="none" w:sz="0" w:space="0" w:color="auto"/>
            <w:left w:val="none" w:sz="0" w:space="0" w:color="auto"/>
            <w:bottom w:val="none" w:sz="0" w:space="0" w:color="auto"/>
            <w:right w:val="none" w:sz="0" w:space="0" w:color="auto"/>
          </w:divBdr>
        </w:div>
      </w:divsChild>
    </w:div>
    <w:div w:id="255134714">
      <w:bodyDiv w:val="1"/>
      <w:marLeft w:val="0"/>
      <w:marRight w:val="0"/>
      <w:marTop w:val="0"/>
      <w:marBottom w:val="0"/>
      <w:divBdr>
        <w:top w:val="none" w:sz="0" w:space="0" w:color="auto"/>
        <w:left w:val="none" w:sz="0" w:space="0" w:color="auto"/>
        <w:bottom w:val="none" w:sz="0" w:space="0" w:color="auto"/>
        <w:right w:val="none" w:sz="0" w:space="0" w:color="auto"/>
      </w:divBdr>
    </w:div>
    <w:div w:id="312831615">
      <w:bodyDiv w:val="1"/>
      <w:marLeft w:val="0"/>
      <w:marRight w:val="0"/>
      <w:marTop w:val="0"/>
      <w:marBottom w:val="0"/>
      <w:divBdr>
        <w:top w:val="none" w:sz="0" w:space="0" w:color="auto"/>
        <w:left w:val="none" w:sz="0" w:space="0" w:color="auto"/>
        <w:bottom w:val="none" w:sz="0" w:space="0" w:color="auto"/>
        <w:right w:val="none" w:sz="0" w:space="0" w:color="auto"/>
      </w:divBdr>
    </w:div>
    <w:div w:id="318655922">
      <w:bodyDiv w:val="1"/>
      <w:marLeft w:val="0"/>
      <w:marRight w:val="0"/>
      <w:marTop w:val="0"/>
      <w:marBottom w:val="0"/>
      <w:divBdr>
        <w:top w:val="none" w:sz="0" w:space="0" w:color="auto"/>
        <w:left w:val="none" w:sz="0" w:space="0" w:color="auto"/>
        <w:bottom w:val="none" w:sz="0" w:space="0" w:color="auto"/>
        <w:right w:val="none" w:sz="0" w:space="0" w:color="auto"/>
      </w:divBdr>
    </w:div>
    <w:div w:id="321088581">
      <w:bodyDiv w:val="1"/>
      <w:marLeft w:val="0"/>
      <w:marRight w:val="0"/>
      <w:marTop w:val="0"/>
      <w:marBottom w:val="0"/>
      <w:divBdr>
        <w:top w:val="none" w:sz="0" w:space="0" w:color="auto"/>
        <w:left w:val="none" w:sz="0" w:space="0" w:color="auto"/>
        <w:bottom w:val="none" w:sz="0" w:space="0" w:color="auto"/>
        <w:right w:val="none" w:sz="0" w:space="0" w:color="auto"/>
      </w:divBdr>
    </w:div>
    <w:div w:id="323168312">
      <w:bodyDiv w:val="1"/>
      <w:marLeft w:val="0"/>
      <w:marRight w:val="0"/>
      <w:marTop w:val="0"/>
      <w:marBottom w:val="0"/>
      <w:divBdr>
        <w:top w:val="none" w:sz="0" w:space="0" w:color="auto"/>
        <w:left w:val="none" w:sz="0" w:space="0" w:color="auto"/>
        <w:bottom w:val="none" w:sz="0" w:space="0" w:color="auto"/>
        <w:right w:val="none" w:sz="0" w:space="0" w:color="auto"/>
      </w:divBdr>
      <w:divsChild>
        <w:div w:id="323438993">
          <w:marLeft w:val="274"/>
          <w:marRight w:val="0"/>
          <w:marTop w:val="120"/>
          <w:marBottom w:val="0"/>
          <w:divBdr>
            <w:top w:val="none" w:sz="0" w:space="0" w:color="auto"/>
            <w:left w:val="none" w:sz="0" w:space="0" w:color="auto"/>
            <w:bottom w:val="none" w:sz="0" w:space="0" w:color="auto"/>
            <w:right w:val="none" w:sz="0" w:space="0" w:color="auto"/>
          </w:divBdr>
        </w:div>
        <w:div w:id="605891898">
          <w:marLeft w:val="274"/>
          <w:marRight w:val="0"/>
          <w:marTop w:val="120"/>
          <w:marBottom w:val="0"/>
          <w:divBdr>
            <w:top w:val="none" w:sz="0" w:space="0" w:color="auto"/>
            <w:left w:val="none" w:sz="0" w:space="0" w:color="auto"/>
            <w:bottom w:val="none" w:sz="0" w:space="0" w:color="auto"/>
            <w:right w:val="none" w:sz="0" w:space="0" w:color="auto"/>
          </w:divBdr>
        </w:div>
        <w:div w:id="642319462">
          <w:marLeft w:val="562"/>
          <w:marRight w:val="0"/>
          <w:marTop w:val="67"/>
          <w:marBottom w:val="0"/>
          <w:divBdr>
            <w:top w:val="none" w:sz="0" w:space="0" w:color="auto"/>
            <w:left w:val="none" w:sz="0" w:space="0" w:color="auto"/>
            <w:bottom w:val="none" w:sz="0" w:space="0" w:color="auto"/>
            <w:right w:val="none" w:sz="0" w:space="0" w:color="auto"/>
          </w:divBdr>
        </w:div>
        <w:div w:id="1587494853">
          <w:marLeft w:val="274"/>
          <w:marRight w:val="0"/>
          <w:marTop w:val="120"/>
          <w:marBottom w:val="0"/>
          <w:divBdr>
            <w:top w:val="none" w:sz="0" w:space="0" w:color="auto"/>
            <w:left w:val="none" w:sz="0" w:space="0" w:color="auto"/>
            <w:bottom w:val="none" w:sz="0" w:space="0" w:color="auto"/>
            <w:right w:val="none" w:sz="0" w:space="0" w:color="auto"/>
          </w:divBdr>
        </w:div>
      </w:divsChild>
    </w:div>
    <w:div w:id="338775082">
      <w:bodyDiv w:val="1"/>
      <w:marLeft w:val="0"/>
      <w:marRight w:val="0"/>
      <w:marTop w:val="0"/>
      <w:marBottom w:val="0"/>
      <w:divBdr>
        <w:top w:val="none" w:sz="0" w:space="0" w:color="auto"/>
        <w:left w:val="none" w:sz="0" w:space="0" w:color="auto"/>
        <w:bottom w:val="none" w:sz="0" w:space="0" w:color="auto"/>
        <w:right w:val="none" w:sz="0" w:space="0" w:color="auto"/>
      </w:divBdr>
      <w:divsChild>
        <w:div w:id="84150556">
          <w:marLeft w:val="288"/>
          <w:marRight w:val="0"/>
          <w:marTop w:val="0"/>
          <w:marBottom w:val="170"/>
          <w:divBdr>
            <w:top w:val="none" w:sz="0" w:space="0" w:color="auto"/>
            <w:left w:val="none" w:sz="0" w:space="0" w:color="auto"/>
            <w:bottom w:val="none" w:sz="0" w:space="0" w:color="auto"/>
            <w:right w:val="none" w:sz="0" w:space="0" w:color="auto"/>
          </w:divBdr>
        </w:div>
      </w:divsChild>
    </w:div>
    <w:div w:id="414211730">
      <w:bodyDiv w:val="1"/>
      <w:marLeft w:val="0"/>
      <w:marRight w:val="0"/>
      <w:marTop w:val="0"/>
      <w:marBottom w:val="0"/>
      <w:divBdr>
        <w:top w:val="none" w:sz="0" w:space="0" w:color="auto"/>
        <w:left w:val="none" w:sz="0" w:space="0" w:color="auto"/>
        <w:bottom w:val="none" w:sz="0" w:space="0" w:color="auto"/>
        <w:right w:val="none" w:sz="0" w:space="0" w:color="auto"/>
      </w:divBdr>
    </w:div>
    <w:div w:id="419108924">
      <w:bodyDiv w:val="1"/>
      <w:marLeft w:val="0"/>
      <w:marRight w:val="0"/>
      <w:marTop w:val="0"/>
      <w:marBottom w:val="0"/>
      <w:divBdr>
        <w:top w:val="none" w:sz="0" w:space="0" w:color="auto"/>
        <w:left w:val="none" w:sz="0" w:space="0" w:color="auto"/>
        <w:bottom w:val="none" w:sz="0" w:space="0" w:color="auto"/>
        <w:right w:val="none" w:sz="0" w:space="0" w:color="auto"/>
      </w:divBdr>
      <w:divsChild>
        <w:div w:id="19136873">
          <w:marLeft w:val="0"/>
          <w:marRight w:val="0"/>
          <w:marTop w:val="0"/>
          <w:marBottom w:val="0"/>
          <w:divBdr>
            <w:top w:val="none" w:sz="0" w:space="0" w:color="auto"/>
            <w:left w:val="none" w:sz="0" w:space="0" w:color="auto"/>
            <w:bottom w:val="none" w:sz="0" w:space="0" w:color="auto"/>
            <w:right w:val="none" w:sz="0" w:space="0" w:color="auto"/>
          </w:divBdr>
          <w:divsChild>
            <w:div w:id="472523094">
              <w:marLeft w:val="0"/>
              <w:marRight w:val="0"/>
              <w:marTop w:val="0"/>
              <w:marBottom w:val="0"/>
              <w:divBdr>
                <w:top w:val="none" w:sz="0" w:space="0" w:color="auto"/>
                <w:left w:val="none" w:sz="0" w:space="0" w:color="auto"/>
                <w:bottom w:val="none" w:sz="0" w:space="0" w:color="auto"/>
                <w:right w:val="none" w:sz="0" w:space="0" w:color="auto"/>
              </w:divBdr>
              <w:divsChild>
                <w:div w:id="842210777">
                  <w:marLeft w:val="0"/>
                  <w:marRight w:val="0"/>
                  <w:marTop w:val="0"/>
                  <w:marBottom w:val="0"/>
                  <w:divBdr>
                    <w:top w:val="none" w:sz="0" w:space="0" w:color="auto"/>
                    <w:left w:val="none" w:sz="0" w:space="0" w:color="auto"/>
                    <w:bottom w:val="none" w:sz="0" w:space="0" w:color="auto"/>
                    <w:right w:val="none" w:sz="0" w:space="0" w:color="auto"/>
                  </w:divBdr>
                  <w:divsChild>
                    <w:div w:id="1111785195">
                      <w:marLeft w:val="0"/>
                      <w:marRight w:val="0"/>
                      <w:marTop w:val="0"/>
                      <w:marBottom w:val="0"/>
                      <w:divBdr>
                        <w:top w:val="none" w:sz="0" w:space="0" w:color="auto"/>
                        <w:left w:val="none" w:sz="0" w:space="0" w:color="auto"/>
                        <w:bottom w:val="none" w:sz="0" w:space="0" w:color="auto"/>
                        <w:right w:val="none" w:sz="0" w:space="0" w:color="auto"/>
                      </w:divBdr>
                      <w:divsChild>
                        <w:div w:id="2024234883">
                          <w:marLeft w:val="0"/>
                          <w:marRight w:val="0"/>
                          <w:marTop w:val="0"/>
                          <w:marBottom w:val="0"/>
                          <w:divBdr>
                            <w:top w:val="none" w:sz="0" w:space="0" w:color="auto"/>
                            <w:left w:val="none" w:sz="0" w:space="0" w:color="auto"/>
                            <w:bottom w:val="none" w:sz="0" w:space="0" w:color="auto"/>
                            <w:right w:val="none" w:sz="0" w:space="0" w:color="auto"/>
                          </w:divBdr>
                          <w:divsChild>
                            <w:div w:id="4965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257421">
      <w:bodyDiv w:val="1"/>
      <w:marLeft w:val="0"/>
      <w:marRight w:val="0"/>
      <w:marTop w:val="0"/>
      <w:marBottom w:val="0"/>
      <w:divBdr>
        <w:top w:val="none" w:sz="0" w:space="0" w:color="auto"/>
        <w:left w:val="none" w:sz="0" w:space="0" w:color="auto"/>
        <w:bottom w:val="none" w:sz="0" w:space="0" w:color="auto"/>
        <w:right w:val="none" w:sz="0" w:space="0" w:color="auto"/>
      </w:divBdr>
    </w:div>
    <w:div w:id="438180496">
      <w:bodyDiv w:val="1"/>
      <w:marLeft w:val="0"/>
      <w:marRight w:val="0"/>
      <w:marTop w:val="0"/>
      <w:marBottom w:val="0"/>
      <w:divBdr>
        <w:top w:val="none" w:sz="0" w:space="0" w:color="auto"/>
        <w:left w:val="none" w:sz="0" w:space="0" w:color="auto"/>
        <w:bottom w:val="none" w:sz="0" w:space="0" w:color="auto"/>
        <w:right w:val="none" w:sz="0" w:space="0" w:color="auto"/>
      </w:divBdr>
      <w:divsChild>
        <w:div w:id="706806148">
          <w:marLeft w:val="288"/>
          <w:marRight w:val="0"/>
          <w:marTop w:val="240"/>
          <w:marBottom w:val="0"/>
          <w:divBdr>
            <w:top w:val="none" w:sz="0" w:space="0" w:color="auto"/>
            <w:left w:val="none" w:sz="0" w:space="0" w:color="auto"/>
            <w:bottom w:val="none" w:sz="0" w:space="0" w:color="auto"/>
            <w:right w:val="none" w:sz="0" w:space="0" w:color="auto"/>
          </w:divBdr>
        </w:div>
      </w:divsChild>
    </w:div>
    <w:div w:id="461965951">
      <w:bodyDiv w:val="1"/>
      <w:marLeft w:val="0"/>
      <w:marRight w:val="0"/>
      <w:marTop w:val="0"/>
      <w:marBottom w:val="0"/>
      <w:divBdr>
        <w:top w:val="none" w:sz="0" w:space="0" w:color="auto"/>
        <w:left w:val="none" w:sz="0" w:space="0" w:color="auto"/>
        <w:bottom w:val="none" w:sz="0" w:space="0" w:color="auto"/>
        <w:right w:val="none" w:sz="0" w:space="0" w:color="auto"/>
      </w:divBdr>
    </w:div>
    <w:div w:id="480465209">
      <w:bodyDiv w:val="1"/>
      <w:marLeft w:val="0"/>
      <w:marRight w:val="0"/>
      <w:marTop w:val="0"/>
      <w:marBottom w:val="0"/>
      <w:divBdr>
        <w:top w:val="none" w:sz="0" w:space="0" w:color="auto"/>
        <w:left w:val="none" w:sz="0" w:space="0" w:color="auto"/>
        <w:bottom w:val="none" w:sz="0" w:space="0" w:color="auto"/>
        <w:right w:val="none" w:sz="0" w:space="0" w:color="auto"/>
      </w:divBdr>
      <w:divsChild>
        <w:div w:id="742414970">
          <w:marLeft w:val="446"/>
          <w:marRight w:val="0"/>
          <w:marTop w:val="0"/>
          <w:marBottom w:val="0"/>
          <w:divBdr>
            <w:top w:val="none" w:sz="0" w:space="0" w:color="auto"/>
            <w:left w:val="none" w:sz="0" w:space="0" w:color="auto"/>
            <w:bottom w:val="none" w:sz="0" w:space="0" w:color="auto"/>
            <w:right w:val="none" w:sz="0" w:space="0" w:color="auto"/>
          </w:divBdr>
        </w:div>
      </w:divsChild>
    </w:div>
    <w:div w:id="524948146">
      <w:bodyDiv w:val="1"/>
      <w:marLeft w:val="0"/>
      <w:marRight w:val="0"/>
      <w:marTop w:val="0"/>
      <w:marBottom w:val="0"/>
      <w:divBdr>
        <w:top w:val="none" w:sz="0" w:space="0" w:color="auto"/>
        <w:left w:val="none" w:sz="0" w:space="0" w:color="auto"/>
        <w:bottom w:val="none" w:sz="0" w:space="0" w:color="auto"/>
        <w:right w:val="none" w:sz="0" w:space="0" w:color="auto"/>
      </w:divBdr>
      <w:divsChild>
        <w:div w:id="186917274">
          <w:marLeft w:val="288"/>
          <w:marRight w:val="0"/>
          <w:marTop w:val="240"/>
          <w:marBottom w:val="0"/>
          <w:divBdr>
            <w:top w:val="none" w:sz="0" w:space="0" w:color="auto"/>
            <w:left w:val="none" w:sz="0" w:space="0" w:color="auto"/>
            <w:bottom w:val="none" w:sz="0" w:space="0" w:color="auto"/>
            <w:right w:val="none" w:sz="0" w:space="0" w:color="auto"/>
          </w:divBdr>
        </w:div>
      </w:divsChild>
    </w:div>
    <w:div w:id="537160857">
      <w:bodyDiv w:val="1"/>
      <w:marLeft w:val="0"/>
      <w:marRight w:val="0"/>
      <w:marTop w:val="0"/>
      <w:marBottom w:val="0"/>
      <w:divBdr>
        <w:top w:val="none" w:sz="0" w:space="0" w:color="auto"/>
        <w:left w:val="none" w:sz="0" w:space="0" w:color="auto"/>
        <w:bottom w:val="none" w:sz="0" w:space="0" w:color="auto"/>
        <w:right w:val="none" w:sz="0" w:space="0" w:color="auto"/>
      </w:divBdr>
    </w:div>
    <w:div w:id="551311544">
      <w:bodyDiv w:val="1"/>
      <w:marLeft w:val="0"/>
      <w:marRight w:val="0"/>
      <w:marTop w:val="0"/>
      <w:marBottom w:val="0"/>
      <w:divBdr>
        <w:top w:val="none" w:sz="0" w:space="0" w:color="auto"/>
        <w:left w:val="none" w:sz="0" w:space="0" w:color="auto"/>
        <w:bottom w:val="none" w:sz="0" w:space="0" w:color="auto"/>
        <w:right w:val="none" w:sz="0" w:space="0" w:color="auto"/>
      </w:divBdr>
      <w:divsChild>
        <w:div w:id="307905858">
          <w:marLeft w:val="806"/>
          <w:marRight w:val="0"/>
          <w:marTop w:val="240"/>
          <w:marBottom w:val="0"/>
          <w:divBdr>
            <w:top w:val="none" w:sz="0" w:space="0" w:color="auto"/>
            <w:left w:val="none" w:sz="0" w:space="0" w:color="auto"/>
            <w:bottom w:val="none" w:sz="0" w:space="0" w:color="auto"/>
            <w:right w:val="none" w:sz="0" w:space="0" w:color="auto"/>
          </w:divBdr>
        </w:div>
        <w:div w:id="1045329015">
          <w:marLeft w:val="806"/>
          <w:marRight w:val="0"/>
          <w:marTop w:val="240"/>
          <w:marBottom w:val="0"/>
          <w:divBdr>
            <w:top w:val="none" w:sz="0" w:space="0" w:color="auto"/>
            <w:left w:val="none" w:sz="0" w:space="0" w:color="auto"/>
            <w:bottom w:val="none" w:sz="0" w:space="0" w:color="auto"/>
            <w:right w:val="none" w:sz="0" w:space="0" w:color="auto"/>
          </w:divBdr>
        </w:div>
        <w:div w:id="1303192784">
          <w:marLeft w:val="806"/>
          <w:marRight w:val="0"/>
          <w:marTop w:val="240"/>
          <w:marBottom w:val="0"/>
          <w:divBdr>
            <w:top w:val="none" w:sz="0" w:space="0" w:color="auto"/>
            <w:left w:val="none" w:sz="0" w:space="0" w:color="auto"/>
            <w:bottom w:val="none" w:sz="0" w:space="0" w:color="auto"/>
            <w:right w:val="none" w:sz="0" w:space="0" w:color="auto"/>
          </w:divBdr>
        </w:div>
        <w:div w:id="1404110068">
          <w:marLeft w:val="806"/>
          <w:marRight w:val="0"/>
          <w:marTop w:val="240"/>
          <w:marBottom w:val="0"/>
          <w:divBdr>
            <w:top w:val="none" w:sz="0" w:space="0" w:color="auto"/>
            <w:left w:val="none" w:sz="0" w:space="0" w:color="auto"/>
            <w:bottom w:val="none" w:sz="0" w:space="0" w:color="auto"/>
            <w:right w:val="none" w:sz="0" w:space="0" w:color="auto"/>
          </w:divBdr>
        </w:div>
        <w:div w:id="1871721703">
          <w:marLeft w:val="806"/>
          <w:marRight w:val="0"/>
          <w:marTop w:val="240"/>
          <w:marBottom w:val="0"/>
          <w:divBdr>
            <w:top w:val="none" w:sz="0" w:space="0" w:color="auto"/>
            <w:left w:val="none" w:sz="0" w:space="0" w:color="auto"/>
            <w:bottom w:val="none" w:sz="0" w:space="0" w:color="auto"/>
            <w:right w:val="none" w:sz="0" w:space="0" w:color="auto"/>
          </w:divBdr>
        </w:div>
      </w:divsChild>
    </w:div>
    <w:div w:id="569198612">
      <w:bodyDiv w:val="1"/>
      <w:marLeft w:val="0"/>
      <w:marRight w:val="0"/>
      <w:marTop w:val="0"/>
      <w:marBottom w:val="0"/>
      <w:divBdr>
        <w:top w:val="none" w:sz="0" w:space="0" w:color="auto"/>
        <w:left w:val="none" w:sz="0" w:space="0" w:color="auto"/>
        <w:bottom w:val="none" w:sz="0" w:space="0" w:color="auto"/>
        <w:right w:val="none" w:sz="0" w:space="0" w:color="auto"/>
      </w:divBdr>
    </w:div>
    <w:div w:id="589629252">
      <w:bodyDiv w:val="1"/>
      <w:marLeft w:val="0"/>
      <w:marRight w:val="0"/>
      <w:marTop w:val="0"/>
      <w:marBottom w:val="0"/>
      <w:divBdr>
        <w:top w:val="none" w:sz="0" w:space="0" w:color="auto"/>
        <w:left w:val="none" w:sz="0" w:space="0" w:color="auto"/>
        <w:bottom w:val="none" w:sz="0" w:space="0" w:color="auto"/>
        <w:right w:val="none" w:sz="0" w:space="0" w:color="auto"/>
      </w:divBdr>
    </w:div>
    <w:div w:id="653411491">
      <w:bodyDiv w:val="1"/>
      <w:marLeft w:val="0"/>
      <w:marRight w:val="0"/>
      <w:marTop w:val="0"/>
      <w:marBottom w:val="0"/>
      <w:divBdr>
        <w:top w:val="none" w:sz="0" w:space="0" w:color="auto"/>
        <w:left w:val="none" w:sz="0" w:space="0" w:color="auto"/>
        <w:bottom w:val="none" w:sz="0" w:space="0" w:color="auto"/>
        <w:right w:val="none" w:sz="0" w:space="0" w:color="auto"/>
      </w:divBdr>
    </w:div>
    <w:div w:id="656686122">
      <w:bodyDiv w:val="1"/>
      <w:marLeft w:val="0"/>
      <w:marRight w:val="0"/>
      <w:marTop w:val="0"/>
      <w:marBottom w:val="0"/>
      <w:divBdr>
        <w:top w:val="none" w:sz="0" w:space="0" w:color="auto"/>
        <w:left w:val="none" w:sz="0" w:space="0" w:color="auto"/>
        <w:bottom w:val="none" w:sz="0" w:space="0" w:color="auto"/>
        <w:right w:val="none" w:sz="0" w:space="0" w:color="auto"/>
      </w:divBdr>
    </w:div>
    <w:div w:id="658532684">
      <w:bodyDiv w:val="1"/>
      <w:marLeft w:val="0"/>
      <w:marRight w:val="0"/>
      <w:marTop w:val="0"/>
      <w:marBottom w:val="0"/>
      <w:divBdr>
        <w:top w:val="none" w:sz="0" w:space="0" w:color="auto"/>
        <w:left w:val="none" w:sz="0" w:space="0" w:color="auto"/>
        <w:bottom w:val="none" w:sz="0" w:space="0" w:color="auto"/>
        <w:right w:val="none" w:sz="0" w:space="0" w:color="auto"/>
      </w:divBdr>
    </w:div>
    <w:div w:id="662243667">
      <w:bodyDiv w:val="1"/>
      <w:marLeft w:val="0"/>
      <w:marRight w:val="0"/>
      <w:marTop w:val="0"/>
      <w:marBottom w:val="0"/>
      <w:divBdr>
        <w:top w:val="none" w:sz="0" w:space="0" w:color="auto"/>
        <w:left w:val="none" w:sz="0" w:space="0" w:color="auto"/>
        <w:bottom w:val="none" w:sz="0" w:space="0" w:color="auto"/>
        <w:right w:val="none" w:sz="0" w:space="0" w:color="auto"/>
      </w:divBdr>
      <w:divsChild>
        <w:div w:id="549420305">
          <w:marLeft w:val="547"/>
          <w:marRight w:val="0"/>
          <w:marTop w:val="0"/>
          <w:marBottom w:val="0"/>
          <w:divBdr>
            <w:top w:val="none" w:sz="0" w:space="0" w:color="auto"/>
            <w:left w:val="none" w:sz="0" w:space="0" w:color="auto"/>
            <w:bottom w:val="none" w:sz="0" w:space="0" w:color="auto"/>
            <w:right w:val="none" w:sz="0" w:space="0" w:color="auto"/>
          </w:divBdr>
        </w:div>
      </w:divsChild>
    </w:div>
    <w:div w:id="665861141">
      <w:bodyDiv w:val="1"/>
      <w:marLeft w:val="0"/>
      <w:marRight w:val="0"/>
      <w:marTop w:val="0"/>
      <w:marBottom w:val="0"/>
      <w:divBdr>
        <w:top w:val="none" w:sz="0" w:space="0" w:color="auto"/>
        <w:left w:val="none" w:sz="0" w:space="0" w:color="auto"/>
        <w:bottom w:val="none" w:sz="0" w:space="0" w:color="auto"/>
        <w:right w:val="none" w:sz="0" w:space="0" w:color="auto"/>
      </w:divBdr>
      <w:divsChild>
        <w:div w:id="278996889">
          <w:marLeft w:val="274"/>
          <w:marRight w:val="0"/>
          <w:marTop w:val="120"/>
          <w:marBottom w:val="0"/>
          <w:divBdr>
            <w:top w:val="none" w:sz="0" w:space="0" w:color="auto"/>
            <w:left w:val="none" w:sz="0" w:space="0" w:color="auto"/>
            <w:bottom w:val="none" w:sz="0" w:space="0" w:color="auto"/>
            <w:right w:val="none" w:sz="0" w:space="0" w:color="auto"/>
          </w:divBdr>
        </w:div>
        <w:div w:id="302740203">
          <w:marLeft w:val="274"/>
          <w:marRight w:val="0"/>
          <w:marTop w:val="120"/>
          <w:marBottom w:val="0"/>
          <w:divBdr>
            <w:top w:val="none" w:sz="0" w:space="0" w:color="auto"/>
            <w:left w:val="none" w:sz="0" w:space="0" w:color="auto"/>
            <w:bottom w:val="none" w:sz="0" w:space="0" w:color="auto"/>
            <w:right w:val="none" w:sz="0" w:space="0" w:color="auto"/>
          </w:divBdr>
        </w:div>
        <w:div w:id="356857712">
          <w:marLeft w:val="274"/>
          <w:marRight w:val="0"/>
          <w:marTop w:val="120"/>
          <w:marBottom w:val="0"/>
          <w:divBdr>
            <w:top w:val="none" w:sz="0" w:space="0" w:color="auto"/>
            <w:left w:val="none" w:sz="0" w:space="0" w:color="auto"/>
            <w:bottom w:val="none" w:sz="0" w:space="0" w:color="auto"/>
            <w:right w:val="none" w:sz="0" w:space="0" w:color="auto"/>
          </w:divBdr>
        </w:div>
        <w:div w:id="757946871">
          <w:marLeft w:val="562"/>
          <w:marRight w:val="0"/>
          <w:marTop w:val="67"/>
          <w:marBottom w:val="0"/>
          <w:divBdr>
            <w:top w:val="none" w:sz="0" w:space="0" w:color="auto"/>
            <w:left w:val="none" w:sz="0" w:space="0" w:color="auto"/>
            <w:bottom w:val="none" w:sz="0" w:space="0" w:color="auto"/>
            <w:right w:val="none" w:sz="0" w:space="0" w:color="auto"/>
          </w:divBdr>
        </w:div>
        <w:div w:id="800150805">
          <w:marLeft w:val="562"/>
          <w:marRight w:val="0"/>
          <w:marTop w:val="67"/>
          <w:marBottom w:val="0"/>
          <w:divBdr>
            <w:top w:val="none" w:sz="0" w:space="0" w:color="auto"/>
            <w:left w:val="none" w:sz="0" w:space="0" w:color="auto"/>
            <w:bottom w:val="none" w:sz="0" w:space="0" w:color="auto"/>
            <w:right w:val="none" w:sz="0" w:space="0" w:color="auto"/>
          </w:divBdr>
        </w:div>
        <w:div w:id="1099982681">
          <w:marLeft w:val="562"/>
          <w:marRight w:val="0"/>
          <w:marTop w:val="67"/>
          <w:marBottom w:val="0"/>
          <w:divBdr>
            <w:top w:val="none" w:sz="0" w:space="0" w:color="auto"/>
            <w:left w:val="none" w:sz="0" w:space="0" w:color="auto"/>
            <w:bottom w:val="none" w:sz="0" w:space="0" w:color="auto"/>
            <w:right w:val="none" w:sz="0" w:space="0" w:color="auto"/>
          </w:divBdr>
        </w:div>
        <w:div w:id="1689796635">
          <w:marLeft w:val="274"/>
          <w:marRight w:val="0"/>
          <w:marTop w:val="120"/>
          <w:marBottom w:val="0"/>
          <w:divBdr>
            <w:top w:val="none" w:sz="0" w:space="0" w:color="auto"/>
            <w:left w:val="none" w:sz="0" w:space="0" w:color="auto"/>
            <w:bottom w:val="none" w:sz="0" w:space="0" w:color="auto"/>
            <w:right w:val="none" w:sz="0" w:space="0" w:color="auto"/>
          </w:divBdr>
        </w:div>
        <w:div w:id="1814180657">
          <w:marLeft w:val="274"/>
          <w:marRight w:val="0"/>
          <w:marTop w:val="120"/>
          <w:marBottom w:val="0"/>
          <w:divBdr>
            <w:top w:val="none" w:sz="0" w:space="0" w:color="auto"/>
            <w:left w:val="none" w:sz="0" w:space="0" w:color="auto"/>
            <w:bottom w:val="none" w:sz="0" w:space="0" w:color="auto"/>
            <w:right w:val="none" w:sz="0" w:space="0" w:color="auto"/>
          </w:divBdr>
        </w:div>
        <w:div w:id="1912424526">
          <w:marLeft w:val="562"/>
          <w:marRight w:val="0"/>
          <w:marTop w:val="67"/>
          <w:marBottom w:val="0"/>
          <w:divBdr>
            <w:top w:val="none" w:sz="0" w:space="0" w:color="auto"/>
            <w:left w:val="none" w:sz="0" w:space="0" w:color="auto"/>
            <w:bottom w:val="none" w:sz="0" w:space="0" w:color="auto"/>
            <w:right w:val="none" w:sz="0" w:space="0" w:color="auto"/>
          </w:divBdr>
        </w:div>
      </w:divsChild>
    </w:div>
    <w:div w:id="686911115">
      <w:bodyDiv w:val="1"/>
      <w:marLeft w:val="0"/>
      <w:marRight w:val="0"/>
      <w:marTop w:val="0"/>
      <w:marBottom w:val="0"/>
      <w:divBdr>
        <w:top w:val="none" w:sz="0" w:space="0" w:color="auto"/>
        <w:left w:val="none" w:sz="0" w:space="0" w:color="auto"/>
        <w:bottom w:val="none" w:sz="0" w:space="0" w:color="auto"/>
        <w:right w:val="none" w:sz="0" w:space="0" w:color="auto"/>
      </w:divBdr>
    </w:div>
    <w:div w:id="708384256">
      <w:bodyDiv w:val="1"/>
      <w:marLeft w:val="0"/>
      <w:marRight w:val="0"/>
      <w:marTop w:val="0"/>
      <w:marBottom w:val="0"/>
      <w:divBdr>
        <w:top w:val="none" w:sz="0" w:space="0" w:color="auto"/>
        <w:left w:val="none" w:sz="0" w:space="0" w:color="auto"/>
        <w:bottom w:val="none" w:sz="0" w:space="0" w:color="auto"/>
        <w:right w:val="none" w:sz="0" w:space="0" w:color="auto"/>
      </w:divBdr>
      <w:divsChild>
        <w:div w:id="254361108">
          <w:marLeft w:val="547"/>
          <w:marRight w:val="0"/>
          <w:marTop w:val="0"/>
          <w:marBottom w:val="0"/>
          <w:divBdr>
            <w:top w:val="none" w:sz="0" w:space="0" w:color="auto"/>
            <w:left w:val="none" w:sz="0" w:space="0" w:color="auto"/>
            <w:bottom w:val="none" w:sz="0" w:space="0" w:color="auto"/>
            <w:right w:val="none" w:sz="0" w:space="0" w:color="auto"/>
          </w:divBdr>
        </w:div>
      </w:divsChild>
    </w:div>
    <w:div w:id="712270947">
      <w:bodyDiv w:val="1"/>
      <w:marLeft w:val="0"/>
      <w:marRight w:val="0"/>
      <w:marTop w:val="0"/>
      <w:marBottom w:val="0"/>
      <w:divBdr>
        <w:top w:val="none" w:sz="0" w:space="0" w:color="auto"/>
        <w:left w:val="none" w:sz="0" w:space="0" w:color="auto"/>
        <w:bottom w:val="none" w:sz="0" w:space="0" w:color="auto"/>
        <w:right w:val="none" w:sz="0" w:space="0" w:color="auto"/>
      </w:divBdr>
      <w:divsChild>
        <w:div w:id="1642929222">
          <w:marLeft w:val="1166"/>
          <w:marRight w:val="0"/>
          <w:marTop w:val="0"/>
          <w:marBottom w:val="0"/>
          <w:divBdr>
            <w:top w:val="none" w:sz="0" w:space="0" w:color="auto"/>
            <w:left w:val="none" w:sz="0" w:space="0" w:color="auto"/>
            <w:bottom w:val="none" w:sz="0" w:space="0" w:color="auto"/>
            <w:right w:val="none" w:sz="0" w:space="0" w:color="auto"/>
          </w:divBdr>
        </w:div>
      </w:divsChild>
    </w:div>
    <w:div w:id="718212614">
      <w:bodyDiv w:val="1"/>
      <w:marLeft w:val="0"/>
      <w:marRight w:val="0"/>
      <w:marTop w:val="0"/>
      <w:marBottom w:val="0"/>
      <w:divBdr>
        <w:top w:val="none" w:sz="0" w:space="0" w:color="auto"/>
        <w:left w:val="none" w:sz="0" w:space="0" w:color="auto"/>
        <w:bottom w:val="none" w:sz="0" w:space="0" w:color="auto"/>
        <w:right w:val="none" w:sz="0" w:space="0" w:color="auto"/>
      </w:divBdr>
    </w:div>
    <w:div w:id="746197572">
      <w:bodyDiv w:val="1"/>
      <w:marLeft w:val="0"/>
      <w:marRight w:val="0"/>
      <w:marTop w:val="0"/>
      <w:marBottom w:val="0"/>
      <w:divBdr>
        <w:top w:val="none" w:sz="0" w:space="0" w:color="auto"/>
        <w:left w:val="none" w:sz="0" w:space="0" w:color="auto"/>
        <w:bottom w:val="none" w:sz="0" w:space="0" w:color="auto"/>
        <w:right w:val="none" w:sz="0" w:space="0" w:color="auto"/>
      </w:divBdr>
      <w:divsChild>
        <w:div w:id="408842576">
          <w:marLeft w:val="274"/>
          <w:marRight w:val="0"/>
          <w:marTop w:val="120"/>
          <w:marBottom w:val="0"/>
          <w:divBdr>
            <w:top w:val="none" w:sz="0" w:space="0" w:color="auto"/>
            <w:left w:val="none" w:sz="0" w:space="0" w:color="auto"/>
            <w:bottom w:val="none" w:sz="0" w:space="0" w:color="auto"/>
            <w:right w:val="none" w:sz="0" w:space="0" w:color="auto"/>
          </w:divBdr>
        </w:div>
        <w:div w:id="528875964">
          <w:marLeft w:val="274"/>
          <w:marRight w:val="0"/>
          <w:marTop w:val="120"/>
          <w:marBottom w:val="0"/>
          <w:divBdr>
            <w:top w:val="none" w:sz="0" w:space="0" w:color="auto"/>
            <w:left w:val="none" w:sz="0" w:space="0" w:color="auto"/>
            <w:bottom w:val="none" w:sz="0" w:space="0" w:color="auto"/>
            <w:right w:val="none" w:sz="0" w:space="0" w:color="auto"/>
          </w:divBdr>
        </w:div>
        <w:div w:id="1909222634">
          <w:marLeft w:val="274"/>
          <w:marRight w:val="0"/>
          <w:marTop w:val="120"/>
          <w:marBottom w:val="0"/>
          <w:divBdr>
            <w:top w:val="none" w:sz="0" w:space="0" w:color="auto"/>
            <w:left w:val="none" w:sz="0" w:space="0" w:color="auto"/>
            <w:bottom w:val="none" w:sz="0" w:space="0" w:color="auto"/>
            <w:right w:val="none" w:sz="0" w:space="0" w:color="auto"/>
          </w:divBdr>
        </w:div>
      </w:divsChild>
    </w:div>
    <w:div w:id="750128101">
      <w:marLeft w:val="0"/>
      <w:marRight w:val="0"/>
      <w:marTop w:val="0"/>
      <w:marBottom w:val="0"/>
      <w:divBdr>
        <w:top w:val="none" w:sz="0" w:space="0" w:color="auto"/>
        <w:left w:val="none" w:sz="0" w:space="0" w:color="auto"/>
        <w:bottom w:val="none" w:sz="0" w:space="0" w:color="auto"/>
        <w:right w:val="none" w:sz="0" w:space="0" w:color="auto"/>
      </w:divBdr>
    </w:div>
    <w:div w:id="750128102">
      <w:marLeft w:val="0"/>
      <w:marRight w:val="0"/>
      <w:marTop w:val="0"/>
      <w:marBottom w:val="0"/>
      <w:divBdr>
        <w:top w:val="none" w:sz="0" w:space="0" w:color="auto"/>
        <w:left w:val="none" w:sz="0" w:space="0" w:color="auto"/>
        <w:bottom w:val="none" w:sz="0" w:space="0" w:color="auto"/>
        <w:right w:val="none" w:sz="0" w:space="0" w:color="auto"/>
      </w:divBdr>
    </w:div>
    <w:div w:id="750128103">
      <w:marLeft w:val="0"/>
      <w:marRight w:val="0"/>
      <w:marTop w:val="0"/>
      <w:marBottom w:val="0"/>
      <w:divBdr>
        <w:top w:val="none" w:sz="0" w:space="0" w:color="auto"/>
        <w:left w:val="none" w:sz="0" w:space="0" w:color="auto"/>
        <w:bottom w:val="none" w:sz="0" w:space="0" w:color="auto"/>
        <w:right w:val="none" w:sz="0" w:space="0" w:color="auto"/>
      </w:divBdr>
    </w:div>
    <w:div w:id="750128106">
      <w:marLeft w:val="0"/>
      <w:marRight w:val="0"/>
      <w:marTop w:val="0"/>
      <w:marBottom w:val="0"/>
      <w:divBdr>
        <w:top w:val="none" w:sz="0" w:space="0" w:color="auto"/>
        <w:left w:val="none" w:sz="0" w:space="0" w:color="auto"/>
        <w:bottom w:val="none" w:sz="0" w:space="0" w:color="auto"/>
        <w:right w:val="none" w:sz="0" w:space="0" w:color="auto"/>
      </w:divBdr>
    </w:div>
    <w:div w:id="750128107">
      <w:marLeft w:val="0"/>
      <w:marRight w:val="0"/>
      <w:marTop w:val="0"/>
      <w:marBottom w:val="0"/>
      <w:divBdr>
        <w:top w:val="none" w:sz="0" w:space="0" w:color="auto"/>
        <w:left w:val="none" w:sz="0" w:space="0" w:color="auto"/>
        <w:bottom w:val="none" w:sz="0" w:space="0" w:color="auto"/>
        <w:right w:val="none" w:sz="0" w:space="0" w:color="auto"/>
      </w:divBdr>
    </w:div>
    <w:div w:id="750128108">
      <w:marLeft w:val="0"/>
      <w:marRight w:val="0"/>
      <w:marTop w:val="0"/>
      <w:marBottom w:val="0"/>
      <w:divBdr>
        <w:top w:val="none" w:sz="0" w:space="0" w:color="auto"/>
        <w:left w:val="none" w:sz="0" w:space="0" w:color="auto"/>
        <w:bottom w:val="none" w:sz="0" w:space="0" w:color="auto"/>
        <w:right w:val="none" w:sz="0" w:space="0" w:color="auto"/>
      </w:divBdr>
    </w:div>
    <w:div w:id="750128109">
      <w:marLeft w:val="0"/>
      <w:marRight w:val="0"/>
      <w:marTop w:val="0"/>
      <w:marBottom w:val="0"/>
      <w:divBdr>
        <w:top w:val="none" w:sz="0" w:space="0" w:color="auto"/>
        <w:left w:val="none" w:sz="0" w:space="0" w:color="auto"/>
        <w:bottom w:val="none" w:sz="0" w:space="0" w:color="auto"/>
        <w:right w:val="none" w:sz="0" w:space="0" w:color="auto"/>
      </w:divBdr>
    </w:div>
    <w:div w:id="750128112">
      <w:marLeft w:val="0"/>
      <w:marRight w:val="0"/>
      <w:marTop w:val="0"/>
      <w:marBottom w:val="0"/>
      <w:divBdr>
        <w:top w:val="none" w:sz="0" w:space="0" w:color="auto"/>
        <w:left w:val="none" w:sz="0" w:space="0" w:color="auto"/>
        <w:bottom w:val="none" w:sz="0" w:space="0" w:color="auto"/>
        <w:right w:val="none" w:sz="0" w:space="0" w:color="auto"/>
      </w:divBdr>
    </w:div>
    <w:div w:id="750128113">
      <w:marLeft w:val="0"/>
      <w:marRight w:val="0"/>
      <w:marTop w:val="0"/>
      <w:marBottom w:val="0"/>
      <w:divBdr>
        <w:top w:val="none" w:sz="0" w:space="0" w:color="auto"/>
        <w:left w:val="none" w:sz="0" w:space="0" w:color="auto"/>
        <w:bottom w:val="none" w:sz="0" w:space="0" w:color="auto"/>
        <w:right w:val="none" w:sz="0" w:space="0" w:color="auto"/>
      </w:divBdr>
    </w:div>
    <w:div w:id="750128114">
      <w:marLeft w:val="0"/>
      <w:marRight w:val="0"/>
      <w:marTop w:val="0"/>
      <w:marBottom w:val="0"/>
      <w:divBdr>
        <w:top w:val="none" w:sz="0" w:space="0" w:color="auto"/>
        <w:left w:val="none" w:sz="0" w:space="0" w:color="auto"/>
        <w:bottom w:val="none" w:sz="0" w:space="0" w:color="auto"/>
        <w:right w:val="none" w:sz="0" w:space="0" w:color="auto"/>
      </w:divBdr>
    </w:div>
    <w:div w:id="750128116">
      <w:marLeft w:val="0"/>
      <w:marRight w:val="0"/>
      <w:marTop w:val="0"/>
      <w:marBottom w:val="0"/>
      <w:divBdr>
        <w:top w:val="none" w:sz="0" w:space="0" w:color="auto"/>
        <w:left w:val="none" w:sz="0" w:space="0" w:color="auto"/>
        <w:bottom w:val="none" w:sz="0" w:space="0" w:color="auto"/>
        <w:right w:val="none" w:sz="0" w:space="0" w:color="auto"/>
      </w:divBdr>
    </w:div>
    <w:div w:id="750128118">
      <w:marLeft w:val="0"/>
      <w:marRight w:val="0"/>
      <w:marTop w:val="0"/>
      <w:marBottom w:val="0"/>
      <w:divBdr>
        <w:top w:val="none" w:sz="0" w:space="0" w:color="auto"/>
        <w:left w:val="none" w:sz="0" w:space="0" w:color="auto"/>
        <w:bottom w:val="none" w:sz="0" w:space="0" w:color="auto"/>
        <w:right w:val="none" w:sz="0" w:space="0" w:color="auto"/>
      </w:divBdr>
      <w:divsChild>
        <w:div w:id="750128105">
          <w:marLeft w:val="547"/>
          <w:marRight w:val="0"/>
          <w:marTop w:val="0"/>
          <w:marBottom w:val="0"/>
          <w:divBdr>
            <w:top w:val="none" w:sz="0" w:space="0" w:color="auto"/>
            <w:left w:val="none" w:sz="0" w:space="0" w:color="auto"/>
            <w:bottom w:val="none" w:sz="0" w:space="0" w:color="auto"/>
            <w:right w:val="none" w:sz="0" w:space="0" w:color="auto"/>
          </w:divBdr>
        </w:div>
      </w:divsChild>
    </w:div>
    <w:div w:id="750128119">
      <w:marLeft w:val="0"/>
      <w:marRight w:val="0"/>
      <w:marTop w:val="0"/>
      <w:marBottom w:val="0"/>
      <w:divBdr>
        <w:top w:val="none" w:sz="0" w:space="0" w:color="auto"/>
        <w:left w:val="none" w:sz="0" w:space="0" w:color="auto"/>
        <w:bottom w:val="none" w:sz="0" w:space="0" w:color="auto"/>
        <w:right w:val="none" w:sz="0" w:space="0" w:color="auto"/>
      </w:divBdr>
    </w:div>
    <w:div w:id="750128120">
      <w:marLeft w:val="0"/>
      <w:marRight w:val="0"/>
      <w:marTop w:val="0"/>
      <w:marBottom w:val="0"/>
      <w:divBdr>
        <w:top w:val="none" w:sz="0" w:space="0" w:color="auto"/>
        <w:left w:val="none" w:sz="0" w:space="0" w:color="auto"/>
        <w:bottom w:val="none" w:sz="0" w:space="0" w:color="auto"/>
        <w:right w:val="none" w:sz="0" w:space="0" w:color="auto"/>
      </w:divBdr>
    </w:div>
    <w:div w:id="750128121">
      <w:marLeft w:val="0"/>
      <w:marRight w:val="0"/>
      <w:marTop w:val="0"/>
      <w:marBottom w:val="0"/>
      <w:divBdr>
        <w:top w:val="none" w:sz="0" w:space="0" w:color="auto"/>
        <w:left w:val="none" w:sz="0" w:space="0" w:color="auto"/>
        <w:bottom w:val="none" w:sz="0" w:space="0" w:color="auto"/>
        <w:right w:val="none" w:sz="0" w:space="0" w:color="auto"/>
      </w:divBdr>
    </w:div>
    <w:div w:id="750128123">
      <w:marLeft w:val="0"/>
      <w:marRight w:val="0"/>
      <w:marTop w:val="0"/>
      <w:marBottom w:val="0"/>
      <w:divBdr>
        <w:top w:val="none" w:sz="0" w:space="0" w:color="auto"/>
        <w:left w:val="none" w:sz="0" w:space="0" w:color="auto"/>
        <w:bottom w:val="none" w:sz="0" w:space="0" w:color="auto"/>
        <w:right w:val="none" w:sz="0" w:space="0" w:color="auto"/>
      </w:divBdr>
      <w:divsChild>
        <w:div w:id="750128131">
          <w:marLeft w:val="547"/>
          <w:marRight w:val="0"/>
          <w:marTop w:val="0"/>
          <w:marBottom w:val="0"/>
          <w:divBdr>
            <w:top w:val="none" w:sz="0" w:space="0" w:color="auto"/>
            <w:left w:val="none" w:sz="0" w:space="0" w:color="auto"/>
            <w:bottom w:val="none" w:sz="0" w:space="0" w:color="auto"/>
            <w:right w:val="none" w:sz="0" w:space="0" w:color="auto"/>
          </w:divBdr>
        </w:div>
      </w:divsChild>
    </w:div>
    <w:div w:id="750128125">
      <w:marLeft w:val="0"/>
      <w:marRight w:val="0"/>
      <w:marTop w:val="0"/>
      <w:marBottom w:val="0"/>
      <w:divBdr>
        <w:top w:val="none" w:sz="0" w:space="0" w:color="auto"/>
        <w:left w:val="none" w:sz="0" w:space="0" w:color="auto"/>
        <w:bottom w:val="none" w:sz="0" w:space="0" w:color="auto"/>
        <w:right w:val="none" w:sz="0" w:space="0" w:color="auto"/>
      </w:divBdr>
      <w:divsChild>
        <w:div w:id="750128111">
          <w:marLeft w:val="0"/>
          <w:marRight w:val="0"/>
          <w:marTop w:val="0"/>
          <w:marBottom w:val="0"/>
          <w:divBdr>
            <w:top w:val="none" w:sz="0" w:space="0" w:color="auto"/>
            <w:left w:val="none" w:sz="0" w:space="0" w:color="auto"/>
            <w:bottom w:val="none" w:sz="0" w:space="0" w:color="auto"/>
            <w:right w:val="none" w:sz="0" w:space="0" w:color="auto"/>
          </w:divBdr>
          <w:divsChild>
            <w:div w:id="750128122">
              <w:marLeft w:val="0"/>
              <w:marRight w:val="0"/>
              <w:marTop w:val="0"/>
              <w:marBottom w:val="0"/>
              <w:divBdr>
                <w:top w:val="none" w:sz="0" w:space="0" w:color="auto"/>
                <w:left w:val="none" w:sz="0" w:space="0" w:color="auto"/>
                <w:bottom w:val="none" w:sz="0" w:space="0" w:color="auto"/>
                <w:right w:val="none" w:sz="0" w:space="0" w:color="auto"/>
              </w:divBdr>
              <w:divsChild>
                <w:div w:id="750128117">
                  <w:marLeft w:val="0"/>
                  <w:marRight w:val="0"/>
                  <w:marTop w:val="0"/>
                  <w:marBottom w:val="0"/>
                  <w:divBdr>
                    <w:top w:val="none" w:sz="0" w:space="0" w:color="auto"/>
                    <w:left w:val="none" w:sz="0" w:space="0" w:color="auto"/>
                    <w:bottom w:val="none" w:sz="0" w:space="0" w:color="auto"/>
                    <w:right w:val="none" w:sz="0" w:space="0" w:color="auto"/>
                  </w:divBdr>
                  <w:divsChild>
                    <w:div w:id="750128110">
                      <w:marLeft w:val="0"/>
                      <w:marRight w:val="0"/>
                      <w:marTop w:val="0"/>
                      <w:marBottom w:val="0"/>
                      <w:divBdr>
                        <w:top w:val="none" w:sz="0" w:space="0" w:color="auto"/>
                        <w:left w:val="none" w:sz="0" w:space="0" w:color="auto"/>
                        <w:bottom w:val="none" w:sz="0" w:space="0" w:color="auto"/>
                        <w:right w:val="none" w:sz="0" w:space="0" w:color="auto"/>
                      </w:divBdr>
                      <w:divsChild>
                        <w:div w:id="750128124">
                          <w:marLeft w:val="0"/>
                          <w:marRight w:val="0"/>
                          <w:marTop w:val="0"/>
                          <w:marBottom w:val="0"/>
                          <w:divBdr>
                            <w:top w:val="none" w:sz="0" w:space="0" w:color="auto"/>
                            <w:left w:val="none" w:sz="0" w:space="0" w:color="auto"/>
                            <w:bottom w:val="none" w:sz="0" w:space="0" w:color="auto"/>
                            <w:right w:val="none" w:sz="0" w:space="0" w:color="auto"/>
                          </w:divBdr>
                          <w:divsChild>
                            <w:div w:id="7501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28126">
      <w:marLeft w:val="0"/>
      <w:marRight w:val="0"/>
      <w:marTop w:val="0"/>
      <w:marBottom w:val="0"/>
      <w:divBdr>
        <w:top w:val="none" w:sz="0" w:space="0" w:color="auto"/>
        <w:left w:val="none" w:sz="0" w:space="0" w:color="auto"/>
        <w:bottom w:val="none" w:sz="0" w:space="0" w:color="auto"/>
        <w:right w:val="none" w:sz="0" w:space="0" w:color="auto"/>
      </w:divBdr>
    </w:div>
    <w:div w:id="750128127">
      <w:marLeft w:val="0"/>
      <w:marRight w:val="0"/>
      <w:marTop w:val="0"/>
      <w:marBottom w:val="0"/>
      <w:divBdr>
        <w:top w:val="none" w:sz="0" w:space="0" w:color="auto"/>
        <w:left w:val="none" w:sz="0" w:space="0" w:color="auto"/>
        <w:bottom w:val="none" w:sz="0" w:space="0" w:color="auto"/>
        <w:right w:val="none" w:sz="0" w:space="0" w:color="auto"/>
      </w:divBdr>
    </w:div>
    <w:div w:id="750128128">
      <w:marLeft w:val="0"/>
      <w:marRight w:val="0"/>
      <w:marTop w:val="0"/>
      <w:marBottom w:val="0"/>
      <w:divBdr>
        <w:top w:val="none" w:sz="0" w:space="0" w:color="auto"/>
        <w:left w:val="none" w:sz="0" w:space="0" w:color="auto"/>
        <w:bottom w:val="none" w:sz="0" w:space="0" w:color="auto"/>
        <w:right w:val="none" w:sz="0" w:space="0" w:color="auto"/>
      </w:divBdr>
    </w:div>
    <w:div w:id="750128129">
      <w:marLeft w:val="0"/>
      <w:marRight w:val="0"/>
      <w:marTop w:val="0"/>
      <w:marBottom w:val="0"/>
      <w:divBdr>
        <w:top w:val="none" w:sz="0" w:space="0" w:color="auto"/>
        <w:left w:val="none" w:sz="0" w:space="0" w:color="auto"/>
        <w:bottom w:val="none" w:sz="0" w:space="0" w:color="auto"/>
        <w:right w:val="none" w:sz="0" w:space="0" w:color="auto"/>
      </w:divBdr>
    </w:div>
    <w:div w:id="750128132">
      <w:marLeft w:val="0"/>
      <w:marRight w:val="0"/>
      <w:marTop w:val="0"/>
      <w:marBottom w:val="0"/>
      <w:divBdr>
        <w:top w:val="none" w:sz="0" w:space="0" w:color="auto"/>
        <w:left w:val="none" w:sz="0" w:space="0" w:color="auto"/>
        <w:bottom w:val="none" w:sz="0" w:space="0" w:color="auto"/>
        <w:right w:val="none" w:sz="0" w:space="0" w:color="auto"/>
      </w:divBdr>
      <w:divsChild>
        <w:div w:id="750128104">
          <w:marLeft w:val="547"/>
          <w:marRight w:val="0"/>
          <w:marTop w:val="0"/>
          <w:marBottom w:val="0"/>
          <w:divBdr>
            <w:top w:val="none" w:sz="0" w:space="0" w:color="auto"/>
            <w:left w:val="none" w:sz="0" w:space="0" w:color="auto"/>
            <w:bottom w:val="none" w:sz="0" w:space="0" w:color="auto"/>
            <w:right w:val="none" w:sz="0" w:space="0" w:color="auto"/>
          </w:divBdr>
        </w:div>
      </w:divsChild>
    </w:div>
    <w:div w:id="750128133">
      <w:marLeft w:val="0"/>
      <w:marRight w:val="0"/>
      <w:marTop w:val="0"/>
      <w:marBottom w:val="0"/>
      <w:divBdr>
        <w:top w:val="none" w:sz="0" w:space="0" w:color="auto"/>
        <w:left w:val="none" w:sz="0" w:space="0" w:color="auto"/>
        <w:bottom w:val="none" w:sz="0" w:space="0" w:color="auto"/>
        <w:right w:val="none" w:sz="0" w:space="0" w:color="auto"/>
      </w:divBdr>
      <w:divsChild>
        <w:div w:id="750128130">
          <w:marLeft w:val="0"/>
          <w:marRight w:val="0"/>
          <w:marTop w:val="0"/>
          <w:marBottom w:val="0"/>
          <w:divBdr>
            <w:top w:val="none" w:sz="0" w:space="0" w:color="auto"/>
            <w:left w:val="none" w:sz="0" w:space="0" w:color="auto"/>
            <w:bottom w:val="none" w:sz="0" w:space="0" w:color="auto"/>
            <w:right w:val="none" w:sz="0" w:space="0" w:color="auto"/>
          </w:divBdr>
        </w:div>
      </w:divsChild>
    </w:div>
    <w:div w:id="750128134">
      <w:marLeft w:val="0"/>
      <w:marRight w:val="0"/>
      <w:marTop w:val="0"/>
      <w:marBottom w:val="0"/>
      <w:divBdr>
        <w:top w:val="none" w:sz="0" w:space="0" w:color="auto"/>
        <w:left w:val="none" w:sz="0" w:space="0" w:color="auto"/>
        <w:bottom w:val="none" w:sz="0" w:space="0" w:color="auto"/>
        <w:right w:val="none" w:sz="0" w:space="0" w:color="auto"/>
      </w:divBdr>
    </w:div>
    <w:div w:id="750128135">
      <w:marLeft w:val="0"/>
      <w:marRight w:val="0"/>
      <w:marTop w:val="0"/>
      <w:marBottom w:val="0"/>
      <w:divBdr>
        <w:top w:val="none" w:sz="0" w:space="0" w:color="auto"/>
        <w:left w:val="none" w:sz="0" w:space="0" w:color="auto"/>
        <w:bottom w:val="none" w:sz="0" w:space="0" w:color="auto"/>
        <w:right w:val="none" w:sz="0" w:space="0" w:color="auto"/>
      </w:divBdr>
    </w:div>
    <w:div w:id="750128136">
      <w:marLeft w:val="0"/>
      <w:marRight w:val="0"/>
      <w:marTop w:val="0"/>
      <w:marBottom w:val="0"/>
      <w:divBdr>
        <w:top w:val="none" w:sz="0" w:space="0" w:color="auto"/>
        <w:left w:val="none" w:sz="0" w:space="0" w:color="auto"/>
        <w:bottom w:val="none" w:sz="0" w:space="0" w:color="auto"/>
        <w:right w:val="none" w:sz="0" w:space="0" w:color="auto"/>
      </w:divBdr>
    </w:div>
    <w:div w:id="750128137">
      <w:marLeft w:val="0"/>
      <w:marRight w:val="0"/>
      <w:marTop w:val="0"/>
      <w:marBottom w:val="0"/>
      <w:divBdr>
        <w:top w:val="none" w:sz="0" w:space="0" w:color="auto"/>
        <w:left w:val="none" w:sz="0" w:space="0" w:color="auto"/>
        <w:bottom w:val="none" w:sz="0" w:space="0" w:color="auto"/>
        <w:right w:val="none" w:sz="0" w:space="0" w:color="auto"/>
      </w:divBdr>
    </w:div>
    <w:div w:id="768811461">
      <w:bodyDiv w:val="1"/>
      <w:marLeft w:val="0"/>
      <w:marRight w:val="0"/>
      <w:marTop w:val="0"/>
      <w:marBottom w:val="0"/>
      <w:divBdr>
        <w:top w:val="none" w:sz="0" w:space="0" w:color="auto"/>
        <w:left w:val="none" w:sz="0" w:space="0" w:color="auto"/>
        <w:bottom w:val="none" w:sz="0" w:space="0" w:color="auto"/>
        <w:right w:val="none" w:sz="0" w:space="0" w:color="auto"/>
      </w:divBdr>
    </w:div>
    <w:div w:id="769083253">
      <w:bodyDiv w:val="1"/>
      <w:marLeft w:val="0"/>
      <w:marRight w:val="0"/>
      <w:marTop w:val="0"/>
      <w:marBottom w:val="0"/>
      <w:divBdr>
        <w:top w:val="none" w:sz="0" w:space="0" w:color="auto"/>
        <w:left w:val="none" w:sz="0" w:space="0" w:color="auto"/>
        <w:bottom w:val="none" w:sz="0" w:space="0" w:color="auto"/>
        <w:right w:val="none" w:sz="0" w:space="0" w:color="auto"/>
      </w:divBdr>
    </w:div>
    <w:div w:id="783383080">
      <w:bodyDiv w:val="1"/>
      <w:marLeft w:val="0"/>
      <w:marRight w:val="0"/>
      <w:marTop w:val="0"/>
      <w:marBottom w:val="0"/>
      <w:divBdr>
        <w:top w:val="none" w:sz="0" w:space="0" w:color="auto"/>
        <w:left w:val="none" w:sz="0" w:space="0" w:color="auto"/>
        <w:bottom w:val="none" w:sz="0" w:space="0" w:color="auto"/>
        <w:right w:val="none" w:sz="0" w:space="0" w:color="auto"/>
      </w:divBdr>
      <w:divsChild>
        <w:div w:id="1420100543">
          <w:marLeft w:val="547"/>
          <w:marRight w:val="0"/>
          <w:marTop w:val="120"/>
          <w:marBottom w:val="0"/>
          <w:divBdr>
            <w:top w:val="none" w:sz="0" w:space="0" w:color="auto"/>
            <w:left w:val="none" w:sz="0" w:space="0" w:color="auto"/>
            <w:bottom w:val="none" w:sz="0" w:space="0" w:color="auto"/>
            <w:right w:val="none" w:sz="0" w:space="0" w:color="auto"/>
          </w:divBdr>
        </w:div>
      </w:divsChild>
    </w:div>
    <w:div w:id="791483553">
      <w:bodyDiv w:val="1"/>
      <w:marLeft w:val="0"/>
      <w:marRight w:val="0"/>
      <w:marTop w:val="0"/>
      <w:marBottom w:val="0"/>
      <w:divBdr>
        <w:top w:val="none" w:sz="0" w:space="0" w:color="auto"/>
        <w:left w:val="none" w:sz="0" w:space="0" w:color="auto"/>
        <w:bottom w:val="none" w:sz="0" w:space="0" w:color="auto"/>
        <w:right w:val="none" w:sz="0" w:space="0" w:color="auto"/>
      </w:divBdr>
    </w:div>
    <w:div w:id="799224893">
      <w:bodyDiv w:val="1"/>
      <w:marLeft w:val="0"/>
      <w:marRight w:val="0"/>
      <w:marTop w:val="0"/>
      <w:marBottom w:val="0"/>
      <w:divBdr>
        <w:top w:val="none" w:sz="0" w:space="0" w:color="auto"/>
        <w:left w:val="none" w:sz="0" w:space="0" w:color="auto"/>
        <w:bottom w:val="none" w:sz="0" w:space="0" w:color="auto"/>
        <w:right w:val="none" w:sz="0" w:space="0" w:color="auto"/>
      </w:divBdr>
    </w:div>
    <w:div w:id="806092819">
      <w:bodyDiv w:val="1"/>
      <w:marLeft w:val="0"/>
      <w:marRight w:val="0"/>
      <w:marTop w:val="0"/>
      <w:marBottom w:val="0"/>
      <w:divBdr>
        <w:top w:val="none" w:sz="0" w:space="0" w:color="auto"/>
        <w:left w:val="none" w:sz="0" w:space="0" w:color="auto"/>
        <w:bottom w:val="none" w:sz="0" w:space="0" w:color="auto"/>
        <w:right w:val="none" w:sz="0" w:space="0" w:color="auto"/>
      </w:divBdr>
    </w:div>
    <w:div w:id="810632903">
      <w:bodyDiv w:val="1"/>
      <w:marLeft w:val="0"/>
      <w:marRight w:val="0"/>
      <w:marTop w:val="0"/>
      <w:marBottom w:val="0"/>
      <w:divBdr>
        <w:top w:val="none" w:sz="0" w:space="0" w:color="auto"/>
        <w:left w:val="none" w:sz="0" w:space="0" w:color="auto"/>
        <w:bottom w:val="none" w:sz="0" w:space="0" w:color="auto"/>
        <w:right w:val="none" w:sz="0" w:space="0" w:color="auto"/>
      </w:divBdr>
      <w:divsChild>
        <w:div w:id="2126651489">
          <w:marLeft w:val="1166"/>
          <w:marRight w:val="0"/>
          <w:marTop w:val="0"/>
          <w:marBottom w:val="0"/>
          <w:divBdr>
            <w:top w:val="none" w:sz="0" w:space="0" w:color="auto"/>
            <w:left w:val="none" w:sz="0" w:space="0" w:color="auto"/>
            <w:bottom w:val="none" w:sz="0" w:space="0" w:color="auto"/>
            <w:right w:val="none" w:sz="0" w:space="0" w:color="auto"/>
          </w:divBdr>
        </w:div>
      </w:divsChild>
    </w:div>
    <w:div w:id="826362352">
      <w:bodyDiv w:val="1"/>
      <w:marLeft w:val="0"/>
      <w:marRight w:val="0"/>
      <w:marTop w:val="0"/>
      <w:marBottom w:val="0"/>
      <w:divBdr>
        <w:top w:val="none" w:sz="0" w:space="0" w:color="auto"/>
        <w:left w:val="none" w:sz="0" w:space="0" w:color="auto"/>
        <w:bottom w:val="none" w:sz="0" w:space="0" w:color="auto"/>
        <w:right w:val="none" w:sz="0" w:space="0" w:color="auto"/>
      </w:divBdr>
    </w:div>
    <w:div w:id="841772173">
      <w:bodyDiv w:val="1"/>
      <w:marLeft w:val="0"/>
      <w:marRight w:val="0"/>
      <w:marTop w:val="0"/>
      <w:marBottom w:val="0"/>
      <w:divBdr>
        <w:top w:val="none" w:sz="0" w:space="0" w:color="auto"/>
        <w:left w:val="none" w:sz="0" w:space="0" w:color="auto"/>
        <w:bottom w:val="none" w:sz="0" w:space="0" w:color="auto"/>
        <w:right w:val="none" w:sz="0" w:space="0" w:color="auto"/>
      </w:divBdr>
    </w:div>
    <w:div w:id="877813087">
      <w:bodyDiv w:val="1"/>
      <w:marLeft w:val="0"/>
      <w:marRight w:val="0"/>
      <w:marTop w:val="0"/>
      <w:marBottom w:val="0"/>
      <w:divBdr>
        <w:top w:val="none" w:sz="0" w:space="0" w:color="auto"/>
        <w:left w:val="none" w:sz="0" w:space="0" w:color="auto"/>
        <w:bottom w:val="none" w:sz="0" w:space="0" w:color="auto"/>
        <w:right w:val="none" w:sz="0" w:space="0" w:color="auto"/>
      </w:divBdr>
    </w:div>
    <w:div w:id="891577134">
      <w:bodyDiv w:val="1"/>
      <w:marLeft w:val="0"/>
      <w:marRight w:val="0"/>
      <w:marTop w:val="0"/>
      <w:marBottom w:val="0"/>
      <w:divBdr>
        <w:top w:val="none" w:sz="0" w:space="0" w:color="auto"/>
        <w:left w:val="none" w:sz="0" w:space="0" w:color="auto"/>
        <w:bottom w:val="none" w:sz="0" w:space="0" w:color="auto"/>
        <w:right w:val="none" w:sz="0" w:space="0" w:color="auto"/>
      </w:divBdr>
      <w:divsChild>
        <w:div w:id="692997687">
          <w:marLeft w:val="547"/>
          <w:marRight w:val="0"/>
          <w:marTop w:val="0"/>
          <w:marBottom w:val="0"/>
          <w:divBdr>
            <w:top w:val="none" w:sz="0" w:space="0" w:color="auto"/>
            <w:left w:val="none" w:sz="0" w:space="0" w:color="auto"/>
            <w:bottom w:val="none" w:sz="0" w:space="0" w:color="auto"/>
            <w:right w:val="none" w:sz="0" w:space="0" w:color="auto"/>
          </w:divBdr>
        </w:div>
      </w:divsChild>
    </w:div>
    <w:div w:id="898593343">
      <w:bodyDiv w:val="1"/>
      <w:marLeft w:val="0"/>
      <w:marRight w:val="0"/>
      <w:marTop w:val="0"/>
      <w:marBottom w:val="0"/>
      <w:divBdr>
        <w:top w:val="none" w:sz="0" w:space="0" w:color="auto"/>
        <w:left w:val="none" w:sz="0" w:space="0" w:color="auto"/>
        <w:bottom w:val="none" w:sz="0" w:space="0" w:color="auto"/>
        <w:right w:val="none" w:sz="0" w:space="0" w:color="auto"/>
      </w:divBdr>
      <w:divsChild>
        <w:div w:id="415786052">
          <w:marLeft w:val="446"/>
          <w:marRight w:val="0"/>
          <w:marTop w:val="80"/>
          <w:marBottom w:val="0"/>
          <w:divBdr>
            <w:top w:val="none" w:sz="0" w:space="0" w:color="auto"/>
            <w:left w:val="none" w:sz="0" w:space="0" w:color="auto"/>
            <w:bottom w:val="none" w:sz="0" w:space="0" w:color="auto"/>
            <w:right w:val="none" w:sz="0" w:space="0" w:color="auto"/>
          </w:divBdr>
        </w:div>
      </w:divsChild>
    </w:div>
    <w:div w:id="911936543">
      <w:bodyDiv w:val="1"/>
      <w:marLeft w:val="0"/>
      <w:marRight w:val="0"/>
      <w:marTop w:val="0"/>
      <w:marBottom w:val="0"/>
      <w:divBdr>
        <w:top w:val="none" w:sz="0" w:space="0" w:color="auto"/>
        <w:left w:val="none" w:sz="0" w:space="0" w:color="auto"/>
        <w:bottom w:val="none" w:sz="0" w:space="0" w:color="auto"/>
        <w:right w:val="none" w:sz="0" w:space="0" w:color="auto"/>
      </w:divBdr>
    </w:div>
    <w:div w:id="918095542">
      <w:bodyDiv w:val="1"/>
      <w:marLeft w:val="0"/>
      <w:marRight w:val="0"/>
      <w:marTop w:val="0"/>
      <w:marBottom w:val="0"/>
      <w:divBdr>
        <w:top w:val="none" w:sz="0" w:space="0" w:color="auto"/>
        <w:left w:val="none" w:sz="0" w:space="0" w:color="auto"/>
        <w:bottom w:val="none" w:sz="0" w:space="0" w:color="auto"/>
        <w:right w:val="none" w:sz="0" w:space="0" w:color="auto"/>
      </w:divBdr>
    </w:div>
    <w:div w:id="939917759">
      <w:bodyDiv w:val="1"/>
      <w:marLeft w:val="0"/>
      <w:marRight w:val="0"/>
      <w:marTop w:val="0"/>
      <w:marBottom w:val="0"/>
      <w:divBdr>
        <w:top w:val="none" w:sz="0" w:space="0" w:color="auto"/>
        <w:left w:val="none" w:sz="0" w:space="0" w:color="auto"/>
        <w:bottom w:val="none" w:sz="0" w:space="0" w:color="auto"/>
        <w:right w:val="none" w:sz="0" w:space="0" w:color="auto"/>
      </w:divBdr>
    </w:div>
    <w:div w:id="948127406">
      <w:bodyDiv w:val="1"/>
      <w:marLeft w:val="0"/>
      <w:marRight w:val="0"/>
      <w:marTop w:val="0"/>
      <w:marBottom w:val="0"/>
      <w:divBdr>
        <w:top w:val="none" w:sz="0" w:space="0" w:color="auto"/>
        <w:left w:val="none" w:sz="0" w:space="0" w:color="auto"/>
        <w:bottom w:val="none" w:sz="0" w:space="0" w:color="auto"/>
        <w:right w:val="none" w:sz="0" w:space="0" w:color="auto"/>
      </w:divBdr>
      <w:divsChild>
        <w:div w:id="697777538">
          <w:marLeft w:val="547"/>
          <w:marRight w:val="0"/>
          <w:marTop w:val="0"/>
          <w:marBottom w:val="0"/>
          <w:divBdr>
            <w:top w:val="none" w:sz="0" w:space="0" w:color="auto"/>
            <w:left w:val="none" w:sz="0" w:space="0" w:color="auto"/>
            <w:bottom w:val="none" w:sz="0" w:space="0" w:color="auto"/>
            <w:right w:val="none" w:sz="0" w:space="0" w:color="auto"/>
          </w:divBdr>
        </w:div>
      </w:divsChild>
    </w:div>
    <w:div w:id="958144986">
      <w:bodyDiv w:val="1"/>
      <w:marLeft w:val="0"/>
      <w:marRight w:val="0"/>
      <w:marTop w:val="0"/>
      <w:marBottom w:val="0"/>
      <w:divBdr>
        <w:top w:val="none" w:sz="0" w:space="0" w:color="auto"/>
        <w:left w:val="none" w:sz="0" w:space="0" w:color="auto"/>
        <w:bottom w:val="none" w:sz="0" w:space="0" w:color="auto"/>
        <w:right w:val="none" w:sz="0" w:space="0" w:color="auto"/>
      </w:divBdr>
    </w:div>
    <w:div w:id="959142225">
      <w:bodyDiv w:val="1"/>
      <w:marLeft w:val="0"/>
      <w:marRight w:val="0"/>
      <w:marTop w:val="0"/>
      <w:marBottom w:val="0"/>
      <w:divBdr>
        <w:top w:val="none" w:sz="0" w:space="0" w:color="auto"/>
        <w:left w:val="none" w:sz="0" w:space="0" w:color="auto"/>
        <w:bottom w:val="none" w:sz="0" w:space="0" w:color="auto"/>
        <w:right w:val="none" w:sz="0" w:space="0" w:color="auto"/>
      </w:divBdr>
    </w:div>
    <w:div w:id="969629302">
      <w:bodyDiv w:val="1"/>
      <w:marLeft w:val="0"/>
      <w:marRight w:val="0"/>
      <w:marTop w:val="0"/>
      <w:marBottom w:val="0"/>
      <w:divBdr>
        <w:top w:val="none" w:sz="0" w:space="0" w:color="auto"/>
        <w:left w:val="none" w:sz="0" w:space="0" w:color="auto"/>
        <w:bottom w:val="none" w:sz="0" w:space="0" w:color="auto"/>
        <w:right w:val="none" w:sz="0" w:space="0" w:color="auto"/>
      </w:divBdr>
    </w:div>
    <w:div w:id="969867830">
      <w:bodyDiv w:val="1"/>
      <w:marLeft w:val="0"/>
      <w:marRight w:val="0"/>
      <w:marTop w:val="0"/>
      <w:marBottom w:val="0"/>
      <w:divBdr>
        <w:top w:val="none" w:sz="0" w:space="0" w:color="auto"/>
        <w:left w:val="none" w:sz="0" w:space="0" w:color="auto"/>
        <w:bottom w:val="none" w:sz="0" w:space="0" w:color="auto"/>
        <w:right w:val="none" w:sz="0" w:space="0" w:color="auto"/>
      </w:divBdr>
      <w:divsChild>
        <w:div w:id="451435440">
          <w:marLeft w:val="562"/>
          <w:marRight w:val="0"/>
          <w:marTop w:val="67"/>
          <w:marBottom w:val="0"/>
          <w:divBdr>
            <w:top w:val="none" w:sz="0" w:space="0" w:color="auto"/>
            <w:left w:val="none" w:sz="0" w:space="0" w:color="auto"/>
            <w:bottom w:val="none" w:sz="0" w:space="0" w:color="auto"/>
            <w:right w:val="none" w:sz="0" w:space="0" w:color="auto"/>
          </w:divBdr>
        </w:div>
        <w:div w:id="534199665">
          <w:marLeft w:val="562"/>
          <w:marRight w:val="0"/>
          <w:marTop w:val="67"/>
          <w:marBottom w:val="0"/>
          <w:divBdr>
            <w:top w:val="none" w:sz="0" w:space="0" w:color="auto"/>
            <w:left w:val="none" w:sz="0" w:space="0" w:color="auto"/>
            <w:bottom w:val="none" w:sz="0" w:space="0" w:color="auto"/>
            <w:right w:val="none" w:sz="0" w:space="0" w:color="auto"/>
          </w:divBdr>
        </w:div>
        <w:div w:id="554852944">
          <w:marLeft w:val="274"/>
          <w:marRight w:val="0"/>
          <w:marTop w:val="120"/>
          <w:marBottom w:val="0"/>
          <w:divBdr>
            <w:top w:val="none" w:sz="0" w:space="0" w:color="auto"/>
            <w:left w:val="none" w:sz="0" w:space="0" w:color="auto"/>
            <w:bottom w:val="none" w:sz="0" w:space="0" w:color="auto"/>
            <w:right w:val="none" w:sz="0" w:space="0" w:color="auto"/>
          </w:divBdr>
        </w:div>
        <w:div w:id="563027415">
          <w:marLeft w:val="274"/>
          <w:marRight w:val="0"/>
          <w:marTop w:val="120"/>
          <w:marBottom w:val="0"/>
          <w:divBdr>
            <w:top w:val="none" w:sz="0" w:space="0" w:color="auto"/>
            <w:left w:val="none" w:sz="0" w:space="0" w:color="auto"/>
            <w:bottom w:val="none" w:sz="0" w:space="0" w:color="auto"/>
            <w:right w:val="none" w:sz="0" w:space="0" w:color="auto"/>
          </w:divBdr>
        </w:div>
        <w:div w:id="1800029786">
          <w:marLeft w:val="274"/>
          <w:marRight w:val="0"/>
          <w:marTop w:val="120"/>
          <w:marBottom w:val="0"/>
          <w:divBdr>
            <w:top w:val="none" w:sz="0" w:space="0" w:color="auto"/>
            <w:left w:val="none" w:sz="0" w:space="0" w:color="auto"/>
            <w:bottom w:val="none" w:sz="0" w:space="0" w:color="auto"/>
            <w:right w:val="none" w:sz="0" w:space="0" w:color="auto"/>
          </w:divBdr>
        </w:div>
        <w:div w:id="1905874692">
          <w:marLeft w:val="274"/>
          <w:marRight w:val="0"/>
          <w:marTop w:val="120"/>
          <w:marBottom w:val="0"/>
          <w:divBdr>
            <w:top w:val="none" w:sz="0" w:space="0" w:color="auto"/>
            <w:left w:val="none" w:sz="0" w:space="0" w:color="auto"/>
            <w:bottom w:val="none" w:sz="0" w:space="0" w:color="auto"/>
            <w:right w:val="none" w:sz="0" w:space="0" w:color="auto"/>
          </w:divBdr>
        </w:div>
      </w:divsChild>
    </w:div>
    <w:div w:id="972908124">
      <w:bodyDiv w:val="1"/>
      <w:marLeft w:val="0"/>
      <w:marRight w:val="0"/>
      <w:marTop w:val="0"/>
      <w:marBottom w:val="0"/>
      <w:divBdr>
        <w:top w:val="none" w:sz="0" w:space="0" w:color="auto"/>
        <w:left w:val="none" w:sz="0" w:space="0" w:color="auto"/>
        <w:bottom w:val="none" w:sz="0" w:space="0" w:color="auto"/>
        <w:right w:val="none" w:sz="0" w:space="0" w:color="auto"/>
      </w:divBdr>
    </w:div>
    <w:div w:id="1017661185">
      <w:bodyDiv w:val="1"/>
      <w:marLeft w:val="0"/>
      <w:marRight w:val="0"/>
      <w:marTop w:val="0"/>
      <w:marBottom w:val="0"/>
      <w:divBdr>
        <w:top w:val="none" w:sz="0" w:space="0" w:color="auto"/>
        <w:left w:val="none" w:sz="0" w:space="0" w:color="auto"/>
        <w:bottom w:val="none" w:sz="0" w:space="0" w:color="auto"/>
        <w:right w:val="none" w:sz="0" w:space="0" w:color="auto"/>
      </w:divBdr>
      <w:divsChild>
        <w:div w:id="159321453">
          <w:marLeft w:val="562"/>
          <w:marRight w:val="0"/>
          <w:marTop w:val="67"/>
          <w:marBottom w:val="0"/>
          <w:divBdr>
            <w:top w:val="none" w:sz="0" w:space="0" w:color="auto"/>
            <w:left w:val="none" w:sz="0" w:space="0" w:color="auto"/>
            <w:bottom w:val="none" w:sz="0" w:space="0" w:color="auto"/>
            <w:right w:val="none" w:sz="0" w:space="0" w:color="auto"/>
          </w:divBdr>
        </w:div>
        <w:div w:id="978875989">
          <w:marLeft w:val="274"/>
          <w:marRight w:val="0"/>
          <w:marTop w:val="120"/>
          <w:marBottom w:val="0"/>
          <w:divBdr>
            <w:top w:val="none" w:sz="0" w:space="0" w:color="auto"/>
            <w:left w:val="none" w:sz="0" w:space="0" w:color="auto"/>
            <w:bottom w:val="none" w:sz="0" w:space="0" w:color="auto"/>
            <w:right w:val="none" w:sz="0" w:space="0" w:color="auto"/>
          </w:divBdr>
        </w:div>
        <w:div w:id="1165239638">
          <w:marLeft w:val="562"/>
          <w:marRight w:val="0"/>
          <w:marTop w:val="67"/>
          <w:marBottom w:val="0"/>
          <w:divBdr>
            <w:top w:val="none" w:sz="0" w:space="0" w:color="auto"/>
            <w:left w:val="none" w:sz="0" w:space="0" w:color="auto"/>
            <w:bottom w:val="none" w:sz="0" w:space="0" w:color="auto"/>
            <w:right w:val="none" w:sz="0" w:space="0" w:color="auto"/>
          </w:divBdr>
        </w:div>
        <w:div w:id="1258904004">
          <w:marLeft w:val="562"/>
          <w:marRight w:val="0"/>
          <w:marTop w:val="67"/>
          <w:marBottom w:val="0"/>
          <w:divBdr>
            <w:top w:val="none" w:sz="0" w:space="0" w:color="auto"/>
            <w:left w:val="none" w:sz="0" w:space="0" w:color="auto"/>
            <w:bottom w:val="none" w:sz="0" w:space="0" w:color="auto"/>
            <w:right w:val="none" w:sz="0" w:space="0" w:color="auto"/>
          </w:divBdr>
        </w:div>
        <w:div w:id="1752191546">
          <w:marLeft w:val="274"/>
          <w:marRight w:val="0"/>
          <w:marTop w:val="120"/>
          <w:marBottom w:val="0"/>
          <w:divBdr>
            <w:top w:val="none" w:sz="0" w:space="0" w:color="auto"/>
            <w:left w:val="none" w:sz="0" w:space="0" w:color="auto"/>
            <w:bottom w:val="none" w:sz="0" w:space="0" w:color="auto"/>
            <w:right w:val="none" w:sz="0" w:space="0" w:color="auto"/>
          </w:divBdr>
        </w:div>
        <w:div w:id="1878152686">
          <w:marLeft w:val="274"/>
          <w:marRight w:val="0"/>
          <w:marTop w:val="120"/>
          <w:marBottom w:val="0"/>
          <w:divBdr>
            <w:top w:val="none" w:sz="0" w:space="0" w:color="auto"/>
            <w:left w:val="none" w:sz="0" w:space="0" w:color="auto"/>
            <w:bottom w:val="none" w:sz="0" w:space="0" w:color="auto"/>
            <w:right w:val="none" w:sz="0" w:space="0" w:color="auto"/>
          </w:divBdr>
        </w:div>
        <w:div w:id="1952592060">
          <w:marLeft w:val="562"/>
          <w:marRight w:val="0"/>
          <w:marTop w:val="67"/>
          <w:marBottom w:val="0"/>
          <w:divBdr>
            <w:top w:val="none" w:sz="0" w:space="0" w:color="auto"/>
            <w:left w:val="none" w:sz="0" w:space="0" w:color="auto"/>
            <w:bottom w:val="none" w:sz="0" w:space="0" w:color="auto"/>
            <w:right w:val="none" w:sz="0" w:space="0" w:color="auto"/>
          </w:divBdr>
        </w:div>
        <w:div w:id="2095737491">
          <w:marLeft w:val="562"/>
          <w:marRight w:val="0"/>
          <w:marTop w:val="67"/>
          <w:marBottom w:val="0"/>
          <w:divBdr>
            <w:top w:val="none" w:sz="0" w:space="0" w:color="auto"/>
            <w:left w:val="none" w:sz="0" w:space="0" w:color="auto"/>
            <w:bottom w:val="none" w:sz="0" w:space="0" w:color="auto"/>
            <w:right w:val="none" w:sz="0" w:space="0" w:color="auto"/>
          </w:divBdr>
        </w:div>
      </w:divsChild>
    </w:div>
    <w:div w:id="1019939486">
      <w:bodyDiv w:val="1"/>
      <w:marLeft w:val="0"/>
      <w:marRight w:val="0"/>
      <w:marTop w:val="0"/>
      <w:marBottom w:val="0"/>
      <w:divBdr>
        <w:top w:val="none" w:sz="0" w:space="0" w:color="auto"/>
        <w:left w:val="none" w:sz="0" w:space="0" w:color="auto"/>
        <w:bottom w:val="none" w:sz="0" w:space="0" w:color="auto"/>
        <w:right w:val="none" w:sz="0" w:space="0" w:color="auto"/>
      </w:divBdr>
    </w:div>
    <w:div w:id="1029916275">
      <w:bodyDiv w:val="1"/>
      <w:marLeft w:val="0"/>
      <w:marRight w:val="0"/>
      <w:marTop w:val="0"/>
      <w:marBottom w:val="0"/>
      <w:divBdr>
        <w:top w:val="none" w:sz="0" w:space="0" w:color="auto"/>
        <w:left w:val="none" w:sz="0" w:space="0" w:color="auto"/>
        <w:bottom w:val="none" w:sz="0" w:space="0" w:color="auto"/>
        <w:right w:val="none" w:sz="0" w:space="0" w:color="auto"/>
      </w:divBdr>
    </w:div>
    <w:div w:id="1032459863">
      <w:bodyDiv w:val="1"/>
      <w:marLeft w:val="0"/>
      <w:marRight w:val="0"/>
      <w:marTop w:val="0"/>
      <w:marBottom w:val="0"/>
      <w:divBdr>
        <w:top w:val="none" w:sz="0" w:space="0" w:color="auto"/>
        <w:left w:val="none" w:sz="0" w:space="0" w:color="auto"/>
        <w:bottom w:val="none" w:sz="0" w:space="0" w:color="auto"/>
        <w:right w:val="none" w:sz="0" w:space="0" w:color="auto"/>
      </w:divBdr>
      <w:divsChild>
        <w:div w:id="619999191">
          <w:marLeft w:val="446"/>
          <w:marRight w:val="0"/>
          <w:marTop w:val="0"/>
          <w:marBottom w:val="0"/>
          <w:divBdr>
            <w:top w:val="none" w:sz="0" w:space="0" w:color="auto"/>
            <w:left w:val="none" w:sz="0" w:space="0" w:color="auto"/>
            <w:bottom w:val="none" w:sz="0" w:space="0" w:color="auto"/>
            <w:right w:val="none" w:sz="0" w:space="0" w:color="auto"/>
          </w:divBdr>
        </w:div>
      </w:divsChild>
    </w:div>
    <w:div w:id="1034693820">
      <w:bodyDiv w:val="1"/>
      <w:marLeft w:val="0"/>
      <w:marRight w:val="0"/>
      <w:marTop w:val="0"/>
      <w:marBottom w:val="0"/>
      <w:divBdr>
        <w:top w:val="none" w:sz="0" w:space="0" w:color="auto"/>
        <w:left w:val="none" w:sz="0" w:space="0" w:color="auto"/>
        <w:bottom w:val="none" w:sz="0" w:space="0" w:color="auto"/>
        <w:right w:val="none" w:sz="0" w:space="0" w:color="auto"/>
      </w:divBdr>
    </w:div>
    <w:div w:id="1042830975">
      <w:bodyDiv w:val="1"/>
      <w:marLeft w:val="0"/>
      <w:marRight w:val="0"/>
      <w:marTop w:val="0"/>
      <w:marBottom w:val="0"/>
      <w:divBdr>
        <w:top w:val="none" w:sz="0" w:space="0" w:color="auto"/>
        <w:left w:val="none" w:sz="0" w:space="0" w:color="auto"/>
        <w:bottom w:val="none" w:sz="0" w:space="0" w:color="auto"/>
        <w:right w:val="none" w:sz="0" w:space="0" w:color="auto"/>
      </w:divBdr>
    </w:div>
    <w:div w:id="1121995000">
      <w:bodyDiv w:val="1"/>
      <w:marLeft w:val="0"/>
      <w:marRight w:val="0"/>
      <w:marTop w:val="0"/>
      <w:marBottom w:val="0"/>
      <w:divBdr>
        <w:top w:val="none" w:sz="0" w:space="0" w:color="auto"/>
        <w:left w:val="none" w:sz="0" w:space="0" w:color="auto"/>
        <w:bottom w:val="none" w:sz="0" w:space="0" w:color="auto"/>
        <w:right w:val="none" w:sz="0" w:space="0" w:color="auto"/>
      </w:divBdr>
    </w:div>
    <w:div w:id="1159810695">
      <w:bodyDiv w:val="1"/>
      <w:marLeft w:val="0"/>
      <w:marRight w:val="0"/>
      <w:marTop w:val="0"/>
      <w:marBottom w:val="0"/>
      <w:divBdr>
        <w:top w:val="none" w:sz="0" w:space="0" w:color="auto"/>
        <w:left w:val="none" w:sz="0" w:space="0" w:color="auto"/>
        <w:bottom w:val="none" w:sz="0" w:space="0" w:color="auto"/>
        <w:right w:val="none" w:sz="0" w:space="0" w:color="auto"/>
      </w:divBdr>
    </w:div>
    <w:div w:id="1166704109">
      <w:bodyDiv w:val="1"/>
      <w:marLeft w:val="0"/>
      <w:marRight w:val="0"/>
      <w:marTop w:val="0"/>
      <w:marBottom w:val="0"/>
      <w:divBdr>
        <w:top w:val="none" w:sz="0" w:space="0" w:color="auto"/>
        <w:left w:val="none" w:sz="0" w:space="0" w:color="auto"/>
        <w:bottom w:val="none" w:sz="0" w:space="0" w:color="auto"/>
        <w:right w:val="none" w:sz="0" w:space="0" w:color="auto"/>
      </w:divBdr>
      <w:divsChild>
        <w:div w:id="1673484009">
          <w:marLeft w:val="274"/>
          <w:marRight w:val="0"/>
          <w:marTop w:val="0"/>
          <w:marBottom w:val="0"/>
          <w:divBdr>
            <w:top w:val="none" w:sz="0" w:space="0" w:color="auto"/>
            <w:left w:val="none" w:sz="0" w:space="0" w:color="auto"/>
            <w:bottom w:val="none" w:sz="0" w:space="0" w:color="auto"/>
            <w:right w:val="none" w:sz="0" w:space="0" w:color="auto"/>
          </w:divBdr>
        </w:div>
      </w:divsChild>
    </w:div>
    <w:div w:id="1168790090">
      <w:bodyDiv w:val="1"/>
      <w:marLeft w:val="0"/>
      <w:marRight w:val="0"/>
      <w:marTop w:val="0"/>
      <w:marBottom w:val="0"/>
      <w:divBdr>
        <w:top w:val="none" w:sz="0" w:space="0" w:color="auto"/>
        <w:left w:val="none" w:sz="0" w:space="0" w:color="auto"/>
        <w:bottom w:val="none" w:sz="0" w:space="0" w:color="auto"/>
        <w:right w:val="none" w:sz="0" w:space="0" w:color="auto"/>
      </w:divBdr>
      <w:divsChild>
        <w:div w:id="1814561697">
          <w:marLeft w:val="547"/>
          <w:marRight w:val="0"/>
          <w:marTop w:val="0"/>
          <w:marBottom w:val="0"/>
          <w:divBdr>
            <w:top w:val="none" w:sz="0" w:space="0" w:color="auto"/>
            <w:left w:val="none" w:sz="0" w:space="0" w:color="auto"/>
            <w:bottom w:val="none" w:sz="0" w:space="0" w:color="auto"/>
            <w:right w:val="none" w:sz="0" w:space="0" w:color="auto"/>
          </w:divBdr>
        </w:div>
      </w:divsChild>
    </w:div>
    <w:div w:id="1171601887">
      <w:bodyDiv w:val="1"/>
      <w:marLeft w:val="0"/>
      <w:marRight w:val="0"/>
      <w:marTop w:val="0"/>
      <w:marBottom w:val="0"/>
      <w:divBdr>
        <w:top w:val="none" w:sz="0" w:space="0" w:color="auto"/>
        <w:left w:val="none" w:sz="0" w:space="0" w:color="auto"/>
        <w:bottom w:val="none" w:sz="0" w:space="0" w:color="auto"/>
        <w:right w:val="none" w:sz="0" w:space="0" w:color="auto"/>
      </w:divBdr>
    </w:div>
    <w:div w:id="1176765374">
      <w:bodyDiv w:val="1"/>
      <w:marLeft w:val="0"/>
      <w:marRight w:val="0"/>
      <w:marTop w:val="0"/>
      <w:marBottom w:val="0"/>
      <w:divBdr>
        <w:top w:val="none" w:sz="0" w:space="0" w:color="auto"/>
        <w:left w:val="none" w:sz="0" w:space="0" w:color="auto"/>
        <w:bottom w:val="none" w:sz="0" w:space="0" w:color="auto"/>
        <w:right w:val="none" w:sz="0" w:space="0" w:color="auto"/>
      </w:divBdr>
    </w:div>
    <w:div w:id="1199007545">
      <w:bodyDiv w:val="1"/>
      <w:marLeft w:val="0"/>
      <w:marRight w:val="0"/>
      <w:marTop w:val="0"/>
      <w:marBottom w:val="0"/>
      <w:divBdr>
        <w:top w:val="none" w:sz="0" w:space="0" w:color="auto"/>
        <w:left w:val="none" w:sz="0" w:space="0" w:color="auto"/>
        <w:bottom w:val="none" w:sz="0" w:space="0" w:color="auto"/>
        <w:right w:val="none" w:sz="0" w:space="0" w:color="auto"/>
      </w:divBdr>
      <w:divsChild>
        <w:div w:id="122232103">
          <w:marLeft w:val="547"/>
          <w:marRight w:val="0"/>
          <w:marTop w:val="0"/>
          <w:marBottom w:val="0"/>
          <w:divBdr>
            <w:top w:val="none" w:sz="0" w:space="0" w:color="auto"/>
            <w:left w:val="none" w:sz="0" w:space="0" w:color="auto"/>
            <w:bottom w:val="none" w:sz="0" w:space="0" w:color="auto"/>
            <w:right w:val="none" w:sz="0" w:space="0" w:color="auto"/>
          </w:divBdr>
        </w:div>
        <w:div w:id="794911556">
          <w:marLeft w:val="547"/>
          <w:marRight w:val="0"/>
          <w:marTop w:val="0"/>
          <w:marBottom w:val="0"/>
          <w:divBdr>
            <w:top w:val="none" w:sz="0" w:space="0" w:color="auto"/>
            <w:left w:val="none" w:sz="0" w:space="0" w:color="auto"/>
            <w:bottom w:val="none" w:sz="0" w:space="0" w:color="auto"/>
            <w:right w:val="none" w:sz="0" w:space="0" w:color="auto"/>
          </w:divBdr>
        </w:div>
      </w:divsChild>
    </w:div>
    <w:div w:id="1201238023">
      <w:bodyDiv w:val="1"/>
      <w:marLeft w:val="0"/>
      <w:marRight w:val="0"/>
      <w:marTop w:val="0"/>
      <w:marBottom w:val="0"/>
      <w:divBdr>
        <w:top w:val="none" w:sz="0" w:space="0" w:color="auto"/>
        <w:left w:val="none" w:sz="0" w:space="0" w:color="auto"/>
        <w:bottom w:val="none" w:sz="0" w:space="0" w:color="auto"/>
        <w:right w:val="none" w:sz="0" w:space="0" w:color="auto"/>
      </w:divBdr>
    </w:div>
    <w:div w:id="1235237646">
      <w:bodyDiv w:val="1"/>
      <w:marLeft w:val="0"/>
      <w:marRight w:val="0"/>
      <w:marTop w:val="0"/>
      <w:marBottom w:val="0"/>
      <w:divBdr>
        <w:top w:val="none" w:sz="0" w:space="0" w:color="auto"/>
        <w:left w:val="none" w:sz="0" w:space="0" w:color="auto"/>
        <w:bottom w:val="none" w:sz="0" w:space="0" w:color="auto"/>
        <w:right w:val="none" w:sz="0" w:space="0" w:color="auto"/>
      </w:divBdr>
    </w:div>
    <w:div w:id="1279877306">
      <w:bodyDiv w:val="1"/>
      <w:marLeft w:val="0"/>
      <w:marRight w:val="0"/>
      <w:marTop w:val="0"/>
      <w:marBottom w:val="0"/>
      <w:divBdr>
        <w:top w:val="none" w:sz="0" w:space="0" w:color="auto"/>
        <w:left w:val="none" w:sz="0" w:space="0" w:color="auto"/>
        <w:bottom w:val="none" w:sz="0" w:space="0" w:color="auto"/>
        <w:right w:val="none" w:sz="0" w:space="0" w:color="auto"/>
      </w:divBdr>
    </w:div>
    <w:div w:id="1288707044">
      <w:bodyDiv w:val="1"/>
      <w:marLeft w:val="0"/>
      <w:marRight w:val="0"/>
      <w:marTop w:val="0"/>
      <w:marBottom w:val="0"/>
      <w:divBdr>
        <w:top w:val="none" w:sz="0" w:space="0" w:color="auto"/>
        <w:left w:val="none" w:sz="0" w:space="0" w:color="auto"/>
        <w:bottom w:val="none" w:sz="0" w:space="0" w:color="auto"/>
        <w:right w:val="none" w:sz="0" w:space="0" w:color="auto"/>
      </w:divBdr>
    </w:div>
    <w:div w:id="1290360354">
      <w:bodyDiv w:val="1"/>
      <w:marLeft w:val="0"/>
      <w:marRight w:val="0"/>
      <w:marTop w:val="0"/>
      <w:marBottom w:val="0"/>
      <w:divBdr>
        <w:top w:val="none" w:sz="0" w:space="0" w:color="auto"/>
        <w:left w:val="none" w:sz="0" w:space="0" w:color="auto"/>
        <w:bottom w:val="none" w:sz="0" w:space="0" w:color="auto"/>
        <w:right w:val="none" w:sz="0" w:space="0" w:color="auto"/>
      </w:divBdr>
      <w:divsChild>
        <w:div w:id="1205101624">
          <w:marLeft w:val="547"/>
          <w:marRight w:val="0"/>
          <w:marTop w:val="0"/>
          <w:marBottom w:val="0"/>
          <w:divBdr>
            <w:top w:val="none" w:sz="0" w:space="0" w:color="auto"/>
            <w:left w:val="none" w:sz="0" w:space="0" w:color="auto"/>
            <w:bottom w:val="none" w:sz="0" w:space="0" w:color="auto"/>
            <w:right w:val="none" w:sz="0" w:space="0" w:color="auto"/>
          </w:divBdr>
        </w:div>
      </w:divsChild>
    </w:div>
    <w:div w:id="1325816953">
      <w:bodyDiv w:val="1"/>
      <w:marLeft w:val="0"/>
      <w:marRight w:val="0"/>
      <w:marTop w:val="0"/>
      <w:marBottom w:val="0"/>
      <w:divBdr>
        <w:top w:val="none" w:sz="0" w:space="0" w:color="auto"/>
        <w:left w:val="none" w:sz="0" w:space="0" w:color="auto"/>
        <w:bottom w:val="none" w:sz="0" w:space="0" w:color="auto"/>
        <w:right w:val="none" w:sz="0" w:space="0" w:color="auto"/>
      </w:divBdr>
    </w:div>
    <w:div w:id="1368946355">
      <w:bodyDiv w:val="1"/>
      <w:marLeft w:val="0"/>
      <w:marRight w:val="0"/>
      <w:marTop w:val="0"/>
      <w:marBottom w:val="0"/>
      <w:divBdr>
        <w:top w:val="none" w:sz="0" w:space="0" w:color="auto"/>
        <w:left w:val="none" w:sz="0" w:space="0" w:color="auto"/>
        <w:bottom w:val="none" w:sz="0" w:space="0" w:color="auto"/>
        <w:right w:val="none" w:sz="0" w:space="0" w:color="auto"/>
      </w:divBdr>
    </w:div>
    <w:div w:id="1373647447">
      <w:bodyDiv w:val="1"/>
      <w:marLeft w:val="0"/>
      <w:marRight w:val="0"/>
      <w:marTop w:val="0"/>
      <w:marBottom w:val="0"/>
      <w:divBdr>
        <w:top w:val="none" w:sz="0" w:space="0" w:color="auto"/>
        <w:left w:val="none" w:sz="0" w:space="0" w:color="auto"/>
        <w:bottom w:val="none" w:sz="0" w:space="0" w:color="auto"/>
        <w:right w:val="none" w:sz="0" w:space="0" w:color="auto"/>
      </w:divBdr>
      <w:divsChild>
        <w:div w:id="1198204736">
          <w:marLeft w:val="547"/>
          <w:marRight w:val="0"/>
          <w:marTop w:val="120"/>
          <w:marBottom w:val="0"/>
          <w:divBdr>
            <w:top w:val="none" w:sz="0" w:space="0" w:color="auto"/>
            <w:left w:val="none" w:sz="0" w:space="0" w:color="auto"/>
            <w:bottom w:val="none" w:sz="0" w:space="0" w:color="auto"/>
            <w:right w:val="none" w:sz="0" w:space="0" w:color="auto"/>
          </w:divBdr>
        </w:div>
      </w:divsChild>
    </w:div>
    <w:div w:id="1391885131">
      <w:bodyDiv w:val="1"/>
      <w:marLeft w:val="0"/>
      <w:marRight w:val="0"/>
      <w:marTop w:val="0"/>
      <w:marBottom w:val="0"/>
      <w:divBdr>
        <w:top w:val="none" w:sz="0" w:space="0" w:color="auto"/>
        <w:left w:val="none" w:sz="0" w:space="0" w:color="auto"/>
        <w:bottom w:val="none" w:sz="0" w:space="0" w:color="auto"/>
        <w:right w:val="none" w:sz="0" w:space="0" w:color="auto"/>
      </w:divBdr>
    </w:div>
    <w:div w:id="1442459042">
      <w:bodyDiv w:val="1"/>
      <w:marLeft w:val="0"/>
      <w:marRight w:val="0"/>
      <w:marTop w:val="0"/>
      <w:marBottom w:val="0"/>
      <w:divBdr>
        <w:top w:val="none" w:sz="0" w:space="0" w:color="auto"/>
        <w:left w:val="none" w:sz="0" w:space="0" w:color="auto"/>
        <w:bottom w:val="none" w:sz="0" w:space="0" w:color="auto"/>
        <w:right w:val="none" w:sz="0" w:space="0" w:color="auto"/>
      </w:divBdr>
      <w:divsChild>
        <w:div w:id="109403163">
          <w:marLeft w:val="1166"/>
          <w:marRight w:val="0"/>
          <w:marTop w:val="240"/>
          <w:marBottom w:val="0"/>
          <w:divBdr>
            <w:top w:val="none" w:sz="0" w:space="0" w:color="auto"/>
            <w:left w:val="none" w:sz="0" w:space="0" w:color="auto"/>
            <w:bottom w:val="none" w:sz="0" w:space="0" w:color="auto"/>
            <w:right w:val="none" w:sz="0" w:space="0" w:color="auto"/>
          </w:divBdr>
        </w:div>
        <w:div w:id="275478882">
          <w:marLeft w:val="1166"/>
          <w:marRight w:val="0"/>
          <w:marTop w:val="240"/>
          <w:marBottom w:val="0"/>
          <w:divBdr>
            <w:top w:val="none" w:sz="0" w:space="0" w:color="auto"/>
            <w:left w:val="none" w:sz="0" w:space="0" w:color="auto"/>
            <w:bottom w:val="none" w:sz="0" w:space="0" w:color="auto"/>
            <w:right w:val="none" w:sz="0" w:space="0" w:color="auto"/>
          </w:divBdr>
        </w:div>
        <w:div w:id="544946858">
          <w:marLeft w:val="1872"/>
          <w:marRight w:val="0"/>
          <w:marTop w:val="240"/>
          <w:marBottom w:val="0"/>
          <w:divBdr>
            <w:top w:val="none" w:sz="0" w:space="0" w:color="auto"/>
            <w:left w:val="none" w:sz="0" w:space="0" w:color="auto"/>
            <w:bottom w:val="none" w:sz="0" w:space="0" w:color="auto"/>
            <w:right w:val="none" w:sz="0" w:space="0" w:color="auto"/>
          </w:divBdr>
        </w:div>
        <w:div w:id="752969723">
          <w:marLeft w:val="1454"/>
          <w:marRight w:val="0"/>
          <w:marTop w:val="240"/>
          <w:marBottom w:val="0"/>
          <w:divBdr>
            <w:top w:val="none" w:sz="0" w:space="0" w:color="auto"/>
            <w:left w:val="none" w:sz="0" w:space="0" w:color="auto"/>
            <w:bottom w:val="none" w:sz="0" w:space="0" w:color="auto"/>
            <w:right w:val="none" w:sz="0" w:space="0" w:color="auto"/>
          </w:divBdr>
        </w:div>
        <w:div w:id="859318513">
          <w:marLeft w:val="1872"/>
          <w:marRight w:val="0"/>
          <w:marTop w:val="240"/>
          <w:marBottom w:val="0"/>
          <w:divBdr>
            <w:top w:val="none" w:sz="0" w:space="0" w:color="auto"/>
            <w:left w:val="none" w:sz="0" w:space="0" w:color="auto"/>
            <w:bottom w:val="none" w:sz="0" w:space="0" w:color="auto"/>
            <w:right w:val="none" w:sz="0" w:space="0" w:color="auto"/>
          </w:divBdr>
        </w:div>
        <w:div w:id="888537981">
          <w:marLeft w:val="1872"/>
          <w:marRight w:val="0"/>
          <w:marTop w:val="240"/>
          <w:marBottom w:val="0"/>
          <w:divBdr>
            <w:top w:val="none" w:sz="0" w:space="0" w:color="auto"/>
            <w:left w:val="none" w:sz="0" w:space="0" w:color="auto"/>
            <w:bottom w:val="none" w:sz="0" w:space="0" w:color="auto"/>
            <w:right w:val="none" w:sz="0" w:space="0" w:color="auto"/>
          </w:divBdr>
        </w:div>
        <w:div w:id="1556356594">
          <w:marLeft w:val="1454"/>
          <w:marRight w:val="0"/>
          <w:marTop w:val="240"/>
          <w:marBottom w:val="0"/>
          <w:divBdr>
            <w:top w:val="none" w:sz="0" w:space="0" w:color="auto"/>
            <w:left w:val="none" w:sz="0" w:space="0" w:color="auto"/>
            <w:bottom w:val="none" w:sz="0" w:space="0" w:color="auto"/>
            <w:right w:val="none" w:sz="0" w:space="0" w:color="auto"/>
          </w:divBdr>
        </w:div>
        <w:div w:id="1862622825">
          <w:marLeft w:val="1872"/>
          <w:marRight w:val="0"/>
          <w:marTop w:val="240"/>
          <w:marBottom w:val="0"/>
          <w:divBdr>
            <w:top w:val="none" w:sz="0" w:space="0" w:color="auto"/>
            <w:left w:val="none" w:sz="0" w:space="0" w:color="auto"/>
            <w:bottom w:val="none" w:sz="0" w:space="0" w:color="auto"/>
            <w:right w:val="none" w:sz="0" w:space="0" w:color="auto"/>
          </w:divBdr>
        </w:div>
        <w:div w:id="2077431771">
          <w:marLeft w:val="1872"/>
          <w:marRight w:val="0"/>
          <w:marTop w:val="240"/>
          <w:marBottom w:val="0"/>
          <w:divBdr>
            <w:top w:val="none" w:sz="0" w:space="0" w:color="auto"/>
            <w:left w:val="none" w:sz="0" w:space="0" w:color="auto"/>
            <w:bottom w:val="none" w:sz="0" w:space="0" w:color="auto"/>
            <w:right w:val="none" w:sz="0" w:space="0" w:color="auto"/>
          </w:divBdr>
        </w:div>
        <w:div w:id="2143031993">
          <w:marLeft w:val="1166"/>
          <w:marRight w:val="0"/>
          <w:marTop w:val="240"/>
          <w:marBottom w:val="0"/>
          <w:divBdr>
            <w:top w:val="none" w:sz="0" w:space="0" w:color="auto"/>
            <w:left w:val="none" w:sz="0" w:space="0" w:color="auto"/>
            <w:bottom w:val="none" w:sz="0" w:space="0" w:color="auto"/>
            <w:right w:val="none" w:sz="0" w:space="0" w:color="auto"/>
          </w:divBdr>
        </w:div>
      </w:divsChild>
    </w:div>
    <w:div w:id="1463116162">
      <w:bodyDiv w:val="1"/>
      <w:marLeft w:val="0"/>
      <w:marRight w:val="0"/>
      <w:marTop w:val="0"/>
      <w:marBottom w:val="0"/>
      <w:divBdr>
        <w:top w:val="none" w:sz="0" w:space="0" w:color="auto"/>
        <w:left w:val="none" w:sz="0" w:space="0" w:color="auto"/>
        <w:bottom w:val="none" w:sz="0" w:space="0" w:color="auto"/>
        <w:right w:val="none" w:sz="0" w:space="0" w:color="auto"/>
      </w:divBdr>
    </w:div>
    <w:div w:id="1484154835">
      <w:bodyDiv w:val="1"/>
      <w:marLeft w:val="0"/>
      <w:marRight w:val="0"/>
      <w:marTop w:val="0"/>
      <w:marBottom w:val="0"/>
      <w:divBdr>
        <w:top w:val="none" w:sz="0" w:space="0" w:color="auto"/>
        <w:left w:val="none" w:sz="0" w:space="0" w:color="auto"/>
        <w:bottom w:val="none" w:sz="0" w:space="0" w:color="auto"/>
        <w:right w:val="none" w:sz="0" w:space="0" w:color="auto"/>
      </w:divBdr>
    </w:div>
    <w:div w:id="1490050858">
      <w:bodyDiv w:val="1"/>
      <w:marLeft w:val="0"/>
      <w:marRight w:val="0"/>
      <w:marTop w:val="0"/>
      <w:marBottom w:val="0"/>
      <w:divBdr>
        <w:top w:val="none" w:sz="0" w:space="0" w:color="auto"/>
        <w:left w:val="none" w:sz="0" w:space="0" w:color="auto"/>
        <w:bottom w:val="none" w:sz="0" w:space="0" w:color="auto"/>
        <w:right w:val="none" w:sz="0" w:space="0" w:color="auto"/>
      </w:divBdr>
    </w:div>
    <w:div w:id="1529563212">
      <w:bodyDiv w:val="1"/>
      <w:marLeft w:val="0"/>
      <w:marRight w:val="0"/>
      <w:marTop w:val="0"/>
      <w:marBottom w:val="0"/>
      <w:divBdr>
        <w:top w:val="none" w:sz="0" w:space="0" w:color="auto"/>
        <w:left w:val="none" w:sz="0" w:space="0" w:color="auto"/>
        <w:bottom w:val="none" w:sz="0" w:space="0" w:color="auto"/>
        <w:right w:val="none" w:sz="0" w:space="0" w:color="auto"/>
      </w:divBdr>
    </w:div>
    <w:div w:id="1537813742">
      <w:bodyDiv w:val="1"/>
      <w:marLeft w:val="0"/>
      <w:marRight w:val="0"/>
      <w:marTop w:val="0"/>
      <w:marBottom w:val="0"/>
      <w:divBdr>
        <w:top w:val="none" w:sz="0" w:space="0" w:color="auto"/>
        <w:left w:val="none" w:sz="0" w:space="0" w:color="auto"/>
        <w:bottom w:val="none" w:sz="0" w:space="0" w:color="auto"/>
        <w:right w:val="none" w:sz="0" w:space="0" w:color="auto"/>
      </w:divBdr>
      <w:divsChild>
        <w:div w:id="98575336">
          <w:marLeft w:val="274"/>
          <w:marRight w:val="0"/>
          <w:marTop w:val="0"/>
          <w:marBottom w:val="60"/>
          <w:divBdr>
            <w:top w:val="none" w:sz="0" w:space="0" w:color="auto"/>
            <w:left w:val="none" w:sz="0" w:space="0" w:color="auto"/>
            <w:bottom w:val="none" w:sz="0" w:space="0" w:color="auto"/>
            <w:right w:val="none" w:sz="0" w:space="0" w:color="auto"/>
          </w:divBdr>
        </w:div>
        <w:div w:id="160240964">
          <w:marLeft w:val="274"/>
          <w:marRight w:val="0"/>
          <w:marTop w:val="0"/>
          <w:marBottom w:val="60"/>
          <w:divBdr>
            <w:top w:val="none" w:sz="0" w:space="0" w:color="auto"/>
            <w:left w:val="none" w:sz="0" w:space="0" w:color="auto"/>
            <w:bottom w:val="none" w:sz="0" w:space="0" w:color="auto"/>
            <w:right w:val="none" w:sz="0" w:space="0" w:color="auto"/>
          </w:divBdr>
        </w:div>
      </w:divsChild>
    </w:div>
    <w:div w:id="1540584825">
      <w:bodyDiv w:val="1"/>
      <w:marLeft w:val="0"/>
      <w:marRight w:val="0"/>
      <w:marTop w:val="0"/>
      <w:marBottom w:val="0"/>
      <w:divBdr>
        <w:top w:val="none" w:sz="0" w:space="0" w:color="auto"/>
        <w:left w:val="none" w:sz="0" w:space="0" w:color="auto"/>
        <w:bottom w:val="none" w:sz="0" w:space="0" w:color="auto"/>
        <w:right w:val="none" w:sz="0" w:space="0" w:color="auto"/>
      </w:divBdr>
    </w:div>
    <w:div w:id="1567104803">
      <w:bodyDiv w:val="1"/>
      <w:marLeft w:val="0"/>
      <w:marRight w:val="0"/>
      <w:marTop w:val="0"/>
      <w:marBottom w:val="0"/>
      <w:divBdr>
        <w:top w:val="none" w:sz="0" w:space="0" w:color="auto"/>
        <w:left w:val="none" w:sz="0" w:space="0" w:color="auto"/>
        <w:bottom w:val="none" w:sz="0" w:space="0" w:color="auto"/>
        <w:right w:val="none" w:sz="0" w:space="0" w:color="auto"/>
      </w:divBdr>
      <w:divsChild>
        <w:div w:id="756942294">
          <w:marLeft w:val="446"/>
          <w:marRight w:val="0"/>
          <w:marTop w:val="0"/>
          <w:marBottom w:val="0"/>
          <w:divBdr>
            <w:top w:val="none" w:sz="0" w:space="0" w:color="auto"/>
            <w:left w:val="none" w:sz="0" w:space="0" w:color="auto"/>
            <w:bottom w:val="none" w:sz="0" w:space="0" w:color="auto"/>
            <w:right w:val="none" w:sz="0" w:space="0" w:color="auto"/>
          </w:divBdr>
        </w:div>
      </w:divsChild>
    </w:div>
    <w:div w:id="1592351313">
      <w:bodyDiv w:val="1"/>
      <w:marLeft w:val="0"/>
      <w:marRight w:val="0"/>
      <w:marTop w:val="0"/>
      <w:marBottom w:val="0"/>
      <w:divBdr>
        <w:top w:val="none" w:sz="0" w:space="0" w:color="auto"/>
        <w:left w:val="none" w:sz="0" w:space="0" w:color="auto"/>
        <w:bottom w:val="none" w:sz="0" w:space="0" w:color="auto"/>
        <w:right w:val="none" w:sz="0" w:space="0" w:color="auto"/>
      </w:divBdr>
      <w:divsChild>
        <w:div w:id="1698581331">
          <w:marLeft w:val="1166"/>
          <w:marRight w:val="0"/>
          <w:marTop w:val="0"/>
          <w:marBottom w:val="0"/>
          <w:divBdr>
            <w:top w:val="none" w:sz="0" w:space="0" w:color="auto"/>
            <w:left w:val="none" w:sz="0" w:space="0" w:color="auto"/>
            <w:bottom w:val="none" w:sz="0" w:space="0" w:color="auto"/>
            <w:right w:val="none" w:sz="0" w:space="0" w:color="auto"/>
          </w:divBdr>
        </w:div>
      </w:divsChild>
    </w:div>
    <w:div w:id="1609198009">
      <w:bodyDiv w:val="1"/>
      <w:marLeft w:val="0"/>
      <w:marRight w:val="0"/>
      <w:marTop w:val="0"/>
      <w:marBottom w:val="0"/>
      <w:divBdr>
        <w:top w:val="none" w:sz="0" w:space="0" w:color="auto"/>
        <w:left w:val="none" w:sz="0" w:space="0" w:color="auto"/>
        <w:bottom w:val="none" w:sz="0" w:space="0" w:color="auto"/>
        <w:right w:val="none" w:sz="0" w:space="0" w:color="auto"/>
      </w:divBdr>
    </w:div>
    <w:div w:id="1632709434">
      <w:bodyDiv w:val="1"/>
      <w:marLeft w:val="0"/>
      <w:marRight w:val="0"/>
      <w:marTop w:val="0"/>
      <w:marBottom w:val="0"/>
      <w:divBdr>
        <w:top w:val="none" w:sz="0" w:space="0" w:color="auto"/>
        <w:left w:val="none" w:sz="0" w:space="0" w:color="auto"/>
        <w:bottom w:val="none" w:sz="0" w:space="0" w:color="auto"/>
        <w:right w:val="none" w:sz="0" w:space="0" w:color="auto"/>
      </w:divBdr>
    </w:div>
    <w:div w:id="1633899268">
      <w:bodyDiv w:val="1"/>
      <w:marLeft w:val="0"/>
      <w:marRight w:val="0"/>
      <w:marTop w:val="0"/>
      <w:marBottom w:val="0"/>
      <w:divBdr>
        <w:top w:val="none" w:sz="0" w:space="0" w:color="auto"/>
        <w:left w:val="none" w:sz="0" w:space="0" w:color="auto"/>
        <w:bottom w:val="none" w:sz="0" w:space="0" w:color="auto"/>
        <w:right w:val="none" w:sz="0" w:space="0" w:color="auto"/>
      </w:divBdr>
    </w:div>
    <w:div w:id="1642272242">
      <w:bodyDiv w:val="1"/>
      <w:marLeft w:val="0"/>
      <w:marRight w:val="0"/>
      <w:marTop w:val="0"/>
      <w:marBottom w:val="0"/>
      <w:divBdr>
        <w:top w:val="none" w:sz="0" w:space="0" w:color="auto"/>
        <w:left w:val="none" w:sz="0" w:space="0" w:color="auto"/>
        <w:bottom w:val="none" w:sz="0" w:space="0" w:color="auto"/>
        <w:right w:val="none" w:sz="0" w:space="0" w:color="auto"/>
      </w:divBdr>
      <w:divsChild>
        <w:div w:id="1868641566">
          <w:marLeft w:val="288"/>
          <w:marRight w:val="0"/>
          <w:marTop w:val="240"/>
          <w:marBottom w:val="0"/>
          <w:divBdr>
            <w:top w:val="none" w:sz="0" w:space="0" w:color="auto"/>
            <w:left w:val="none" w:sz="0" w:space="0" w:color="auto"/>
            <w:bottom w:val="none" w:sz="0" w:space="0" w:color="auto"/>
            <w:right w:val="none" w:sz="0" w:space="0" w:color="auto"/>
          </w:divBdr>
        </w:div>
      </w:divsChild>
    </w:div>
    <w:div w:id="1652785142">
      <w:bodyDiv w:val="1"/>
      <w:marLeft w:val="0"/>
      <w:marRight w:val="0"/>
      <w:marTop w:val="0"/>
      <w:marBottom w:val="0"/>
      <w:divBdr>
        <w:top w:val="none" w:sz="0" w:space="0" w:color="auto"/>
        <w:left w:val="none" w:sz="0" w:space="0" w:color="auto"/>
        <w:bottom w:val="none" w:sz="0" w:space="0" w:color="auto"/>
        <w:right w:val="none" w:sz="0" w:space="0" w:color="auto"/>
      </w:divBdr>
    </w:div>
    <w:div w:id="1660039225">
      <w:bodyDiv w:val="1"/>
      <w:marLeft w:val="0"/>
      <w:marRight w:val="0"/>
      <w:marTop w:val="0"/>
      <w:marBottom w:val="0"/>
      <w:divBdr>
        <w:top w:val="none" w:sz="0" w:space="0" w:color="auto"/>
        <w:left w:val="none" w:sz="0" w:space="0" w:color="auto"/>
        <w:bottom w:val="none" w:sz="0" w:space="0" w:color="auto"/>
        <w:right w:val="none" w:sz="0" w:space="0" w:color="auto"/>
      </w:divBdr>
    </w:div>
    <w:div w:id="1681542986">
      <w:bodyDiv w:val="1"/>
      <w:marLeft w:val="0"/>
      <w:marRight w:val="0"/>
      <w:marTop w:val="0"/>
      <w:marBottom w:val="0"/>
      <w:divBdr>
        <w:top w:val="none" w:sz="0" w:space="0" w:color="auto"/>
        <w:left w:val="none" w:sz="0" w:space="0" w:color="auto"/>
        <w:bottom w:val="none" w:sz="0" w:space="0" w:color="auto"/>
        <w:right w:val="none" w:sz="0" w:space="0" w:color="auto"/>
      </w:divBdr>
    </w:div>
    <w:div w:id="1689788822">
      <w:bodyDiv w:val="1"/>
      <w:marLeft w:val="0"/>
      <w:marRight w:val="0"/>
      <w:marTop w:val="0"/>
      <w:marBottom w:val="0"/>
      <w:divBdr>
        <w:top w:val="none" w:sz="0" w:space="0" w:color="auto"/>
        <w:left w:val="none" w:sz="0" w:space="0" w:color="auto"/>
        <w:bottom w:val="none" w:sz="0" w:space="0" w:color="auto"/>
        <w:right w:val="none" w:sz="0" w:space="0" w:color="auto"/>
      </w:divBdr>
      <w:divsChild>
        <w:div w:id="42995481">
          <w:marLeft w:val="562"/>
          <w:marRight w:val="0"/>
          <w:marTop w:val="67"/>
          <w:marBottom w:val="0"/>
          <w:divBdr>
            <w:top w:val="none" w:sz="0" w:space="0" w:color="auto"/>
            <w:left w:val="none" w:sz="0" w:space="0" w:color="auto"/>
            <w:bottom w:val="none" w:sz="0" w:space="0" w:color="auto"/>
            <w:right w:val="none" w:sz="0" w:space="0" w:color="auto"/>
          </w:divBdr>
        </w:div>
        <w:div w:id="80105300">
          <w:marLeft w:val="562"/>
          <w:marRight w:val="0"/>
          <w:marTop w:val="67"/>
          <w:marBottom w:val="0"/>
          <w:divBdr>
            <w:top w:val="none" w:sz="0" w:space="0" w:color="auto"/>
            <w:left w:val="none" w:sz="0" w:space="0" w:color="auto"/>
            <w:bottom w:val="none" w:sz="0" w:space="0" w:color="auto"/>
            <w:right w:val="none" w:sz="0" w:space="0" w:color="auto"/>
          </w:divBdr>
        </w:div>
        <w:div w:id="147282843">
          <w:marLeft w:val="562"/>
          <w:marRight w:val="0"/>
          <w:marTop w:val="67"/>
          <w:marBottom w:val="0"/>
          <w:divBdr>
            <w:top w:val="none" w:sz="0" w:space="0" w:color="auto"/>
            <w:left w:val="none" w:sz="0" w:space="0" w:color="auto"/>
            <w:bottom w:val="none" w:sz="0" w:space="0" w:color="auto"/>
            <w:right w:val="none" w:sz="0" w:space="0" w:color="auto"/>
          </w:divBdr>
        </w:div>
        <w:div w:id="356779572">
          <w:marLeft w:val="274"/>
          <w:marRight w:val="0"/>
          <w:marTop w:val="120"/>
          <w:marBottom w:val="0"/>
          <w:divBdr>
            <w:top w:val="none" w:sz="0" w:space="0" w:color="auto"/>
            <w:left w:val="none" w:sz="0" w:space="0" w:color="auto"/>
            <w:bottom w:val="none" w:sz="0" w:space="0" w:color="auto"/>
            <w:right w:val="none" w:sz="0" w:space="0" w:color="auto"/>
          </w:divBdr>
        </w:div>
        <w:div w:id="1057511614">
          <w:marLeft w:val="562"/>
          <w:marRight w:val="0"/>
          <w:marTop w:val="67"/>
          <w:marBottom w:val="0"/>
          <w:divBdr>
            <w:top w:val="none" w:sz="0" w:space="0" w:color="auto"/>
            <w:left w:val="none" w:sz="0" w:space="0" w:color="auto"/>
            <w:bottom w:val="none" w:sz="0" w:space="0" w:color="auto"/>
            <w:right w:val="none" w:sz="0" w:space="0" w:color="auto"/>
          </w:divBdr>
        </w:div>
        <w:div w:id="1137337726">
          <w:marLeft w:val="274"/>
          <w:marRight w:val="0"/>
          <w:marTop w:val="120"/>
          <w:marBottom w:val="0"/>
          <w:divBdr>
            <w:top w:val="none" w:sz="0" w:space="0" w:color="auto"/>
            <w:left w:val="none" w:sz="0" w:space="0" w:color="auto"/>
            <w:bottom w:val="none" w:sz="0" w:space="0" w:color="auto"/>
            <w:right w:val="none" w:sz="0" w:space="0" w:color="auto"/>
          </w:divBdr>
        </w:div>
        <w:div w:id="1387101363">
          <w:marLeft w:val="274"/>
          <w:marRight w:val="0"/>
          <w:marTop w:val="120"/>
          <w:marBottom w:val="0"/>
          <w:divBdr>
            <w:top w:val="none" w:sz="0" w:space="0" w:color="auto"/>
            <w:left w:val="none" w:sz="0" w:space="0" w:color="auto"/>
            <w:bottom w:val="none" w:sz="0" w:space="0" w:color="auto"/>
            <w:right w:val="none" w:sz="0" w:space="0" w:color="auto"/>
          </w:divBdr>
        </w:div>
        <w:div w:id="1629631112">
          <w:marLeft w:val="562"/>
          <w:marRight w:val="0"/>
          <w:marTop w:val="67"/>
          <w:marBottom w:val="0"/>
          <w:divBdr>
            <w:top w:val="none" w:sz="0" w:space="0" w:color="auto"/>
            <w:left w:val="none" w:sz="0" w:space="0" w:color="auto"/>
            <w:bottom w:val="none" w:sz="0" w:space="0" w:color="auto"/>
            <w:right w:val="none" w:sz="0" w:space="0" w:color="auto"/>
          </w:divBdr>
        </w:div>
        <w:div w:id="1741365153">
          <w:marLeft w:val="274"/>
          <w:marRight w:val="0"/>
          <w:marTop w:val="120"/>
          <w:marBottom w:val="0"/>
          <w:divBdr>
            <w:top w:val="none" w:sz="0" w:space="0" w:color="auto"/>
            <w:left w:val="none" w:sz="0" w:space="0" w:color="auto"/>
            <w:bottom w:val="none" w:sz="0" w:space="0" w:color="auto"/>
            <w:right w:val="none" w:sz="0" w:space="0" w:color="auto"/>
          </w:divBdr>
        </w:div>
      </w:divsChild>
    </w:div>
    <w:div w:id="1694182219">
      <w:bodyDiv w:val="1"/>
      <w:marLeft w:val="0"/>
      <w:marRight w:val="0"/>
      <w:marTop w:val="0"/>
      <w:marBottom w:val="0"/>
      <w:divBdr>
        <w:top w:val="none" w:sz="0" w:space="0" w:color="auto"/>
        <w:left w:val="none" w:sz="0" w:space="0" w:color="auto"/>
        <w:bottom w:val="none" w:sz="0" w:space="0" w:color="auto"/>
        <w:right w:val="none" w:sz="0" w:space="0" w:color="auto"/>
      </w:divBdr>
      <w:divsChild>
        <w:div w:id="654770512">
          <w:marLeft w:val="547"/>
          <w:marRight w:val="0"/>
          <w:marTop w:val="0"/>
          <w:marBottom w:val="0"/>
          <w:divBdr>
            <w:top w:val="none" w:sz="0" w:space="0" w:color="auto"/>
            <w:left w:val="none" w:sz="0" w:space="0" w:color="auto"/>
            <w:bottom w:val="none" w:sz="0" w:space="0" w:color="auto"/>
            <w:right w:val="none" w:sz="0" w:space="0" w:color="auto"/>
          </w:divBdr>
        </w:div>
      </w:divsChild>
    </w:div>
    <w:div w:id="1714306994">
      <w:bodyDiv w:val="1"/>
      <w:marLeft w:val="0"/>
      <w:marRight w:val="0"/>
      <w:marTop w:val="0"/>
      <w:marBottom w:val="0"/>
      <w:divBdr>
        <w:top w:val="none" w:sz="0" w:space="0" w:color="auto"/>
        <w:left w:val="none" w:sz="0" w:space="0" w:color="auto"/>
        <w:bottom w:val="none" w:sz="0" w:space="0" w:color="auto"/>
        <w:right w:val="none" w:sz="0" w:space="0" w:color="auto"/>
      </w:divBdr>
    </w:div>
    <w:div w:id="1718627711">
      <w:bodyDiv w:val="1"/>
      <w:marLeft w:val="0"/>
      <w:marRight w:val="0"/>
      <w:marTop w:val="0"/>
      <w:marBottom w:val="0"/>
      <w:divBdr>
        <w:top w:val="none" w:sz="0" w:space="0" w:color="auto"/>
        <w:left w:val="none" w:sz="0" w:space="0" w:color="auto"/>
        <w:bottom w:val="none" w:sz="0" w:space="0" w:color="auto"/>
        <w:right w:val="none" w:sz="0" w:space="0" w:color="auto"/>
      </w:divBdr>
    </w:div>
    <w:div w:id="1719623536">
      <w:bodyDiv w:val="1"/>
      <w:marLeft w:val="0"/>
      <w:marRight w:val="0"/>
      <w:marTop w:val="0"/>
      <w:marBottom w:val="0"/>
      <w:divBdr>
        <w:top w:val="none" w:sz="0" w:space="0" w:color="auto"/>
        <w:left w:val="none" w:sz="0" w:space="0" w:color="auto"/>
        <w:bottom w:val="none" w:sz="0" w:space="0" w:color="auto"/>
        <w:right w:val="none" w:sz="0" w:space="0" w:color="auto"/>
      </w:divBdr>
    </w:div>
    <w:div w:id="1726949251">
      <w:bodyDiv w:val="1"/>
      <w:marLeft w:val="0"/>
      <w:marRight w:val="0"/>
      <w:marTop w:val="0"/>
      <w:marBottom w:val="0"/>
      <w:divBdr>
        <w:top w:val="none" w:sz="0" w:space="0" w:color="auto"/>
        <w:left w:val="none" w:sz="0" w:space="0" w:color="auto"/>
        <w:bottom w:val="none" w:sz="0" w:space="0" w:color="auto"/>
        <w:right w:val="none" w:sz="0" w:space="0" w:color="auto"/>
      </w:divBdr>
    </w:div>
    <w:div w:id="1735619016">
      <w:bodyDiv w:val="1"/>
      <w:marLeft w:val="0"/>
      <w:marRight w:val="0"/>
      <w:marTop w:val="0"/>
      <w:marBottom w:val="0"/>
      <w:divBdr>
        <w:top w:val="none" w:sz="0" w:space="0" w:color="auto"/>
        <w:left w:val="none" w:sz="0" w:space="0" w:color="auto"/>
        <w:bottom w:val="none" w:sz="0" w:space="0" w:color="auto"/>
        <w:right w:val="none" w:sz="0" w:space="0" w:color="auto"/>
      </w:divBdr>
    </w:div>
    <w:div w:id="1760521921">
      <w:bodyDiv w:val="1"/>
      <w:marLeft w:val="0"/>
      <w:marRight w:val="0"/>
      <w:marTop w:val="0"/>
      <w:marBottom w:val="0"/>
      <w:divBdr>
        <w:top w:val="none" w:sz="0" w:space="0" w:color="auto"/>
        <w:left w:val="none" w:sz="0" w:space="0" w:color="auto"/>
        <w:bottom w:val="none" w:sz="0" w:space="0" w:color="auto"/>
        <w:right w:val="none" w:sz="0" w:space="0" w:color="auto"/>
      </w:divBdr>
    </w:div>
    <w:div w:id="1785079335">
      <w:bodyDiv w:val="1"/>
      <w:marLeft w:val="0"/>
      <w:marRight w:val="0"/>
      <w:marTop w:val="0"/>
      <w:marBottom w:val="0"/>
      <w:divBdr>
        <w:top w:val="none" w:sz="0" w:space="0" w:color="auto"/>
        <w:left w:val="none" w:sz="0" w:space="0" w:color="auto"/>
        <w:bottom w:val="none" w:sz="0" w:space="0" w:color="auto"/>
        <w:right w:val="none" w:sz="0" w:space="0" w:color="auto"/>
      </w:divBdr>
    </w:div>
    <w:div w:id="1812282995">
      <w:bodyDiv w:val="1"/>
      <w:marLeft w:val="0"/>
      <w:marRight w:val="0"/>
      <w:marTop w:val="0"/>
      <w:marBottom w:val="0"/>
      <w:divBdr>
        <w:top w:val="none" w:sz="0" w:space="0" w:color="auto"/>
        <w:left w:val="none" w:sz="0" w:space="0" w:color="auto"/>
        <w:bottom w:val="none" w:sz="0" w:space="0" w:color="auto"/>
        <w:right w:val="none" w:sz="0" w:space="0" w:color="auto"/>
      </w:divBdr>
    </w:div>
    <w:div w:id="1812819484">
      <w:bodyDiv w:val="1"/>
      <w:marLeft w:val="0"/>
      <w:marRight w:val="0"/>
      <w:marTop w:val="0"/>
      <w:marBottom w:val="0"/>
      <w:divBdr>
        <w:top w:val="none" w:sz="0" w:space="0" w:color="auto"/>
        <w:left w:val="none" w:sz="0" w:space="0" w:color="auto"/>
        <w:bottom w:val="none" w:sz="0" w:space="0" w:color="auto"/>
        <w:right w:val="none" w:sz="0" w:space="0" w:color="auto"/>
      </w:divBdr>
    </w:div>
    <w:div w:id="1828010810">
      <w:bodyDiv w:val="1"/>
      <w:marLeft w:val="0"/>
      <w:marRight w:val="0"/>
      <w:marTop w:val="0"/>
      <w:marBottom w:val="0"/>
      <w:divBdr>
        <w:top w:val="none" w:sz="0" w:space="0" w:color="auto"/>
        <w:left w:val="none" w:sz="0" w:space="0" w:color="auto"/>
        <w:bottom w:val="none" w:sz="0" w:space="0" w:color="auto"/>
        <w:right w:val="none" w:sz="0" w:space="0" w:color="auto"/>
      </w:divBdr>
    </w:div>
    <w:div w:id="1848515907">
      <w:bodyDiv w:val="1"/>
      <w:marLeft w:val="0"/>
      <w:marRight w:val="0"/>
      <w:marTop w:val="0"/>
      <w:marBottom w:val="0"/>
      <w:divBdr>
        <w:top w:val="none" w:sz="0" w:space="0" w:color="auto"/>
        <w:left w:val="none" w:sz="0" w:space="0" w:color="auto"/>
        <w:bottom w:val="none" w:sz="0" w:space="0" w:color="auto"/>
        <w:right w:val="none" w:sz="0" w:space="0" w:color="auto"/>
      </w:divBdr>
    </w:div>
    <w:div w:id="1849754883">
      <w:bodyDiv w:val="1"/>
      <w:marLeft w:val="0"/>
      <w:marRight w:val="0"/>
      <w:marTop w:val="0"/>
      <w:marBottom w:val="0"/>
      <w:divBdr>
        <w:top w:val="none" w:sz="0" w:space="0" w:color="auto"/>
        <w:left w:val="none" w:sz="0" w:space="0" w:color="auto"/>
        <w:bottom w:val="none" w:sz="0" w:space="0" w:color="auto"/>
        <w:right w:val="none" w:sz="0" w:space="0" w:color="auto"/>
      </w:divBdr>
    </w:div>
    <w:div w:id="1852453361">
      <w:bodyDiv w:val="1"/>
      <w:marLeft w:val="0"/>
      <w:marRight w:val="0"/>
      <w:marTop w:val="0"/>
      <w:marBottom w:val="0"/>
      <w:divBdr>
        <w:top w:val="none" w:sz="0" w:space="0" w:color="auto"/>
        <w:left w:val="none" w:sz="0" w:space="0" w:color="auto"/>
        <w:bottom w:val="none" w:sz="0" w:space="0" w:color="auto"/>
        <w:right w:val="none" w:sz="0" w:space="0" w:color="auto"/>
      </w:divBdr>
      <w:divsChild>
        <w:div w:id="2098205643">
          <w:marLeft w:val="547"/>
          <w:marRight w:val="0"/>
          <w:marTop w:val="0"/>
          <w:marBottom w:val="0"/>
          <w:divBdr>
            <w:top w:val="none" w:sz="0" w:space="0" w:color="auto"/>
            <w:left w:val="none" w:sz="0" w:space="0" w:color="auto"/>
            <w:bottom w:val="none" w:sz="0" w:space="0" w:color="auto"/>
            <w:right w:val="none" w:sz="0" w:space="0" w:color="auto"/>
          </w:divBdr>
        </w:div>
      </w:divsChild>
    </w:div>
    <w:div w:id="1876506660">
      <w:bodyDiv w:val="1"/>
      <w:marLeft w:val="0"/>
      <w:marRight w:val="0"/>
      <w:marTop w:val="0"/>
      <w:marBottom w:val="0"/>
      <w:divBdr>
        <w:top w:val="none" w:sz="0" w:space="0" w:color="auto"/>
        <w:left w:val="none" w:sz="0" w:space="0" w:color="auto"/>
        <w:bottom w:val="none" w:sz="0" w:space="0" w:color="auto"/>
        <w:right w:val="none" w:sz="0" w:space="0" w:color="auto"/>
      </w:divBdr>
    </w:div>
    <w:div w:id="1894535637">
      <w:bodyDiv w:val="1"/>
      <w:marLeft w:val="0"/>
      <w:marRight w:val="0"/>
      <w:marTop w:val="0"/>
      <w:marBottom w:val="0"/>
      <w:divBdr>
        <w:top w:val="none" w:sz="0" w:space="0" w:color="auto"/>
        <w:left w:val="none" w:sz="0" w:space="0" w:color="auto"/>
        <w:bottom w:val="none" w:sz="0" w:space="0" w:color="auto"/>
        <w:right w:val="none" w:sz="0" w:space="0" w:color="auto"/>
      </w:divBdr>
    </w:div>
    <w:div w:id="2000379712">
      <w:bodyDiv w:val="1"/>
      <w:marLeft w:val="0"/>
      <w:marRight w:val="0"/>
      <w:marTop w:val="0"/>
      <w:marBottom w:val="0"/>
      <w:divBdr>
        <w:top w:val="none" w:sz="0" w:space="0" w:color="auto"/>
        <w:left w:val="none" w:sz="0" w:space="0" w:color="auto"/>
        <w:bottom w:val="none" w:sz="0" w:space="0" w:color="auto"/>
        <w:right w:val="none" w:sz="0" w:space="0" w:color="auto"/>
      </w:divBdr>
      <w:divsChild>
        <w:div w:id="1201018024">
          <w:marLeft w:val="446"/>
          <w:marRight w:val="0"/>
          <w:marTop w:val="0"/>
          <w:marBottom w:val="0"/>
          <w:divBdr>
            <w:top w:val="none" w:sz="0" w:space="0" w:color="auto"/>
            <w:left w:val="none" w:sz="0" w:space="0" w:color="auto"/>
            <w:bottom w:val="none" w:sz="0" w:space="0" w:color="auto"/>
            <w:right w:val="none" w:sz="0" w:space="0" w:color="auto"/>
          </w:divBdr>
        </w:div>
      </w:divsChild>
    </w:div>
    <w:div w:id="2017345729">
      <w:bodyDiv w:val="1"/>
      <w:marLeft w:val="0"/>
      <w:marRight w:val="0"/>
      <w:marTop w:val="0"/>
      <w:marBottom w:val="0"/>
      <w:divBdr>
        <w:top w:val="none" w:sz="0" w:space="0" w:color="auto"/>
        <w:left w:val="none" w:sz="0" w:space="0" w:color="auto"/>
        <w:bottom w:val="none" w:sz="0" w:space="0" w:color="auto"/>
        <w:right w:val="none" w:sz="0" w:space="0" w:color="auto"/>
      </w:divBdr>
    </w:div>
    <w:div w:id="2018540154">
      <w:bodyDiv w:val="1"/>
      <w:marLeft w:val="0"/>
      <w:marRight w:val="0"/>
      <w:marTop w:val="0"/>
      <w:marBottom w:val="0"/>
      <w:divBdr>
        <w:top w:val="none" w:sz="0" w:space="0" w:color="auto"/>
        <w:left w:val="none" w:sz="0" w:space="0" w:color="auto"/>
        <w:bottom w:val="none" w:sz="0" w:space="0" w:color="auto"/>
        <w:right w:val="none" w:sz="0" w:space="0" w:color="auto"/>
      </w:divBdr>
    </w:div>
    <w:div w:id="2029671431">
      <w:bodyDiv w:val="1"/>
      <w:marLeft w:val="0"/>
      <w:marRight w:val="0"/>
      <w:marTop w:val="0"/>
      <w:marBottom w:val="0"/>
      <w:divBdr>
        <w:top w:val="none" w:sz="0" w:space="0" w:color="auto"/>
        <w:left w:val="none" w:sz="0" w:space="0" w:color="auto"/>
        <w:bottom w:val="none" w:sz="0" w:space="0" w:color="auto"/>
        <w:right w:val="none" w:sz="0" w:space="0" w:color="auto"/>
      </w:divBdr>
    </w:div>
    <w:div w:id="2038047488">
      <w:bodyDiv w:val="1"/>
      <w:marLeft w:val="0"/>
      <w:marRight w:val="0"/>
      <w:marTop w:val="0"/>
      <w:marBottom w:val="0"/>
      <w:divBdr>
        <w:top w:val="none" w:sz="0" w:space="0" w:color="auto"/>
        <w:left w:val="none" w:sz="0" w:space="0" w:color="auto"/>
        <w:bottom w:val="none" w:sz="0" w:space="0" w:color="auto"/>
        <w:right w:val="none" w:sz="0" w:space="0" w:color="auto"/>
      </w:divBdr>
    </w:div>
    <w:div w:id="2076589882">
      <w:bodyDiv w:val="1"/>
      <w:marLeft w:val="0"/>
      <w:marRight w:val="0"/>
      <w:marTop w:val="0"/>
      <w:marBottom w:val="0"/>
      <w:divBdr>
        <w:top w:val="none" w:sz="0" w:space="0" w:color="auto"/>
        <w:left w:val="none" w:sz="0" w:space="0" w:color="auto"/>
        <w:bottom w:val="none" w:sz="0" w:space="0" w:color="auto"/>
        <w:right w:val="none" w:sz="0" w:space="0" w:color="auto"/>
      </w:divBdr>
      <w:divsChild>
        <w:div w:id="238255626">
          <w:marLeft w:val="0"/>
          <w:marRight w:val="0"/>
          <w:marTop w:val="0"/>
          <w:marBottom w:val="0"/>
          <w:divBdr>
            <w:top w:val="none" w:sz="0" w:space="0" w:color="auto"/>
            <w:left w:val="none" w:sz="0" w:space="0" w:color="auto"/>
            <w:bottom w:val="none" w:sz="0" w:space="0" w:color="auto"/>
            <w:right w:val="none" w:sz="0" w:space="0" w:color="auto"/>
          </w:divBdr>
          <w:divsChild>
            <w:div w:id="1745831464">
              <w:marLeft w:val="0"/>
              <w:marRight w:val="0"/>
              <w:marTop w:val="0"/>
              <w:marBottom w:val="0"/>
              <w:divBdr>
                <w:top w:val="none" w:sz="0" w:space="0" w:color="auto"/>
                <w:left w:val="none" w:sz="0" w:space="0" w:color="auto"/>
                <w:bottom w:val="none" w:sz="0" w:space="0" w:color="auto"/>
                <w:right w:val="none" w:sz="0" w:space="0" w:color="auto"/>
              </w:divBdr>
              <w:divsChild>
                <w:div w:id="181625802">
                  <w:marLeft w:val="0"/>
                  <w:marRight w:val="0"/>
                  <w:marTop w:val="0"/>
                  <w:marBottom w:val="0"/>
                  <w:divBdr>
                    <w:top w:val="none" w:sz="0" w:space="0" w:color="auto"/>
                    <w:left w:val="none" w:sz="0" w:space="0" w:color="auto"/>
                    <w:bottom w:val="none" w:sz="0" w:space="0" w:color="auto"/>
                    <w:right w:val="none" w:sz="0" w:space="0" w:color="auto"/>
                  </w:divBdr>
                  <w:divsChild>
                    <w:div w:id="1528719908">
                      <w:marLeft w:val="0"/>
                      <w:marRight w:val="0"/>
                      <w:marTop w:val="0"/>
                      <w:marBottom w:val="0"/>
                      <w:divBdr>
                        <w:top w:val="none" w:sz="0" w:space="0" w:color="auto"/>
                        <w:left w:val="none" w:sz="0" w:space="0" w:color="auto"/>
                        <w:bottom w:val="none" w:sz="0" w:space="0" w:color="auto"/>
                        <w:right w:val="none" w:sz="0" w:space="0" w:color="auto"/>
                      </w:divBdr>
                      <w:divsChild>
                        <w:div w:id="851380270">
                          <w:marLeft w:val="0"/>
                          <w:marRight w:val="0"/>
                          <w:marTop w:val="0"/>
                          <w:marBottom w:val="0"/>
                          <w:divBdr>
                            <w:top w:val="none" w:sz="0" w:space="0" w:color="auto"/>
                            <w:left w:val="none" w:sz="0" w:space="0" w:color="auto"/>
                            <w:bottom w:val="none" w:sz="0" w:space="0" w:color="auto"/>
                            <w:right w:val="none" w:sz="0" w:space="0" w:color="auto"/>
                          </w:divBdr>
                          <w:divsChild>
                            <w:div w:id="453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07411">
      <w:bodyDiv w:val="1"/>
      <w:marLeft w:val="0"/>
      <w:marRight w:val="0"/>
      <w:marTop w:val="0"/>
      <w:marBottom w:val="0"/>
      <w:divBdr>
        <w:top w:val="none" w:sz="0" w:space="0" w:color="auto"/>
        <w:left w:val="none" w:sz="0" w:space="0" w:color="auto"/>
        <w:bottom w:val="none" w:sz="0" w:space="0" w:color="auto"/>
        <w:right w:val="none" w:sz="0" w:space="0" w:color="auto"/>
      </w:divBdr>
      <w:divsChild>
        <w:div w:id="823547716">
          <w:marLeft w:val="547"/>
          <w:marRight w:val="0"/>
          <w:marTop w:val="0"/>
          <w:marBottom w:val="0"/>
          <w:divBdr>
            <w:top w:val="none" w:sz="0" w:space="0" w:color="auto"/>
            <w:left w:val="none" w:sz="0" w:space="0" w:color="auto"/>
            <w:bottom w:val="none" w:sz="0" w:space="0" w:color="auto"/>
            <w:right w:val="none" w:sz="0" w:space="0" w:color="auto"/>
          </w:divBdr>
        </w:div>
      </w:divsChild>
    </w:div>
    <w:div w:id="2115515022">
      <w:bodyDiv w:val="1"/>
      <w:marLeft w:val="0"/>
      <w:marRight w:val="0"/>
      <w:marTop w:val="0"/>
      <w:marBottom w:val="0"/>
      <w:divBdr>
        <w:top w:val="none" w:sz="0" w:space="0" w:color="auto"/>
        <w:left w:val="none" w:sz="0" w:space="0" w:color="auto"/>
        <w:bottom w:val="none" w:sz="0" w:space="0" w:color="auto"/>
        <w:right w:val="none" w:sz="0" w:space="0" w:color="auto"/>
      </w:divBdr>
    </w:div>
    <w:div w:id="21431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tat.banque-france.fr/en/browse.do?node=53843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ngfisher.com/sustainability" TargetMode="External"/><Relationship Id="rId4" Type="http://schemas.openxmlformats.org/officeDocument/2006/relationships/settings" Target="settings.xml"/><Relationship Id="rId9" Type="http://schemas.openxmlformats.org/officeDocument/2006/relationships/hyperlink" Target="http://www.kingfish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E242-73CE-475D-8360-8D025F1B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8671</Words>
  <Characters>46339</Characters>
  <Application>Microsoft Office Word</Application>
  <DocSecurity>0</DocSecurity>
  <Lines>1660</Lines>
  <Paragraphs>896</Paragraphs>
  <ScaleCrop>false</ScaleCrop>
  <HeadingPairs>
    <vt:vector size="2" baseType="variant">
      <vt:variant>
        <vt:lpstr>Title</vt:lpstr>
      </vt:variant>
      <vt:variant>
        <vt:i4>1</vt:i4>
      </vt:variant>
    </vt:vector>
  </HeadingPairs>
  <TitlesOfParts>
    <vt:vector size="1" baseType="lpstr">
      <vt:lpstr>EMBARGOED UNTIL 0700 HOURS</vt:lpstr>
    </vt:vector>
  </TitlesOfParts>
  <Company>Grizli777</Company>
  <LinksUpToDate>false</LinksUpToDate>
  <CharactersWithSpaces>54300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0700 HOURS</dc:title>
  <dc:subject/>
  <dc:creator>Cowley, Christian</dc:creator>
  <cp:keywords/>
  <cp:lastModifiedBy>Willett, Sarah</cp:lastModifiedBy>
  <cp:revision>5</cp:revision>
  <cp:lastPrinted>2018-03-20T18:36:00Z</cp:lastPrinted>
  <dcterms:created xsi:type="dcterms:W3CDTF">2018-03-20T17:51:00Z</dcterms:created>
  <dcterms:modified xsi:type="dcterms:W3CDTF">2018-03-20T18:37:00Z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507887978</vt:i4>
  </property>
</Properties>
</file>