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0EDD" w14:textId="3A36C835" w:rsidR="002D541F" w:rsidRDefault="00F764D3" w:rsidP="007739DD">
      <w:pPr>
        <w:jc w:val="center"/>
        <w:rPr>
          <w:rFonts w:ascii="Arial" w:hAnsi="Arial" w:cs="Arial"/>
          <w:b/>
        </w:rPr>
      </w:pPr>
      <w:bookmarkStart w:id="0" w:name="_GoBack"/>
      <w:bookmarkEnd w:id="0"/>
      <w:proofErr w:type="gramStart"/>
      <w:r w:rsidRPr="00A845B7">
        <w:rPr>
          <w:rFonts w:ascii="Arial" w:hAnsi="Arial" w:cs="Arial"/>
          <w:b/>
        </w:rPr>
        <w:t xml:space="preserve">Final </w:t>
      </w:r>
      <w:r w:rsidR="009D7DE0" w:rsidRPr="00A845B7">
        <w:rPr>
          <w:rFonts w:ascii="Arial" w:hAnsi="Arial" w:cs="Arial"/>
          <w:b/>
        </w:rPr>
        <w:t>results</w:t>
      </w:r>
      <w:proofErr w:type="gramEnd"/>
      <w:r w:rsidR="009D7DE0" w:rsidRPr="00A845B7">
        <w:rPr>
          <w:rFonts w:ascii="Arial" w:hAnsi="Arial" w:cs="Arial"/>
          <w:b/>
        </w:rPr>
        <w:t xml:space="preserve"> </w:t>
      </w:r>
      <w:r w:rsidR="00DF23DF" w:rsidRPr="00A845B7">
        <w:rPr>
          <w:rFonts w:ascii="Arial" w:hAnsi="Arial" w:cs="Arial"/>
          <w:b/>
        </w:rPr>
        <w:t>for</w:t>
      </w:r>
      <w:r w:rsidR="00A359EE" w:rsidRPr="00A845B7">
        <w:rPr>
          <w:rFonts w:ascii="Arial" w:hAnsi="Arial" w:cs="Arial"/>
          <w:b/>
        </w:rPr>
        <w:t xml:space="preserve"> </w:t>
      </w:r>
      <w:r w:rsidRPr="00A845B7">
        <w:rPr>
          <w:rFonts w:ascii="Arial" w:hAnsi="Arial" w:cs="Arial"/>
          <w:b/>
        </w:rPr>
        <w:t>year</w:t>
      </w:r>
      <w:r w:rsidR="00DF23DF" w:rsidRPr="00A845B7">
        <w:rPr>
          <w:rFonts w:ascii="Arial" w:hAnsi="Arial" w:cs="Arial"/>
          <w:b/>
        </w:rPr>
        <w:t xml:space="preserve"> </w:t>
      </w:r>
      <w:r w:rsidR="009D7DE0" w:rsidRPr="00A845B7">
        <w:rPr>
          <w:rFonts w:ascii="Arial" w:hAnsi="Arial" w:cs="Arial"/>
          <w:b/>
        </w:rPr>
        <w:t xml:space="preserve">ended </w:t>
      </w:r>
      <w:r w:rsidR="00686549" w:rsidRPr="00A845B7">
        <w:rPr>
          <w:rFonts w:ascii="Arial" w:hAnsi="Arial" w:cs="Arial"/>
          <w:b/>
        </w:rPr>
        <w:t xml:space="preserve">31 </w:t>
      </w:r>
      <w:r w:rsidRPr="00A845B7">
        <w:rPr>
          <w:rFonts w:ascii="Arial" w:hAnsi="Arial" w:cs="Arial"/>
          <w:b/>
        </w:rPr>
        <w:t>January 201</w:t>
      </w:r>
      <w:r w:rsidR="00431AC5">
        <w:rPr>
          <w:rFonts w:ascii="Arial" w:hAnsi="Arial" w:cs="Arial"/>
          <w:b/>
        </w:rPr>
        <w:t>9</w:t>
      </w:r>
      <w:r w:rsidR="000669CD">
        <w:rPr>
          <w:rFonts w:ascii="Arial" w:hAnsi="Arial" w:cs="Arial"/>
          <w:b/>
        </w:rPr>
        <w:t xml:space="preserve"> </w:t>
      </w:r>
    </w:p>
    <w:p w14:paraId="0DC91BC4" w14:textId="77777777" w:rsidR="00AB7A37" w:rsidRDefault="00AB7A37" w:rsidP="00926779">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633"/>
      </w:tblGrid>
      <w:tr w:rsidR="00A45362" w14:paraId="30095226" w14:textId="77777777" w:rsidTr="00A45362">
        <w:tc>
          <w:tcPr>
            <w:tcW w:w="9631" w:type="dxa"/>
          </w:tcPr>
          <w:tbl>
            <w:tblPr>
              <w:tblStyle w:val="TableGrid"/>
              <w:tblW w:w="9417" w:type="dxa"/>
              <w:tblLook w:val="04A0" w:firstRow="1" w:lastRow="0" w:firstColumn="1" w:lastColumn="0" w:noHBand="0" w:noVBand="1"/>
            </w:tblPr>
            <w:tblGrid>
              <w:gridCol w:w="2825"/>
              <w:gridCol w:w="1195"/>
              <w:gridCol w:w="1526"/>
              <w:gridCol w:w="1441"/>
              <w:gridCol w:w="1232"/>
              <w:gridCol w:w="1198"/>
            </w:tblGrid>
            <w:tr w:rsidR="00A45362" w14:paraId="49136A01" w14:textId="77777777" w:rsidTr="00D72F65">
              <w:trPr>
                <w:trHeight w:val="567"/>
              </w:trPr>
              <w:tc>
                <w:tcPr>
                  <w:tcW w:w="5562" w:type="dxa"/>
                  <w:gridSpan w:val="3"/>
                  <w:tcBorders>
                    <w:top w:val="nil"/>
                    <w:left w:val="nil"/>
                    <w:bottom w:val="single" w:sz="4" w:space="0" w:color="auto"/>
                    <w:right w:val="nil"/>
                  </w:tcBorders>
                  <w:vAlign w:val="center"/>
                </w:tcPr>
                <w:p w14:paraId="280D8C1A" w14:textId="77777777" w:rsidR="00A45362" w:rsidRPr="00360541" w:rsidRDefault="00A45362" w:rsidP="00D72F65">
                  <w:pPr>
                    <w:jc w:val="left"/>
                    <w:rPr>
                      <w:sz w:val="22"/>
                      <w:szCs w:val="22"/>
                    </w:rPr>
                  </w:pPr>
                  <w:r w:rsidRPr="00360541">
                    <w:rPr>
                      <w:rFonts w:ascii="Arial" w:hAnsi="Arial" w:cs="Arial"/>
                      <w:b/>
                      <w:bCs/>
                      <w:sz w:val="22"/>
                      <w:szCs w:val="22"/>
                    </w:rPr>
                    <w:t>Financial highlights</w:t>
                  </w:r>
                </w:p>
              </w:tc>
              <w:tc>
                <w:tcPr>
                  <w:tcW w:w="1455" w:type="dxa"/>
                  <w:tcBorders>
                    <w:top w:val="nil"/>
                    <w:left w:val="nil"/>
                    <w:bottom w:val="single" w:sz="4" w:space="0" w:color="auto"/>
                    <w:right w:val="nil"/>
                  </w:tcBorders>
                  <w:vAlign w:val="center"/>
                </w:tcPr>
                <w:p w14:paraId="5083B3DA" w14:textId="77777777" w:rsidR="00A45362" w:rsidRPr="00360541" w:rsidRDefault="00A45362" w:rsidP="000B0B60">
                  <w:pPr>
                    <w:jc w:val="right"/>
                    <w:rPr>
                      <w:rFonts w:ascii="Arial" w:hAnsi="Arial" w:cs="Arial"/>
                      <w:b/>
                      <w:bCs/>
                      <w:sz w:val="22"/>
                      <w:szCs w:val="22"/>
                    </w:rPr>
                  </w:pPr>
                  <w:r w:rsidRPr="00360541">
                    <w:rPr>
                      <w:rFonts w:ascii="Arial" w:hAnsi="Arial" w:cs="Arial"/>
                      <w:b/>
                      <w:bCs/>
                      <w:sz w:val="22"/>
                      <w:szCs w:val="22"/>
                    </w:rPr>
                    <w:t xml:space="preserve">% Total </w:t>
                  </w:r>
                </w:p>
                <w:p w14:paraId="6797837E" w14:textId="6B0FCDBE" w:rsidR="00A45362" w:rsidRPr="00360541" w:rsidRDefault="00A45362" w:rsidP="00497CC5">
                  <w:pPr>
                    <w:jc w:val="right"/>
                    <w:rPr>
                      <w:sz w:val="22"/>
                      <w:szCs w:val="22"/>
                    </w:rPr>
                  </w:pPr>
                  <w:r w:rsidRPr="00360541">
                    <w:rPr>
                      <w:rFonts w:ascii="Arial" w:hAnsi="Arial" w:cs="Arial"/>
                      <w:b/>
                      <w:bCs/>
                      <w:sz w:val="22"/>
                      <w:szCs w:val="22"/>
                    </w:rPr>
                    <w:t>Change</w:t>
                  </w:r>
                </w:p>
              </w:tc>
              <w:tc>
                <w:tcPr>
                  <w:tcW w:w="1200" w:type="dxa"/>
                  <w:tcBorders>
                    <w:top w:val="nil"/>
                    <w:left w:val="nil"/>
                    <w:bottom w:val="single" w:sz="4" w:space="0" w:color="auto"/>
                    <w:right w:val="nil"/>
                  </w:tcBorders>
                  <w:vAlign w:val="center"/>
                </w:tcPr>
                <w:p w14:paraId="1A8FFD68" w14:textId="77777777" w:rsidR="00A45362" w:rsidRPr="00360541" w:rsidRDefault="00A45362" w:rsidP="006307A7">
                  <w:pPr>
                    <w:jc w:val="right"/>
                    <w:rPr>
                      <w:sz w:val="22"/>
                      <w:szCs w:val="22"/>
                    </w:rPr>
                  </w:pPr>
                  <w:r w:rsidRPr="00360541">
                    <w:rPr>
                      <w:rFonts w:ascii="Arial" w:hAnsi="Arial" w:cs="Arial"/>
                      <w:b/>
                      <w:bCs/>
                      <w:sz w:val="22"/>
                      <w:szCs w:val="22"/>
                    </w:rPr>
                    <w:t>% Total Change</w:t>
                  </w:r>
                </w:p>
              </w:tc>
              <w:tc>
                <w:tcPr>
                  <w:tcW w:w="1200" w:type="dxa"/>
                  <w:tcBorders>
                    <w:top w:val="nil"/>
                    <w:left w:val="nil"/>
                    <w:bottom w:val="single" w:sz="4" w:space="0" w:color="auto"/>
                    <w:right w:val="nil"/>
                  </w:tcBorders>
                  <w:vAlign w:val="center"/>
                </w:tcPr>
                <w:p w14:paraId="166558FC" w14:textId="77777777" w:rsidR="00A45362" w:rsidRPr="00360541" w:rsidRDefault="00A45362">
                  <w:pPr>
                    <w:ind w:right="33"/>
                    <w:jc w:val="right"/>
                    <w:rPr>
                      <w:sz w:val="22"/>
                      <w:szCs w:val="22"/>
                    </w:rPr>
                  </w:pPr>
                  <w:r w:rsidRPr="00360541">
                    <w:rPr>
                      <w:rFonts w:ascii="Arial" w:hAnsi="Arial" w:cs="Arial"/>
                      <w:b/>
                      <w:bCs/>
                      <w:sz w:val="22"/>
                      <w:szCs w:val="22"/>
                    </w:rPr>
                    <w:t>% LFL* Change</w:t>
                  </w:r>
                </w:p>
              </w:tc>
            </w:tr>
            <w:tr w:rsidR="009A797D" w14:paraId="63C296C0" w14:textId="77777777" w:rsidTr="00D86BB6">
              <w:trPr>
                <w:trHeight w:val="539"/>
              </w:trPr>
              <w:tc>
                <w:tcPr>
                  <w:tcW w:w="2912" w:type="dxa"/>
                  <w:tcBorders>
                    <w:top w:val="single" w:sz="4" w:space="0" w:color="auto"/>
                    <w:left w:val="nil"/>
                    <w:bottom w:val="single" w:sz="4" w:space="0" w:color="auto"/>
                    <w:right w:val="nil"/>
                  </w:tcBorders>
                </w:tcPr>
                <w:p w14:paraId="08D67385" w14:textId="77777777" w:rsidR="00A45362" w:rsidRPr="00AF307A" w:rsidRDefault="00A45362" w:rsidP="00A45362"/>
              </w:tc>
              <w:tc>
                <w:tcPr>
                  <w:tcW w:w="1106" w:type="dxa"/>
                  <w:tcBorders>
                    <w:top w:val="single" w:sz="4" w:space="0" w:color="auto"/>
                    <w:left w:val="nil"/>
                    <w:bottom w:val="single" w:sz="4" w:space="0" w:color="auto"/>
                    <w:right w:val="nil"/>
                  </w:tcBorders>
                </w:tcPr>
                <w:p w14:paraId="261A6FEA" w14:textId="3D609349" w:rsidR="00A45362" w:rsidRPr="00B83BCA" w:rsidRDefault="00A45362" w:rsidP="00A45362">
                  <w:pPr>
                    <w:jc w:val="right"/>
                    <w:rPr>
                      <w:rFonts w:ascii="Arial" w:hAnsi="Arial" w:cs="Arial"/>
                      <w:b/>
                      <w:bCs/>
                      <w:sz w:val="22"/>
                    </w:rPr>
                  </w:pPr>
                  <w:r w:rsidRPr="00B83BCA">
                    <w:rPr>
                      <w:rFonts w:ascii="Arial" w:hAnsi="Arial" w:cs="Arial"/>
                      <w:b/>
                      <w:bCs/>
                      <w:sz w:val="22"/>
                    </w:rPr>
                    <w:t>201</w:t>
                  </w:r>
                  <w:r w:rsidR="00431AC5" w:rsidRPr="00B83BCA">
                    <w:rPr>
                      <w:rFonts w:ascii="Arial" w:hAnsi="Arial" w:cs="Arial"/>
                      <w:b/>
                      <w:bCs/>
                      <w:sz w:val="22"/>
                    </w:rPr>
                    <w:t>8</w:t>
                  </w:r>
                  <w:r w:rsidRPr="00B83BCA">
                    <w:rPr>
                      <w:rFonts w:ascii="Arial" w:hAnsi="Arial" w:cs="Arial"/>
                      <w:b/>
                      <w:bCs/>
                      <w:sz w:val="22"/>
                    </w:rPr>
                    <w:t>/1</w:t>
                  </w:r>
                  <w:r w:rsidR="00431AC5" w:rsidRPr="00B83BCA">
                    <w:rPr>
                      <w:rFonts w:ascii="Arial" w:hAnsi="Arial" w:cs="Arial"/>
                      <w:b/>
                      <w:bCs/>
                      <w:sz w:val="22"/>
                    </w:rPr>
                    <w:t>9</w:t>
                  </w:r>
                </w:p>
                <w:p w14:paraId="5F441921" w14:textId="77777777" w:rsidR="00A45362" w:rsidRPr="00B83BCA" w:rsidRDefault="00A45362" w:rsidP="00A45362">
                  <w:pPr>
                    <w:jc w:val="right"/>
                    <w:rPr>
                      <w:sz w:val="22"/>
                    </w:rPr>
                  </w:pPr>
                </w:p>
              </w:tc>
              <w:tc>
                <w:tcPr>
                  <w:tcW w:w="1544" w:type="dxa"/>
                  <w:tcBorders>
                    <w:top w:val="single" w:sz="4" w:space="0" w:color="auto"/>
                    <w:left w:val="nil"/>
                    <w:bottom w:val="single" w:sz="4" w:space="0" w:color="auto"/>
                    <w:right w:val="nil"/>
                  </w:tcBorders>
                </w:tcPr>
                <w:p w14:paraId="5284FEDF" w14:textId="25ADC13E" w:rsidR="00A45362" w:rsidRPr="00360541" w:rsidRDefault="00A45362" w:rsidP="00A45362">
                  <w:pPr>
                    <w:jc w:val="right"/>
                    <w:rPr>
                      <w:rFonts w:ascii="Arial" w:hAnsi="Arial" w:cs="Arial"/>
                      <w:b/>
                      <w:bCs/>
                      <w:sz w:val="22"/>
                      <w:szCs w:val="22"/>
                    </w:rPr>
                  </w:pPr>
                  <w:r w:rsidRPr="00360541">
                    <w:rPr>
                      <w:rFonts w:ascii="Arial" w:hAnsi="Arial" w:cs="Arial"/>
                      <w:b/>
                      <w:bCs/>
                      <w:sz w:val="22"/>
                      <w:szCs w:val="22"/>
                    </w:rPr>
                    <w:t>201</w:t>
                  </w:r>
                  <w:r w:rsidR="00431AC5" w:rsidRPr="00360541">
                    <w:rPr>
                      <w:rFonts w:ascii="Arial" w:hAnsi="Arial" w:cs="Arial"/>
                      <w:b/>
                      <w:bCs/>
                      <w:sz w:val="22"/>
                      <w:szCs w:val="22"/>
                    </w:rPr>
                    <w:t>7</w:t>
                  </w:r>
                  <w:r w:rsidRPr="00360541">
                    <w:rPr>
                      <w:rFonts w:ascii="Arial" w:hAnsi="Arial" w:cs="Arial"/>
                      <w:b/>
                      <w:bCs/>
                      <w:sz w:val="22"/>
                      <w:szCs w:val="22"/>
                    </w:rPr>
                    <w:t>/1</w:t>
                  </w:r>
                  <w:r w:rsidR="00431AC5" w:rsidRPr="00360541">
                    <w:rPr>
                      <w:rFonts w:ascii="Arial" w:hAnsi="Arial" w:cs="Arial"/>
                      <w:b/>
                      <w:bCs/>
                      <w:sz w:val="22"/>
                      <w:szCs w:val="22"/>
                    </w:rPr>
                    <w:t>8</w:t>
                  </w:r>
                </w:p>
                <w:p w14:paraId="5332A2D4" w14:textId="77777777" w:rsidR="00A45362" w:rsidRPr="00360541" w:rsidRDefault="00A45362" w:rsidP="00A45362">
                  <w:pPr>
                    <w:jc w:val="right"/>
                    <w:rPr>
                      <w:sz w:val="22"/>
                      <w:szCs w:val="22"/>
                    </w:rPr>
                  </w:pPr>
                </w:p>
              </w:tc>
              <w:tc>
                <w:tcPr>
                  <w:tcW w:w="1455" w:type="dxa"/>
                  <w:tcBorders>
                    <w:top w:val="single" w:sz="4" w:space="0" w:color="auto"/>
                    <w:left w:val="nil"/>
                    <w:bottom w:val="single" w:sz="4" w:space="0" w:color="auto"/>
                    <w:right w:val="nil"/>
                  </w:tcBorders>
                </w:tcPr>
                <w:p w14:paraId="589D757B" w14:textId="77777777" w:rsidR="00A45362" w:rsidRPr="00360541" w:rsidRDefault="00A45362" w:rsidP="00A45362">
                  <w:pPr>
                    <w:jc w:val="right"/>
                    <w:rPr>
                      <w:sz w:val="22"/>
                      <w:szCs w:val="22"/>
                    </w:rPr>
                  </w:pPr>
                  <w:r w:rsidRPr="00360541">
                    <w:rPr>
                      <w:rFonts w:ascii="Arial" w:hAnsi="Arial" w:cs="Arial"/>
                      <w:b/>
                      <w:bCs/>
                      <w:sz w:val="22"/>
                      <w:szCs w:val="22"/>
                    </w:rPr>
                    <w:t>Reported</w:t>
                  </w:r>
                </w:p>
              </w:tc>
              <w:tc>
                <w:tcPr>
                  <w:tcW w:w="1200" w:type="dxa"/>
                  <w:tcBorders>
                    <w:top w:val="single" w:sz="4" w:space="0" w:color="auto"/>
                    <w:left w:val="nil"/>
                    <w:bottom w:val="single" w:sz="4" w:space="0" w:color="auto"/>
                    <w:right w:val="nil"/>
                  </w:tcBorders>
                </w:tcPr>
                <w:p w14:paraId="2BB0E10D" w14:textId="63DCF665" w:rsidR="00A45362" w:rsidRPr="00360541" w:rsidRDefault="00A45362" w:rsidP="00A45362">
                  <w:pPr>
                    <w:jc w:val="right"/>
                    <w:rPr>
                      <w:sz w:val="22"/>
                      <w:szCs w:val="22"/>
                    </w:rPr>
                  </w:pPr>
                  <w:r w:rsidRPr="00360541">
                    <w:rPr>
                      <w:rFonts w:ascii="Arial" w:hAnsi="Arial" w:cs="Arial"/>
                      <w:b/>
                      <w:bCs/>
                      <w:sz w:val="22"/>
                      <w:szCs w:val="22"/>
                    </w:rPr>
                    <w:t>Constant currency</w:t>
                  </w:r>
                  <w:r w:rsidR="00E57DE9" w:rsidRPr="00360541">
                    <w:rPr>
                      <w:rFonts w:ascii="Arial" w:hAnsi="Arial" w:cs="Arial"/>
                      <w:b/>
                      <w:bCs/>
                      <w:sz w:val="22"/>
                      <w:szCs w:val="22"/>
                    </w:rPr>
                    <w:t>*</w:t>
                  </w:r>
                </w:p>
              </w:tc>
              <w:tc>
                <w:tcPr>
                  <w:tcW w:w="1200" w:type="dxa"/>
                  <w:tcBorders>
                    <w:top w:val="single" w:sz="4" w:space="0" w:color="auto"/>
                    <w:left w:val="nil"/>
                    <w:bottom w:val="single" w:sz="4" w:space="0" w:color="auto"/>
                    <w:right w:val="nil"/>
                  </w:tcBorders>
                </w:tcPr>
                <w:p w14:paraId="3BB682BE" w14:textId="77777777" w:rsidR="00A45362" w:rsidRPr="00360541" w:rsidRDefault="00A45362" w:rsidP="00A45362">
                  <w:pPr>
                    <w:jc w:val="right"/>
                    <w:rPr>
                      <w:sz w:val="22"/>
                      <w:szCs w:val="22"/>
                    </w:rPr>
                  </w:pPr>
                  <w:r w:rsidRPr="00360541">
                    <w:rPr>
                      <w:rFonts w:ascii="Arial" w:hAnsi="Arial" w:cs="Arial"/>
                      <w:b/>
                      <w:bCs/>
                      <w:sz w:val="22"/>
                      <w:szCs w:val="22"/>
                    </w:rPr>
                    <w:t>Constant currency</w:t>
                  </w:r>
                </w:p>
              </w:tc>
            </w:tr>
            <w:tr w:rsidR="009A797D" w14:paraId="08398247" w14:textId="77777777" w:rsidTr="00D86BB6">
              <w:trPr>
                <w:trHeight w:val="269"/>
              </w:trPr>
              <w:tc>
                <w:tcPr>
                  <w:tcW w:w="2912" w:type="dxa"/>
                  <w:tcBorders>
                    <w:top w:val="single" w:sz="4" w:space="0" w:color="auto"/>
                    <w:left w:val="nil"/>
                    <w:bottom w:val="nil"/>
                    <w:right w:val="nil"/>
                  </w:tcBorders>
                </w:tcPr>
                <w:p w14:paraId="3B1E3AE3" w14:textId="35105C49" w:rsidR="00A45362" w:rsidRPr="00360541" w:rsidRDefault="00B5184B" w:rsidP="00A45362">
                  <w:pPr>
                    <w:jc w:val="left"/>
                    <w:rPr>
                      <w:rFonts w:ascii="Arial" w:hAnsi="Arial" w:cs="Arial"/>
                      <w:sz w:val="22"/>
                      <w:szCs w:val="22"/>
                    </w:rPr>
                  </w:pPr>
                  <w:r w:rsidRPr="00360541">
                    <w:rPr>
                      <w:rFonts w:ascii="Arial" w:hAnsi="Arial" w:cs="Arial"/>
                      <w:sz w:val="22"/>
                      <w:szCs w:val="22"/>
                    </w:rPr>
                    <w:t>S</w:t>
                  </w:r>
                  <w:r w:rsidR="00A45362" w:rsidRPr="00360541">
                    <w:rPr>
                      <w:rFonts w:ascii="Arial" w:hAnsi="Arial" w:cs="Arial"/>
                      <w:sz w:val="22"/>
                      <w:szCs w:val="22"/>
                    </w:rPr>
                    <w:t>ales*</w:t>
                  </w:r>
                </w:p>
              </w:tc>
              <w:tc>
                <w:tcPr>
                  <w:tcW w:w="1106" w:type="dxa"/>
                  <w:tcBorders>
                    <w:top w:val="single" w:sz="4" w:space="0" w:color="auto"/>
                    <w:left w:val="nil"/>
                    <w:bottom w:val="nil"/>
                    <w:right w:val="nil"/>
                  </w:tcBorders>
                </w:tcPr>
                <w:p w14:paraId="11C5E8F7" w14:textId="15DB2651" w:rsidR="00A45362" w:rsidRPr="00360541" w:rsidRDefault="00A45362" w:rsidP="00A45362">
                  <w:pPr>
                    <w:jc w:val="right"/>
                    <w:rPr>
                      <w:rFonts w:ascii="Arial" w:hAnsi="Arial" w:cs="Arial"/>
                      <w:sz w:val="22"/>
                      <w:szCs w:val="22"/>
                      <w:highlight w:val="yellow"/>
                    </w:rPr>
                  </w:pPr>
                  <w:r w:rsidRPr="00360541">
                    <w:rPr>
                      <w:rFonts w:ascii="Arial" w:hAnsi="Arial" w:cs="Arial"/>
                      <w:sz w:val="22"/>
                      <w:szCs w:val="22"/>
                    </w:rPr>
                    <w:t>£</w:t>
                  </w:r>
                  <w:r w:rsidR="00253C4D" w:rsidRPr="00360541">
                    <w:rPr>
                      <w:rFonts w:ascii="Arial" w:hAnsi="Arial" w:cs="Arial"/>
                      <w:sz w:val="22"/>
                      <w:szCs w:val="22"/>
                    </w:rPr>
                    <w:t>11,</w:t>
                  </w:r>
                  <w:r w:rsidR="008D1EF2" w:rsidRPr="00360541">
                    <w:rPr>
                      <w:rFonts w:ascii="Arial" w:hAnsi="Arial" w:cs="Arial"/>
                      <w:sz w:val="22"/>
                      <w:szCs w:val="22"/>
                    </w:rPr>
                    <w:t>6</w:t>
                  </w:r>
                  <w:r w:rsidR="00BE7CC9" w:rsidRPr="00360541">
                    <w:rPr>
                      <w:rFonts w:ascii="Arial" w:hAnsi="Arial" w:cs="Arial"/>
                      <w:sz w:val="22"/>
                      <w:szCs w:val="22"/>
                    </w:rPr>
                    <w:t>8</w:t>
                  </w:r>
                  <w:r w:rsidR="008D1EF2" w:rsidRPr="00360541">
                    <w:rPr>
                      <w:rFonts w:ascii="Arial" w:hAnsi="Arial" w:cs="Arial"/>
                      <w:sz w:val="22"/>
                      <w:szCs w:val="22"/>
                    </w:rPr>
                    <w:t>5</w:t>
                  </w:r>
                  <w:r w:rsidR="00253C4D" w:rsidRPr="00360541">
                    <w:rPr>
                      <w:rFonts w:ascii="Arial" w:hAnsi="Arial" w:cs="Arial"/>
                      <w:sz w:val="22"/>
                      <w:szCs w:val="22"/>
                    </w:rPr>
                    <w:t>m</w:t>
                  </w:r>
                </w:p>
              </w:tc>
              <w:tc>
                <w:tcPr>
                  <w:tcW w:w="1544" w:type="dxa"/>
                  <w:tcBorders>
                    <w:top w:val="single" w:sz="4" w:space="0" w:color="auto"/>
                    <w:left w:val="nil"/>
                    <w:bottom w:val="nil"/>
                    <w:right w:val="nil"/>
                  </w:tcBorders>
                </w:tcPr>
                <w:p w14:paraId="7086FEAE" w14:textId="1359AD26" w:rsidR="00A45362" w:rsidRPr="00360541" w:rsidRDefault="00A45362">
                  <w:pPr>
                    <w:jc w:val="right"/>
                    <w:rPr>
                      <w:rFonts w:ascii="Arial" w:hAnsi="Arial" w:cs="Arial"/>
                      <w:sz w:val="22"/>
                      <w:szCs w:val="22"/>
                    </w:rPr>
                  </w:pPr>
                  <w:r w:rsidRPr="00360541">
                    <w:rPr>
                      <w:rFonts w:ascii="Arial" w:hAnsi="Arial" w:cs="Arial"/>
                      <w:sz w:val="22"/>
                      <w:szCs w:val="22"/>
                    </w:rPr>
                    <w:t>£</w:t>
                  </w:r>
                  <w:r w:rsidR="0008206F" w:rsidRPr="00360541">
                    <w:rPr>
                      <w:rFonts w:ascii="Arial" w:hAnsi="Arial" w:cs="Arial"/>
                      <w:sz w:val="22"/>
                      <w:szCs w:val="22"/>
                    </w:rPr>
                    <w:t>1</w:t>
                  </w:r>
                  <w:r w:rsidR="00290B48" w:rsidRPr="00360541">
                    <w:rPr>
                      <w:rFonts w:ascii="Arial" w:hAnsi="Arial" w:cs="Arial"/>
                      <w:sz w:val="22"/>
                      <w:szCs w:val="22"/>
                    </w:rPr>
                    <w:t>1</w:t>
                  </w:r>
                  <w:r w:rsidR="0008206F" w:rsidRPr="00360541">
                    <w:rPr>
                      <w:rFonts w:ascii="Arial" w:hAnsi="Arial" w:cs="Arial"/>
                      <w:sz w:val="22"/>
                      <w:szCs w:val="22"/>
                    </w:rPr>
                    <w:t>,</w:t>
                  </w:r>
                  <w:r w:rsidR="00431AC5" w:rsidRPr="00360541">
                    <w:rPr>
                      <w:rFonts w:ascii="Arial" w:hAnsi="Arial" w:cs="Arial"/>
                      <w:sz w:val="22"/>
                      <w:szCs w:val="22"/>
                    </w:rPr>
                    <w:t>65</w:t>
                  </w:r>
                  <w:r w:rsidR="00290B48" w:rsidRPr="00360541">
                    <w:rPr>
                      <w:rFonts w:ascii="Arial" w:hAnsi="Arial" w:cs="Arial"/>
                      <w:sz w:val="22"/>
                      <w:szCs w:val="22"/>
                    </w:rPr>
                    <w:t>5m</w:t>
                  </w:r>
                </w:p>
              </w:tc>
              <w:tc>
                <w:tcPr>
                  <w:tcW w:w="1455" w:type="dxa"/>
                  <w:tcBorders>
                    <w:top w:val="single" w:sz="4" w:space="0" w:color="auto"/>
                    <w:left w:val="nil"/>
                    <w:bottom w:val="nil"/>
                    <w:right w:val="nil"/>
                  </w:tcBorders>
                </w:tcPr>
                <w:p w14:paraId="05E546D6" w14:textId="23901138" w:rsidR="00A45362" w:rsidRPr="00360541" w:rsidRDefault="009A797D" w:rsidP="00A45362">
                  <w:pPr>
                    <w:jc w:val="right"/>
                    <w:rPr>
                      <w:rFonts w:ascii="Arial" w:hAnsi="Arial" w:cs="Arial"/>
                      <w:sz w:val="22"/>
                      <w:szCs w:val="22"/>
                      <w:highlight w:val="yellow"/>
                    </w:rPr>
                  </w:pPr>
                  <w:r w:rsidRPr="00360541">
                    <w:rPr>
                      <w:rFonts w:ascii="Arial" w:hAnsi="Arial" w:cs="Arial"/>
                      <w:sz w:val="22"/>
                      <w:szCs w:val="22"/>
                    </w:rPr>
                    <w:t>+</w:t>
                  </w:r>
                  <w:r w:rsidR="00BE7CC9" w:rsidRPr="00360541">
                    <w:rPr>
                      <w:rFonts w:ascii="Arial" w:hAnsi="Arial" w:cs="Arial"/>
                      <w:sz w:val="22"/>
                      <w:szCs w:val="22"/>
                    </w:rPr>
                    <w:t>0</w:t>
                  </w:r>
                  <w:r w:rsidR="00263FE7" w:rsidRPr="00360541">
                    <w:rPr>
                      <w:rFonts w:ascii="Arial" w:hAnsi="Arial" w:cs="Arial"/>
                      <w:sz w:val="22"/>
                      <w:szCs w:val="22"/>
                    </w:rPr>
                    <w:t>.</w:t>
                  </w:r>
                  <w:r w:rsidR="00BE7CC9" w:rsidRPr="00360541">
                    <w:rPr>
                      <w:rFonts w:ascii="Arial" w:hAnsi="Arial" w:cs="Arial"/>
                      <w:sz w:val="22"/>
                      <w:szCs w:val="22"/>
                    </w:rPr>
                    <w:t>3</w:t>
                  </w:r>
                  <w:r w:rsidRPr="00360541">
                    <w:rPr>
                      <w:rFonts w:ascii="Arial" w:hAnsi="Arial" w:cs="Arial"/>
                      <w:sz w:val="22"/>
                      <w:szCs w:val="22"/>
                    </w:rPr>
                    <w:t>%</w:t>
                  </w:r>
                </w:p>
              </w:tc>
              <w:tc>
                <w:tcPr>
                  <w:tcW w:w="1200" w:type="dxa"/>
                  <w:tcBorders>
                    <w:top w:val="single" w:sz="4" w:space="0" w:color="auto"/>
                    <w:left w:val="nil"/>
                    <w:bottom w:val="nil"/>
                    <w:right w:val="nil"/>
                  </w:tcBorders>
                </w:tcPr>
                <w:p w14:paraId="47DB2954" w14:textId="0F5C4AC0" w:rsidR="00A45362" w:rsidRPr="00360541" w:rsidRDefault="00BE7CC9" w:rsidP="00A45362">
                  <w:pPr>
                    <w:jc w:val="right"/>
                    <w:rPr>
                      <w:rFonts w:ascii="Arial" w:hAnsi="Arial" w:cs="Arial"/>
                      <w:sz w:val="22"/>
                      <w:szCs w:val="22"/>
                      <w:highlight w:val="yellow"/>
                    </w:rPr>
                  </w:pPr>
                  <w:r w:rsidRPr="00360541">
                    <w:rPr>
                      <w:rFonts w:ascii="Arial" w:hAnsi="Arial" w:cs="Arial"/>
                      <w:sz w:val="22"/>
                      <w:szCs w:val="22"/>
                    </w:rPr>
                    <w:t>+</w:t>
                  </w:r>
                  <w:r w:rsidR="008D1EF2" w:rsidRPr="00360541">
                    <w:rPr>
                      <w:rFonts w:ascii="Arial" w:hAnsi="Arial" w:cs="Arial"/>
                      <w:sz w:val="22"/>
                      <w:szCs w:val="22"/>
                    </w:rPr>
                    <w:t>0</w:t>
                  </w:r>
                  <w:r w:rsidR="00201BE8" w:rsidRPr="00360541">
                    <w:rPr>
                      <w:rFonts w:ascii="Arial" w:hAnsi="Arial" w:cs="Arial"/>
                      <w:sz w:val="22"/>
                      <w:szCs w:val="22"/>
                    </w:rPr>
                    <w:t>.3%</w:t>
                  </w:r>
                </w:p>
              </w:tc>
              <w:tc>
                <w:tcPr>
                  <w:tcW w:w="1200" w:type="dxa"/>
                  <w:tcBorders>
                    <w:top w:val="single" w:sz="4" w:space="0" w:color="auto"/>
                    <w:left w:val="nil"/>
                    <w:bottom w:val="nil"/>
                    <w:right w:val="nil"/>
                  </w:tcBorders>
                </w:tcPr>
                <w:p w14:paraId="3DCD4E16" w14:textId="0BC9B400" w:rsidR="00A45362" w:rsidRPr="00360541" w:rsidRDefault="008D1EF2" w:rsidP="00A45362">
                  <w:pPr>
                    <w:jc w:val="right"/>
                    <w:rPr>
                      <w:rFonts w:ascii="Arial" w:hAnsi="Arial" w:cs="Arial"/>
                      <w:sz w:val="22"/>
                      <w:szCs w:val="22"/>
                      <w:highlight w:val="yellow"/>
                    </w:rPr>
                  </w:pPr>
                  <w:r w:rsidRPr="00360541">
                    <w:rPr>
                      <w:rFonts w:ascii="Arial" w:hAnsi="Arial" w:cs="Arial"/>
                      <w:sz w:val="22"/>
                      <w:szCs w:val="22"/>
                    </w:rPr>
                    <w:t>(</w:t>
                  </w:r>
                  <w:proofErr w:type="gramStart"/>
                  <w:r w:rsidR="00BE7CC9" w:rsidRPr="00360541">
                    <w:rPr>
                      <w:rFonts w:ascii="Arial" w:hAnsi="Arial" w:cs="Arial"/>
                      <w:sz w:val="22"/>
                      <w:szCs w:val="22"/>
                    </w:rPr>
                    <w:t>1</w:t>
                  </w:r>
                  <w:r w:rsidR="00201BE8" w:rsidRPr="00360541">
                    <w:rPr>
                      <w:rFonts w:ascii="Arial" w:hAnsi="Arial" w:cs="Arial"/>
                      <w:sz w:val="22"/>
                      <w:szCs w:val="22"/>
                    </w:rPr>
                    <w:t>.</w:t>
                  </w:r>
                  <w:r w:rsidR="00BE7CC9" w:rsidRPr="00360541">
                    <w:rPr>
                      <w:rFonts w:ascii="Arial" w:hAnsi="Arial" w:cs="Arial"/>
                      <w:sz w:val="22"/>
                      <w:szCs w:val="22"/>
                    </w:rPr>
                    <w:t>6</w:t>
                  </w:r>
                  <w:r w:rsidRPr="00360541">
                    <w:rPr>
                      <w:rFonts w:ascii="Arial" w:hAnsi="Arial" w:cs="Arial"/>
                      <w:sz w:val="22"/>
                      <w:szCs w:val="22"/>
                    </w:rPr>
                    <w:t>)</w:t>
                  </w:r>
                  <w:r w:rsidR="00A45362" w:rsidRPr="00360541">
                    <w:rPr>
                      <w:rFonts w:ascii="Arial" w:hAnsi="Arial" w:cs="Arial"/>
                      <w:sz w:val="22"/>
                      <w:szCs w:val="22"/>
                    </w:rPr>
                    <w:t>%</w:t>
                  </w:r>
                  <w:proofErr w:type="gramEnd"/>
                </w:p>
              </w:tc>
            </w:tr>
            <w:tr w:rsidR="008F2DE7" w14:paraId="72CCE4B5" w14:textId="77777777" w:rsidTr="00D86BB6">
              <w:trPr>
                <w:trHeight w:val="269"/>
              </w:trPr>
              <w:tc>
                <w:tcPr>
                  <w:tcW w:w="2912" w:type="dxa"/>
                  <w:tcBorders>
                    <w:top w:val="nil"/>
                    <w:left w:val="nil"/>
                    <w:bottom w:val="nil"/>
                    <w:right w:val="nil"/>
                  </w:tcBorders>
                </w:tcPr>
                <w:p w14:paraId="405AEB14" w14:textId="046B00D3" w:rsidR="008F2DE7" w:rsidRPr="00360541" w:rsidRDefault="008F2DE7" w:rsidP="00365335">
                  <w:pPr>
                    <w:jc w:val="left"/>
                    <w:rPr>
                      <w:rFonts w:ascii="Arial" w:hAnsi="Arial" w:cs="Arial"/>
                      <w:sz w:val="22"/>
                      <w:szCs w:val="22"/>
                    </w:rPr>
                  </w:pPr>
                  <w:r w:rsidRPr="00360541">
                    <w:rPr>
                      <w:rFonts w:ascii="Arial" w:hAnsi="Arial" w:cs="Arial"/>
                      <w:sz w:val="22"/>
                      <w:szCs w:val="22"/>
                    </w:rPr>
                    <w:t>Gross margin</w:t>
                  </w:r>
                  <w:r w:rsidR="00431AC5" w:rsidRPr="00360541">
                    <w:rPr>
                      <w:rFonts w:ascii="Arial" w:hAnsi="Arial" w:cs="Arial"/>
                      <w:sz w:val="22"/>
                      <w:szCs w:val="22"/>
                    </w:rPr>
                    <w:t>*</w:t>
                  </w:r>
                </w:p>
              </w:tc>
              <w:tc>
                <w:tcPr>
                  <w:tcW w:w="1106" w:type="dxa"/>
                  <w:tcBorders>
                    <w:top w:val="nil"/>
                    <w:left w:val="nil"/>
                    <w:bottom w:val="nil"/>
                    <w:right w:val="nil"/>
                  </w:tcBorders>
                </w:tcPr>
                <w:p w14:paraId="7AF92EE3" w14:textId="3EBCD15F" w:rsidR="008F2DE7" w:rsidRPr="00360541" w:rsidRDefault="008F2DE7" w:rsidP="00365335">
                  <w:pPr>
                    <w:jc w:val="right"/>
                    <w:rPr>
                      <w:rFonts w:ascii="Arial" w:hAnsi="Arial" w:cs="Arial"/>
                      <w:sz w:val="22"/>
                      <w:szCs w:val="22"/>
                    </w:rPr>
                  </w:pPr>
                  <w:r w:rsidRPr="00360541">
                    <w:rPr>
                      <w:rFonts w:ascii="Arial" w:hAnsi="Arial" w:cs="Arial"/>
                      <w:sz w:val="22"/>
                      <w:szCs w:val="22"/>
                    </w:rPr>
                    <w:t>36.9%</w:t>
                  </w:r>
                </w:p>
              </w:tc>
              <w:tc>
                <w:tcPr>
                  <w:tcW w:w="1544" w:type="dxa"/>
                  <w:tcBorders>
                    <w:top w:val="nil"/>
                    <w:left w:val="nil"/>
                    <w:bottom w:val="nil"/>
                    <w:right w:val="nil"/>
                  </w:tcBorders>
                </w:tcPr>
                <w:p w14:paraId="4488A563" w14:textId="4A2E625E" w:rsidR="008F2DE7" w:rsidRPr="00360541" w:rsidRDefault="008F2DE7" w:rsidP="00365335">
                  <w:pPr>
                    <w:jc w:val="right"/>
                    <w:rPr>
                      <w:rFonts w:ascii="Arial" w:hAnsi="Arial" w:cs="Arial"/>
                      <w:sz w:val="22"/>
                      <w:szCs w:val="22"/>
                    </w:rPr>
                  </w:pPr>
                  <w:r w:rsidRPr="00360541">
                    <w:rPr>
                      <w:rFonts w:ascii="Arial" w:hAnsi="Arial" w:cs="Arial"/>
                      <w:sz w:val="22"/>
                      <w:szCs w:val="22"/>
                    </w:rPr>
                    <w:t>3</w:t>
                  </w:r>
                  <w:r w:rsidR="00431AC5" w:rsidRPr="00360541">
                    <w:rPr>
                      <w:rFonts w:ascii="Arial" w:hAnsi="Arial" w:cs="Arial"/>
                      <w:sz w:val="22"/>
                      <w:szCs w:val="22"/>
                    </w:rPr>
                    <w:t>6</w:t>
                  </w:r>
                  <w:r w:rsidRPr="00360541">
                    <w:rPr>
                      <w:rFonts w:ascii="Arial" w:hAnsi="Arial" w:cs="Arial"/>
                      <w:sz w:val="22"/>
                      <w:szCs w:val="22"/>
                    </w:rPr>
                    <w:t>.</w:t>
                  </w:r>
                  <w:r w:rsidR="00431AC5" w:rsidRPr="00360541">
                    <w:rPr>
                      <w:rFonts w:ascii="Arial" w:hAnsi="Arial" w:cs="Arial"/>
                      <w:sz w:val="22"/>
                      <w:szCs w:val="22"/>
                    </w:rPr>
                    <w:t>9</w:t>
                  </w:r>
                  <w:r w:rsidRPr="00360541">
                    <w:rPr>
                      <w:rFonts w:ascii="Arial" w:hAnsi="Arial" w:cs="Arial"/>
                      <w:sz w:val="22"/>
                      <w:szCs w:val="22"/>
                    </w:rPr>
                    <w:t>%</w:t>
                  </w:r>
                </w:p>
              </w:tc>
              <w:tc>
                <w:tcPr>
                  <w:tcW w:w="1455" w:type="dxa"/>
                  <w:tcBorders>
                    <w:top w:val="nil"/>
                    <w:left w:val="nil"/>
                    <w:bottom w:val="nil"/>
                    <w:right w:val="nil"/>
                  </w:tcBorders>
                </w:tcPr>
                <w:p w14:paraId="493DA899" w14:textId="55C032C2" w:rsidR="008F2DE7" w:rsidRPr="00360541" w:rsidRDefault="002064A9" w:rsidP="00365335">
                  <w:pPr>
                    <w:jc w:val="right"/>
                    <w:rPr>
                      <w:rFonts w:ascii="Arial" w:hAnsi="Arial" w:cs="Arial"/>
                      <w:sz w:val="22"/>
                      <w:szCs w:val="22"/>
                    </w:rPr>
                  </w:pPr>
                  <w:r w:rsidRPr="00360541">
                    <w:rPr>
                      <w:rFonts w:ascii="Arial" w:hAnsi="Arial" w:cs="Arial"/>
                      <w:sz w:val="22"/>
                      <w:szCs w:val="22"/>
                    </w:rPr>
                    <w:t>-</w:t>
                  </w:r>
                </w:p>
              </w:tc>
              <w:tc>
                <w:tcPr>
                  <w:tcW w:w="1200" w:type="dxa"/>
                  <w:tcBorders>
                    <w:top w:val="nil"/>
                    <w:left w:val="nil"/>
                    <w:bottom w:val="nil"/>
                    <w:right w:val="nil"/>
                  </w:tcBorders>
                </w:tcPr>
                <w:p w14:paraId="5D79C30E" w14:textId="11371E2F" w:rsidR="008F2DE7" w:rsidRPr="00360541" w:rsidRDefault="008F2DE7" w:rsidP="00365335">
                  <w:pPr>
                    <w:jc w:val="right"/>
                    <w:rPr>
                      <w:rFonts w:ascii="Arial" w:hAnsi="Arial" w:cs="Arial"/>
                      <w:sz w:val="22"/>
                      <w:szCs w:val="22"/>
                    </w:rPr>
                  </w:pPr>
                  <w:r w:rsidRPr="00360541">
                    <w:rPr>
                      <w:rFonts w:ascii="Arial" w:hAnsi="Arial" w:cs="Arial"/>
                      <w:sz w:val="22"/>
                      <w:szCs w:val="22"/>
                    </w:rPr>
                    <w:t>(</w:t>
                  </w:r>
                  <w:proofErr w:type="gramStart"/>
                  <w:r w:rsidR="00100B76" w:rsidRPr="00360541">
                    <w:rPr>
                      <w:rFonts w:ascii="Arial" w:hAnsi="Arial" w:cs="Arial"/>
                      <w:sz w:val="22"/>
                      <w:szCs w:val="22"/>
                    </w:rPr>
                    <w:t>1</w:t>
                  </w:r>
                  <w:r w:rsidRPr="00360541">
                    <w:rPr>
                      <w:rFonts w:ascii="Arial" w:hAnsi="Arial" w:cs="Arial"/>
                      <w:sz w:val="22"/>
                      <w:szCs w:val="22"/>
                    </w:rPr>
                    <w:t>0)bps</w:t>
                  </w:r>
                  <w:proofErr w:type="gramEnd"/>
                </w:p>
              </w:tc>
              <w:tc>
                <w:tcPr>
                  <w:tcW w:w="1200" w:type="dxa"/>
                  <w:tcBorders>
                    <w:top w:val="nil"/>
                    <w:left w:val="nil"/>
                    <w:bottom w:val="nil"/>
                    <w:right w:val="nil"/>
                  </w:tcBorders>
                </w:tcPr>
                <w:p w14:paraId="233CE93F" w14:textId="77777777" w:rsidR="008F2DE7" w:rsidRPr="00360541" w:rsidRDefault="008F2DE7" w:rsidP="00365335">
                  <w:pPr>
                    <w:jc w:val="right"/>
                    <w:rPr>
                      <w:rFonts w:ascii="Arial" w:hAnsi="Arial" w:cs="Arial"/>
                      <w:sz w:val="22"/>
                      <w:szCs w:val="22"/>
                      <w:highlight w:val="yellow"/>
                    </w:rPr>
                  </w:pPr>
                </w:p>
              </w:tc>
            </w:tr>
            <w:tr w:rsidR="00365335" w14:paraId="02A22845" w14:textId="77777777" w:rsidTr="00D86BB6">
              <w:trPr>
                <w:trHeight w:val="269"/>
              </w:trPr>
              <w:tc>
                <w:tcPr>
                  <w:tcW w:w="2912" w:type="dxa"/>
                  <w:tcBorders>
                    <w:top w:val="nil"/>
                    <w:left w:val="nil"/>
                    <w:bottom w:val="nil"/>
                    <w:right w:val="nil"/>
                  </w:tcBorders>
                </w:tcPr>
                <w:p w14:paraId="2147A0EE" w14:textId="77777777" w:rsidR="00365335" w:rsidRPr="00360541" w:rsidRDefault="00365335" w:rsidP="00365335">
                  <w:pPr>
                    <w:jc w:val="left"/>
                    <w:rPr>
                      <w:rFonts w:ascii="Arial" w:hAnsi="Arial" w:cs="Arial"/>
                      <w:sz w:val="22"/>
                      <w:szCs w:val="22"/>
                    </w:rPr>
                  </w:pPr>
                  <w:r w:rsidRPr="00360541">
                    <w:rPr>
                      <w:rFonts w:ascii="Arial" w:hAnsi="Arial" w:cs="Arial"/>
                      <w:sz w:val="22"/>
                      <w:szCs w:val="22"/>
                    </w:rPr>
                    <w:t>Retail profit*</w:t>
                  </w:r>
                </w:p>
              </w:tc>
              <w:tc>
                <w:tcPr>
                  <w:tcW w:w="1106" w:type="dxa"/>
                  <w:tcBorders>
                    <w:top w:val="nil"/>
                    <w:left w:val="nil"/>
                    <w:bottom w:val="nil"/>
                    <w:right w:val="nil"/>
                  </w:tcBorders>
                </w:tcPr>
                <w:p w14:paraId="53F59AB5" w14:textId="49681232" w:rsidR="00365335" w:rsidRPr="00360541" w:rsidRDefault="00365335" w:rsidP="00365335">
                  <w:pPr>
                    <w:jc w:val="right"/>
                    <w:rPr>
                      <w:rFonts w:ascii="Arial" w:hAnsi="Arial" w:cs="Arial"/>
                      <w:sz w:val="22"/>
                      <w:szCs w:val="22"/>
                    </w:rPr>
                  </w:pPr>
                  <w:r w:rsidRPr="00360541">
                    <w:rPr>
                      <w:rFonts w:ascii="Arial" w:hAnsi="Arial" w:cs="Arial"/>
                      <w:sz w:val="22"/>
                      <w:szCs w:val="22"/>
                    </w:rPr>
                    <w:t>£</w:t>
                  </w:r>
                  <w:r w:rsidR="00714F28" w:rsidRPr="00360541">
                    <w:rPr>
                      <w:rFonts w:ascii="Arial" w:hAnsi="Arial" w:cs="Arial"/>
                      <w:sz w:val="22"/>
                      <w:szCs w:val="22"/>
                    </w:rPr>
                    <w:t>75</w:t>
                  </w:r>
                  <w:r w:rsidR="009D1FDD" w:rsidRPr="00360541">
                    <w:rPr>
                      <w:rFonts w:ascii="Arial" w:hAnsi="Arial" w:cs="Arial"/>
                      <w:sz w:val="22"/>
                      <w:szCs w:val="22"/>
                    </w:rPr>
                    <w:t>3</w:t>
                  </w:r>
                  <w:r w:rsidR="00714F28" w:rsidRPr="00360541">
                    <w:rPr>
                      <w:rFonts w:ascii="Arial" w:hAnsi="Arial" w:cs="Arial"/>
                      <w:sz w:val="22"/>
                      <w:szCs w:val="22"/>
                    </w:rPr>
                    <w:t>m</w:t>
                  </w:r>
                </w:p>
              </w:tc>
              <w:tc>
                <w:tcPr>
                  <w:tcW w:w="1544" w:type="dxa"/>
                  <w:tcBorders>
                    <w:top w:val="nil"/>
                    <w:left w:val="nil"/>
                    <w:bottom w:val="nil"/>
                    <w:right w:val="nil"/>
                  </w:tcBorders>
                </w:tcPr>
                <w:p w14:paraId="103D0034" w14:textId="794FEB79" w:rsidR="00365335" w:rsidRPr="00360541" w:rsidRDefault="00365335" w:rsidP="00365335">
                  <w:pPr>
                    <w:jc w:val="right"/>
                    <w:rPr>
                      <w:rFonts w:ascii="Arial" w:hAnsi="Arial" w:cs="Arial"/>
                      <w:sz w:val="22"/>
                      <w:szCs w:val="22"/>
                    </w:rPr>
                  </w:pPr>
                  <w:r w:rsidRPr="00360541">
                    <w:rPr>
                      <w:rFonts w:ascii="Arial" w:hAnsi="Arial" w:cs="Arial"/>
                      <w:sz w:val="22"/>
                      <w:szCs w:val="22"/>
                    </w:rPr>
                    <w:t>£84</w:t>
                  </w:r>
                  <w:r w:rsidR="00431AC5" w:rsidRPr="00360541">
                    <w:rPr>
                      <w:rFonts w:ascii="Arial" w:hAnsi="Arial" w:cs="Arial"/>
                      <w:sz w:val="22"/>
                      <w:szCs w:val="22"/>
                    </w:rPr>
                    <w:t>9</w:t>
                  </w:r>
                  <w:r w:rsidRPr="00360541">
                    <w:rPr>
                      <w:rFonts w:ascii="Arial" w:hAnsi="Arial" w:cs="Arial"/>
                      <w:sz w:val="22"/>
                      <w:szCs w:val="22"/>
                    </w:rPr>
                    <w:t>m</w:t>
                  </w:r>
                </w:p>
              </w:tc>
              <w:tc>
                <w:tcPr>
                  <w:tcW w:w="1455" w:type="dxa"/>
                  <w:tcBorders>
                    <w:top w:val="nil"/>
                    <w:left w:val="nil"/>
                    <w:bottom w:val="nil"/>
                    <w:right w:val="nil"/>
                  </w:tcBorders>
                </w:tcPr>
                <w:p w14:paraId="0F3D7454" w14:textId="388EDA36" w:rsidR="00365335" w:rsidRPr="00360541" w:rsidRDefault="00BE7CC9" w:rsidP="00365335">
                  <w:pPr>
                    <w:jc w:val="right"/>
                    <w:rPr>
                      <w:rFonts w:ascii="Arial" w:hAnsi="Arial" w:cs="Arial"/>
                      <w:sz w:val="22"/>
                      <w:szCs w:val="22"/>
                    </w:rPr>
                  </w:pPr>
                  <w:r w:rsidRPr="00360541">
                    <w:rPr>
                      <w:rFonts w:ascii="Arial" w:hAnsi="Arial" w:cs="Arial"/>
                      <w:sz w:val="22"/>
                      <w:szCs w:val="22"/>
                    </w:rPr>
                    <w:t>(</w:t>
                  </w:r>
                  <w:proofErr w:type="gramStart"/>
                  <w:r w:rsidRPr="00360541">
                    <w:rPr>
                      <w:rFonts w:ascii="Arial" w:hAnsi="Arial" w:cs="Arial"/>
                      <w:sz w:val="22"/>
                      <w:szCs w:val="22"/>
                    </w:rPr>
                    <w:t>11.</w:t>
                  </w:r>
                  <w:r w:rsidR="009D1FDD" w:rsidRPr="00360541">
                    <w:rPr>
                      <w:rFonts w:ascii="Arial" w:hAnsi="Arial" w:cs="Arial"/>
                      <w:sz w:val="22"/>
                      <w:szCs w:val="22"/>
                    </w:rPr>
                    <w:t>3</w:t>
                  </w:r>
                  <w:r w:rsidRPr="00360541">
                    <w:rPr>
                      <w:rFonts w:ascii="Arial" w:hAnsi="Arial" w:cs="Arial"/>
                      <w:sz w:val="22"/>
                      <w:szCs w:val="22"/>
                    </w:rPr>
                    <w:t>)</w:t>
                  </w:r>
                  <w:r w:rsidR="00365335" w:rsidRPr="00360541">
                    <w:rPr>
                      <w:rFonts w:ascii="Arial" w:hAnsi="Arial" w:cs="Arial"/>
                      <w:sz w:val="22"/>
                      <w:szCs w:val="22"/>
                    </w:rPr>
                    <w:t>%</w:t>
                  </w:r>
                  <w:proofErr w:type="gramEnd"/>
                </w:p>
              </w:tc>
              <w:tc>
                <w:tcPr>
                  <w:tcW w:w="1200" w:type="dxa"/>
                  <w:tcBorders>
                    <w:top w:val="nil"/>
                    <w:left w:val="nil"/>
                    <w:bottom w:val="nil"/>
                    <w:right w:val="nil"/>
                  </w:tcBorders>
                </w:tcPr>
                <w:p w14:paraId="43A47F26" w14:textId="1B39DCB8" w:rsidR="00365335" w:rsidRPr="00360541" w:rsidRDefault="00365335" w:rsidP="00365335">
                  <w:pPr>
                    <w:jc w:val="right"/>
                    <w:rPr>
                      <w:rFonts w:ascii="Arial" w:hAnsi="Arial" w:cs="Arial"/>
                      <w:sz w:val="22"/>
                      <w:szCs w:val="22"/>
                    </w:rPr>
                  </w:pPr>
                  <w:r w:rsidRPr="00360541">
                    <w:rPr>
                      <w:rFonts w:ascii="Arial" w:hAnsi="Arial" w:cs="Arial"/>
                      <w:sz w:val="22"/>
                      <w:szCs w:val="22"/>
                    </w:rPr>
                    <w:t>(</w:t>
                  </w:r>
                  <w:proofErr w:type="gramStart"/>
                  <w:r w:rsidR="00BE7CC9" w:rsidRPr="00360541">
                    <w:rPr>
                      <w:rFonts w:ascii="Arial" w:hAnsi="Arial" w:cs="Arial"/>
                      <w:sz w:val="22"/>
                      <w:szCs w:val="22"/>
                    </w:rPr>
                    <w:t>11.</w:t>
                  </w:r>
                  <w:r w:rsidR="00EF7D2C" w:rsidRPr="00360541">
                    <w:rPr>
                      <w:rFonts w:ascii="Arial" w:hAnsi="Arial" w:cs="Arial"/>
                      <w:sz w:val="22"/>
                      <w:szCs w:val="22"/>
                    </w:rPr>
                    <w:t>4</w:t>
                  </w:r>
                  <w:r w:rsidRPr="00360541">
                    <w:rPr>
                      <w:rFonts w:ascii="Arial" w:hAnsi="Arial" w:cs="Arial"/>
                      <w:sz w:val="22"/>
                      <w:szCs w:val="22"/>
                    </w:rPr>
                    <w:t>)%</w:t>
                  </w:r>
                  <w:proofErr w:type="gramEnd"/>
                </w:p>
              </w:tc>
              <w:tc>
                <w:tcPr>
                  <w:tcW w:w="1200" w:type="dxa"/>
                  <w:tcBorders>
                    <w:top w:val="nil"/>
                    <w:left w:val="nil"/>
                    <w:bottom w:val="nil"/>
                    <w:right w:val="nil"/>
                  </w:tcBorders>
                </w:tcPr>
                <w:p w14:paraId="18AEBD55" w14:textId="77777777" w:rsidR="00365335" w:rsidRPr="00360541" w:rsidRDefault="00365335" w:rsidP="00365335">
                  <w:pPr>
                    <w:jc w:val="right"/>
                    <w:rPr>
                      <w:rFonts w:ascii="Arial" w:hAnsi="Arial" w:cs="Arial"/>
                      <w:sz w:val="22"/>
                      <w:szCs w:val="22"/>
                      <w:highlight w:val="yellow"/>
                    </w:rPr>
                  </w:pPr>
                </w:p>
              </w:tc>
            </w:tr>
            <w:tr w:rsidR="00365335" w14:paraId="2A39A942" w14:textId="77777777" w:rsidTr="00D86BB6">
              <w:trPr>
                <w:trHeight w:val="269"/>
              </w:trPr>
              <w:tc>
                <w:tcPr>
                  <w:tcW w:w="2912" w:type="dxa"/>
                  <w:tcBorders>
                    <w:top w:val="nil"/>
                    <w:left w:val="nil"/>
                    <w:bottom w:val="nil"/>
                    <w:right w:val="nil"/>
                  </w:tcBorders>
                </w:tcPr>
                <w:p w14:paraId="21EF8FFF" w14:textId="2F20A999" w:rsidR="00365335" w:rsidRPr="00360541" w:rsidRDefault="00365335" w:rsidP="00365335">
                  <w:pPr>
                    <w:jc w:val="left"/>
                    <w:rPr>
                      <w:rFonts w:ascii="Arial" w:hAnsi="Arial" w:cs="Arial"/>
                      <w:sz w:val="22"/>
                      <w:szCs w:val="22"/>
                    </w:rPr>
                  </w:pPr>
                  <w:r w:rsidRPr="00360541">
                    <w:rPr>
                      <w:rFonts w:ascii="Arial" w:hAnsi="Arial" w:cs="Arial"/>
                      <w:sz w:val="22"/>
                      <w:szCs w:val="22"/>
                    </w:rPr>
                    <w:t>Underlying pre-tax profit</w:t>
                  </w:r>
                  <w:r w:rsidR="00431AC5" w:rsidRPr="00360541">
                    <w:rPr>
                      <w:rFonts w:ascii="Arial" w:hAnsi="Arial" w:cs="Arial"/>
                      <w:sz w:val="22"/>
                      <w:szCs w:val="22"/>
                    </w:rPr>
                    <w:t>*</w:t>
                  </w:r>
                </w:p>
              </w:tc>
              <w:tc>
                <w:tcPr>
                  <w:tcW w:w="1106" w:type="dxa"/>
                  <w:tcBorders>
                    <w:top w:val="nil"/>
                    <w:left w:val="nil"/>
                    <w:bottom w:val="nil"/>
                    <w:right w:val="nil"/>
                  </w:tcBorders>
                </w:tcPr>
                <w:p w14:paraId="7E73F490" w14:textId="47B1733D" w:rsidR="00365335" w:rsidRPr="00360541" w:rsidRDefault="00365335" w:rsidP="00365335">
                  <w:pPr>
                    <w:jc w:val="right"/>
                    <w:rPr>
                      <w:rFonts w:ascii="Arial" w:hAnsi="Arial" w:cs="Arial"/>
                      <w:sz w:val="22"/>
                      <w:szCs w:val="22"/>
                    </w:rPr>
                  </w:pPr>
                  <w:r w:rsidRPr="00360541">
                    <w:rPr>
                      <w:rFonts w:ascii="Arial" w:hAnsi="Arial" w:cs="Arial"/>
                      <w:sz w:val="22"/>
                      <w:szCs w:val="22"/>
                    </w:rPr>
                    <w:t>£</w:t>
                  </w:r>
                  <w:r w:rsidR="00714F28" w:rsidRPr="00360541">
                    <w:rPr>
                      <w:rFonts w:ascii="Arial" w:hAnsi="Arial" w:cs="Arial"/>
                      <w:sz w:val="22"/>
                      <w:szCs w:val="22"/>
                    </w:rPr>
                    <w:t>693m</w:t>
                  </w:r>
                </w:p>
              </w:tc>
              <w:tc>
                <w:tcPr>
                  <w:tcW w:w="1544" w:type="dxa"/>
                  <w:tcBorders>
                    <w:top w:val="nil"/>
                    <w:left w:val="nil"/>
                    <w:bottom w:val="nil"/>
                    <w:right w:val="nil"/>
                  </w:tcBorders>
                </w:tcPr>
                <w:p w14:paraId="417A41BB" w14:textId="13171AF7" w:rsidR="00365335" w:rsidRPr="00360541" w:rsidRDefault="00365335" w:rsidP="00365335">
                  <w:pPr>
                    <w:jc w:val="right"/>
                    <w:rPr>
                      <w:rFonts w:ascii="Arial" w:hAnsi="Arial" w:cs="Arial"/>
                      <w:sz w:val="22"/>
                      <w:szCs w:val="22"/>
                    </w:rPr>
                  </w:pPr>
                  <w:r w:rsidRPr="00360541">
                    <w:rPr>
                      <w:rFonts w:ascii="Arial" w:hAnsi="Arial" w:cs="Arial"/>
                      <w:sz w:val="22"/>
                      <w:szCs w:val="22"/>
                    </w:rPr>
                    <w:t>£7</w:t>
                  </w:r>
                  <w:r w:rsidR="00431AC5" w:rsidRPr="00360541">
                    <w:rPr>
                      <w:rFonts w:ascii="Arial" w:hAnsi="Arial" w:cs="Arial"/>
                      <w:sz w:val="22"/>
                      <w:szCs w:val="22"/>
                    </w:rPr>
                    <w:t>9</w:t>
                  </w:r>
                  <w:r w:rsidRPr="00360541">
                    <w:rPr>
                      <w:rFonts w:ascii="Arial" w:hAnsi="Arial" w:cs="Arial"/>
                      <w:sz w:val="22"/>
                      <w:szCs w:val="22"/>
                    </w:rPr>
                    <w:t>7m</w:t>
                  </w:r>
                </w:p>
              </w:tc>
              <w:tc>
                <w:tcPr>
                  <w:tcW w:w="1455" w:type="dxa"/>
                  <w:tcBorders>
                    <w:top w:val="nil"/>
                    <w:left w:val="nil"/>
                    <w:bottom w:val="nil"/>
                    <w:right w:val="nil"/>
                  </w:tcBorders>
                </w:tcPr>
                <w:p w14:paraId="0A3881DF" w14:textId="7D9EBDA7" w:rsidR="00365335" w:rsidRPr="00360541" w:rsidRDefault="00693334" w:rsidP="00365335">
                  <w:pPr>
                    <w:jc w:val="right"/>
                    <w:rPr>
                      <w:rFonts w:ascii="Arial" w:hAnsi="Arial" w:cs="Arial"/>
                      <w:sz w:val="22"/>
                      <w:szCs w:val="22"/>
                    </w:rPr>
                  </w:pPr>
                  <w:r w:rsidRPr="00360541">
                    <w:rPr>
                      <w:rFonts w:ascii="Arial" w:hAnsi="Arial" w:cs="Arial"/>
                      <w:sz w:val="22"/>
                      <w:szCs w:val="22"/>
                    </w:rPr>
                    <w:t>(</w:t>
                  </w:r>
                  <w:proofErr w:type="gramStart"/>
                  <w:r w:rsidR="00714F28" w:rsidRPr="00360541">
                    <w:rPr>
                      <w:rFonts w:ascii="Arial" w:hAnsi="Arial" w:cs="Arial"/>
                      <w:sz w:val="22"/>
                      <w:szCs w:val="22"/>
                    </w:rPr>
                    <w:t>13.0</w:t>
                  </w:r>
                  <w:r w:rsidRPr="00360541">
                    <w:rPr>
                      <w:rFonts w:ascii="Arial" w:hAnsi="Arial" w:cs="Arial"/>
                      <w:sz w:val="22"/>
                      <w:szCs w:val="22"/>
                    </w:rPr>
                    <w:t>)</w:t>
                  </w:r>
                  <w:r w:rsidR="00365335" w:rsidRPr="00360541">
                    <w:rPr>
                      <w:rFonts w:ascii="Arial" w:hAnsi="Arial" w:cs="Arial"/>
                      <w:sz w:val="22"/>
                      <w:szCs w:val="22"/>
                    </w:rPr>
                    <w:t>%</w:t>
                  </w:r>
                  <w:proofErr w:type="gramEnd"/>
                </w:p>
              </w:tc>
              <w:tc>
                <w:tcPr>
                  <w:tcW w:w="1200" w:type="dxa"/>
                  <w:tcBorders>
                    <w:top w:val="nil"/>
                    <w:left w:val="nil"/>
                    <w:bottom w:val="nil"/>
                    <w:right w:val="nil"/>
                  </w:tcBorders>
                </w:tcPr>
                <w:p w14:paraId="34DB00CF" w14:textId="77777777" w:rsidR="00365335" w:rsidRPr="00360541" w:rsidRDefault="00365335" w:rsidP="00365335">
                  <w:pPr>
                    <w:rPr>
                      <w:rFonts w:ascii="Arial" w:hAnsi="Arial" w:cs="Arial"/>
                      <w:sz w:val="22"/>
                      <w:szCs w:val="22"/>
                      <w:highlight w:val="yellow"/>
                    </w:rPr>
                  </w:pPr>
                </w:p>
              </w:tc>
              <w:tc>
                <w:tcPr>
                  <w:tcW w:w="1200" w:type="dxa"/>
                  <w:tcBorders>
                    <w:top w:val="nil"/>
                    <w:left w:val="nil"/>
                    <w:bottom w:val="nil"/>
                    <w:right w:val="nil"/>
                  </w:tcBorders>
                </w:tcPr>
                <w:p w14:paraId="50BAD2E6" w14:textId="77777777" w:rsidR="00365335" w:rsidRPr="00360541" w:rsidRDefault="00365335" w:rsidP="00365335">
                  <w:pPr>
                    <w:rPr>
                      <w:rFonts w:ascii="Arial" w:hAnsi="Arial" w:cs="Arial"/>
                      <w:sz w:val="22"/>
                      <w:szCs w:val="22"/>
                      <w:highlight w:val="yellow"/>
                    </w:rPr>
                  </w:pPr>
                </w:p>
              </w:tc>
            </w:tr>
            <w:tr w:rsidR="00365335" w14:paraId="3890F0A5" w14:textId="77777777" w:rsidTr="00D86BB6">
              <w:trPr>
                <w:trHeight w:val="269"/>
              </w:trPr>
              <w:tc>
                <w:tcPr>
                  <w:tcW w:w="2912" w:type="dxa"/>
                  <w:tcBorders>
                    <w:top w:val="nil"/>
                    <w:left w:val="nil"/>
                    <w:bottom w:val="nil"/>
                    <w:right w:val="nil"/>
                  </w:tcBorders>
                </w:tcPr>
                <w:p w14:paraId="011F0B71" w14:textId="4753DCC4" w:rsidR="00365335" w:rsidRPr="00360541" w:rsidRDefault="00365335" w:rsidP="00365335">
                  <w:pPr>
                    <w:jc w:val="left"/>
                    <w:rPr>
                      <w:rFonts w:ascii="Arial" w:hAnsi="Arial" w:cs="Arial"/>
                      <w:sz w:val="22"/>
                      <w:szCs w:val="22"/>
                    </w:rPr>
                  </w:pPr>
                  <w:r w:rsidRPr="00360541">
                    <w:rPr>
                      <w:rFonts w:ascii="Arial" w:hAnsi="Arial" w:cs="Arial"/>
                      <w:sz w:val="22"/>
                      <w:szCs w:val="22"/>
                    </w:rPr>
                    <w:t>Adjusted pre-tax profit</w:t>
                  </w:r>
                  <w:r w:rsidR="00431AC5" w:rsidRPr="00360541">
                    <w:rPr>
                      <w:rFonts w:ascii="Arial" w:hAnsi="Arial" w:cs="Arial"/>
                      <w:sz w:val="22"/>
                      <w:szCs w:val="22"/>
                    </w:rPr>
                    <w:t>*</w:t>
                  </w:r>
                </w:p>
              </w:tc>
              <w:tc>
                <w:tcPr>
                  <w:tcW w:w="1106" w:type="dxa"/>
                  <w:tcBorders>
                    <w:top w:val="nil"/>
                    <w:left w:val="nil"/>
                    <w:bottom w:val="nil"/>
                    <w:right w:val="nil"/>
                  </w:tcBorders>
                </w:tcPr>
                <w:p w14:paraId="1F06A5F3" w14:textId="4DDEAF58" w:rsidR="00365335" w:rsidRPr="00360541" w:rsidRDefault="00365335" w:rsidP="00365335">
                  <w:pPr>
                    <w:jc w:val="right"/>
                    <w:rPr>
                      <w:rFonts w:ascii="Arial" w:hAnsi="Arial" w:cs="Arial"/>
                      <w:sz w:val="22"/>
                      <w:szCs w:val="22"/>
                    </w:rPr>
                  </w:pPr>
                  <w:r w:rsidRPr="00360541">
                    <w:rPr>
                      <w:rFonts w:ascii="Arial" w:hAnsi="Arial" w:cs="Arial"/>
                      <w:sz w:val="22"/>
                      <w:szCs w:val="22"/>
                    </w:rPr>
                    <w:t>£</w:t>
                  </w:r>
                  <w:r w:rsidR="00714F28" w:rsidRPr="00360541">
                    <w:rPr>
                      <w:rFonts w:ascii="Arial" w:hAnsi="Arial" w:cs="Arial"/>
                      <w:sz w:val="22"/>
                      <w:szCs w:val="22"/>
                    </w:rPr>
                    <w:t>573m</w:t>
                  </w:r>
                </w:p>
              </w:tc>
              <w:tc>
                <w:tcPr>
                  <w:tcW w:w="1544" w:type="dxa"/>
                  <w:tcBorders>
                    <w:top w:val="nil"/>
                    <w:left w:val="nil"/>
                    <w:bottom w:val="nil"/>
                    <w:right w:val="nil"/>
                  </w:tcBorders>
                </w:tcPr>
                <w:p w14:paraId="5D192216" w14:textId="514FC925" w:rsidR="00365335" w:rsidRPr="00360541" w:rsidRDefault="00365335" w:rsidP="00365335">
                  <w:pPr>
                    <w:jc w:val="right"/>
                    <w:rPr>
                      <w:rFonts w:ascii="Arial" w:hAnsi="Arial" w:cs="Arial"/>
                      <w:sz w:val="22"/>
                      <w:szCs w:val="22"/>
                    </w:rPr>
                  </w:pPr>
                  <w:r w:rsidRPr="00360541">
                    <w:rPr>
                      <w:rFonts w:ascii="Arial" w:hAnsi="Arial" w:cs="Arial"/>
                      <w:sz w:val="22"/>
                      <w:szCs w:val="22"/>
                    </w:rPr>
                    <w:t>£</w:t>
                  </w:r>
                  <w:r w:rsidR="00431AC5" w:rsidRPr="00360541">
                    <w:rPr>
                      <w:rFonts w:ascii="Arial" w:hAnsi="Arial" w:cs="Arial"/>
                      <w:sz w:val="22"/>
                      <w:szCs w:val="22"/>
                    </w:rPr>
                    <w:t>68</w:t>
                  </w:r>
                  <w:r w:rsidRPr="00360541">
                    <w:rPr>
                      <w:rFonts w:ascii="Arial" w:hAnsi="Arial" w:cs="Arial"/>
                      <w:sz w:val="22"/>
                      <w:szCs w:val="22"/>
                    </w:rPr>
                    <w:t>3m</w:t>
                  </w:r>
                </w:p>
              </w:tc>
              <w:tc>
                <w:tcPr>
                  <w:tcW w:w="1455" w:type="dxa"/>
                  <w:tcBorders>
                    <w:top w:val="nil"/>
                    <w:left w:val="nil"/>
                    <w:bottom w:val="nil"/>
                    <w:right w:val="nil"/>
                  </w:tcBorders>
                </w:tcPr>
                <w:p w14:paraId="283D7DEC" w14:textId="334533EE" w:rsidR="00365335" w:rsidRPr="00360541" w:rsidRDefault="00365335" w:rsidP="00365335">
                  <w:pPr>
                    <w:jc w:val="right"/>
                    <w:rPr>
                      <w:rFonts w:ascii="Arial" w:hAnsi="Arial" w:cs="Arial"/>
                      <w:sz w:val="22"/>
                      <w:szCs w:val="22"/>
                    </w:rPr>
                  </w:pPr>
                  <w:r w:rsidRPr="00360541">
                    <w:rPr>
                      <w:rFonts w:ascii="Arial" w:hAnsi="Arial" w:cs="Arial"/>
                      <w:sz w:val="22"/>
                      <w:szCs w:val="22"/>
                    </w:rPr>
                    <w:t>(</w:t>
                  </w:r>
                  <w:proofErr w:type="gramStart"/>
                  <w:r w:rsidR="00714F28" w:rsidRPr="00360541">
                    <w:rPr>
                      <w:rFonts w:ascii="Arial" w:hAnsi="Arial" w:cs="Arial"/>
                      <w:sz w:val="22"/>
                      <w:szCs w:val="22"/>
                    </w:rPr>
                    <w:t>16.</w:t>
                  </w:r>
                  <w:r w:rsidR="00EF7D2C" w:rsidRPr="00360541">
                    <w:rPr>
                      <w:rFonts w:ascii="Arial" w:hAnsi="Arial" w:cs="Arial"/>
                      <w:sz w:val="22"/>
                      <w:szCs w:val="22"/>
                    </w:rPr>
                    <w:t>1</w:t>
                  </w:r>
                  <w:r w:rsidRPr="00360541">
                    <w:rPr>
                      <w:rFonts w:ascii="Arial" w:hAnsi="Arial" w:cs="Arial"/>
                      <w:sz w:val="22"/>
                      <w:szCs w:val="22"/>
                    </w:rPr>
                    <w:t>)%</w:t>
                  </w:r>
                  <w:proofErr w:type="gramEnd"/>
                </w:p>
              </w:tc>
              <w:tc>
                <w:tcPr>
                  <w:tcW w:w="1200" w:type="dxa"/>
                  <w:tcBorders>
                    <w:top w:val="nil"/>
                    <w:left w:val="nil"/>
                    <w:bottom w:val="nil"/>
                    <w:right w:val="nil"/>
                  </w:tcBorders>
                </w:tcPr>
                <w:p w14:paraId="5A14934F" w14:textId="77777777" w:rsidR="00365335" w:rsidRPr="00360541" w:rsidRDefault="00365335" w:rsidP="00365335">
                  <w:pPr>
                    <w:rPr>
                      <w:rFonts w:ascii="Arial" w:hAnsi="Arial" w:cs="Arial"/>
                      <w:sz w:val="22"/>
                      <w:szCs w:val="22"/>
                      <w:highlight w:val="yellow"/>
                    </w:rPr>
                  </w:pPr>
                </w:p>
              </w:tc>
              <w:tc>
                <w:tcPr>
                  <w:tcW w:w="1200" w:type="dxa"/>
                  <w:tcBorders>
                    <w:top w:val="nil"/>
                    <w:left w:val="nil"/>
                    <w:bottom w:val="nil"/>
                    <w:right w:val="nil"/>
                  </w:tcBorders>
                </w:tcPr>
                <w:p w14:paraId="62642FF7" w14:textId="77777777" w:rsidR="00365335" w:rsidRPr="00360541" w:rsidRDefault="00365335" w:rsidP="00365335">
                  <w:pPr>
                    <w:rPr>
                      <w:rFonts w:ascii="Arial" w:hAnsi="Arial" w:cs="Arial"/>
                      <w:sz w:val="22"/>
                      <w:szCs w:val="22"/>
                      <w:highlight w:val="yellow"/>
                    </w:rPr>
                  </w:pPr>
                </w:p>
              </w:tc>
            </w:tr>
            <w:tr w:rsidR="00365335" w14:paraId="2E20A44F" w14:textId="77777777" w:rsidTr="00D86BB6">
              <w:trPr>
                <w:trHeight w:val="269"/>
              </w:trPr>
              <w:tc>
                <w:tcPr>
                  <w:tcW w:w="2912" w:type="dxa"/>
                  <w:tcBorders>
                    <w:top w:val="nil"/>
                    <w:left w:val="nil"/>
                    <w:bottom w:val="nil"/>
                    <w:right w:val="nil"/>
                  </w:tcBorders>
                </w:tcPr>
                <w:p w14:paraId="2B6CC295" w14:textId="539DF8ED" w:rsidR="00365335" w:rsidRPr="00360541" w:rsidRDefault="00365335" w:rsidP="00365335">
                  <w:pPr>
                    <w:jc w:val="left"/>
                    <w:rPr>
                      <w:rFonts w:ascii="Arial" w:hAnsi="Arial" w:cs="Arial"/>
                      <w:sz w:val="22"/>
                      <w:szCs w:val="22"/>
                    </w:rPr>
                  </w:pPr>
                  <w:r w:rsidRPr="00360541">
                    <w:rPr>
                      <w:rFonts w:ascii="Arial" w:hAnsi="Arial" w:cs="Arial"/>
                      <w:sz w:val="22"/>
                      <w:szCs w:val="22"/>
                    </w:rPr>
                    <w:t>Underlying basic EPS</w:t>
                  </w:r>
                  <w:r w:rsidR="00431AC5" w:rsidRPr="00360541">
                    <w:rPr>
                      <w:rFonts w:ascii="Arial" w:hAnsi="Arial" w:cs="Arial"/>
                      <w:sz w:val="22"/>
                      <w:szCs w:val="22"/>
                    </w:rPr>
                    <w:t>*</w:t>
                  </w:r>
                  <w:r w:rsidR="00765266" w:rsidRPr="00360541">
                    <w:rPr>
                      <w:rFonts w:ascii="Arial" w:hAnsi="Arial" w:cs="Arial"/>
                      <w:sz w:val="22"/>
                      <w:szCs w:val="22"/>
                      <w:vertAlign w:val="superscript"/>
                    </w:rPr>
                    <w:t>(1)</w:t>
                  </w:r>
                </w:p>
              </w:tc>
              <w:tc>
                <w:tcPr>
                  <w:tcW w:w="1106" w:type="dxa"/>
                  <w:tcBorders>
                    <w:top w:val="nil"/>
                    <w:left w:val="nil"/>
                    <w:bottom w:val="nil"/>
                    <w:right w:val="nil"/>
                  </w:tcBorders>
                </w:tcPr>
                <w:p w14:paraId="0671A367" w14:textId="0D5AD889" w:rsidR="00365335" w:rsidRPr="00360541" w:rsidRDefault="00E423E2" w:rsidP="00365335">
                  <w:pPr>
                    <w:jc w:val="right"/>
                    <w:rPr>
                      <w:rFonts w:ascii="Arial" w:hAnsi="Arial" w:cs="Arial"/>
                      <w:sz w:val="22"/>
                      <w:szCs w:val="22"/>
                    </w:rPr>
                  </w:pPr>
                  <w:r w:rsidRPr="00360541">
                    <w:rPr>
                      <w:rFonts w:ascii="Arial" w:hAnsi="Arial" w:cs="Arial"/>
                      <w:sz w:val="22"/>
                      <w:szCs w:val="22"/>
                    </w:rPr>
                    <w:t>23.9</w:t>
                  </w:r>
                  <w:r w:rsidR="00365335" w:rsidRPr="00360541">
                    <w:rPr>
                      <w:rFonts w:ascii="Arial" w:hAnsi="Arial" w:cs="Arial"/>
                      <w:sz w:val="22"/>
                      <w:szCs w:val="22"/>
                    </w:rPr>
                    <w:t>p</w:t>
                  </w:r>
                </w:p>
              </w:tc>
              <w:tc>
                <w:tcPr>
                  <w:tcW w:w="1544" w:type="dxa"/>
                  <w:tcBorders>
                    <w:top w:val="nil"/>
                    <w:left w:val="nil"/>
                    <w:bottom w:val="nil"/>
                    <w:right w:val="nil"/>
                  </w:tcBorders>
                </w:tcPr>
                <w:p w14:paraId="50964EA7" w14:textId="643B01E4" w:rsidR="00365335" w:rsidRPr="00360541" w:rsidRDefault="00365335" w:rsidP="00365335">
                  <w:pPr>
                    <w:jc w:val="right"/>
                    <w:rPr>
                      <w:rFonts w:ascii="Arial" w:hAnsi="Arial" w:cs="Arial"/>
                      <w:sz w:val="22"/>
                      <w:szCs w:val="22"/>
                    </w:rPr>
                  </w:pPr>
                  <w:r w:rsidRPr="00360541">
                    <w:rPr>
                      <w:rFonts w:ascii="Arial" w:hAnsi="Arial" w:cs="Arial"/>
                      <w:sz w:val="22"/>
                      <w:szCs w:val="22"/>
                    </w:rPr>
                    <w:t>25.</w:t>
                  </w:r>
                  <w:r w:rsidR="00431AC5" w:rsidRPr="00360541">
                    <w:rPr>
                      <w:rFonts w:ascii="Arial" w:hAnsi="Arial" w:cs="Arial"/>
                      <w:sz w:val="22"/>
                      <w:szCs w:val="22"/>
                    </w:rPr>
                    <w:t>5</w:t>
                  </w:r>
                  <w:r w:rsidRPr="00360541">
                    <w:rPr>
                      <w:rFonts w:ascii="Arial" w:hAnsi="Arial" w:cs="Arial"/>
                      <w:sz w:val="22"/>
                      <w:szCs w:val="22"/>
                    </w:rPr>
                    <w:t>p</w:t>
                  </w:r>
                </w:p>
              </w:tc>
              <w:tc>
                <w:tcPr>
                  <w:tcW w:w="1455" w:type="dxa"/>
                  <w:tcBorders>
                    <w:top w:val="nil"/>
                    <w:left w:val="nil"/>
                    <w:bottom w:val="nil"/>
                    <w:right w:val="nil"/>
                  </w:tcBorders>
                </w:tcPr>
                <w:p w14:paraId="31544B43" w14:textId="136944DD" w:rsidR="00365335" w:rsidRPr="00360541" w:rsidRDefault="00365335" w:rsidP="00365335">
                  <w:pPr>
                    <w:jc w:val="right"/>
                    <w:rPr>
                      <w:rFonts w:ascii="Arial" w:hAnsi="Arial" w:cs="Arial"/>
                      <w:sz w:val="22"/>
                      <w:szCs w:val="22"/>
                    </w:rPr>
                  </w:pPr>
                  <w:r w:rsidRPr="00360541">
                    <w:rPr>
                      <w:rFonts w:ascii="Arial" w:hAnsi="Arial" w:cs="Arial"/>
                      <w:sz w:val="22"/>
                      <w:szCs w:val="22"/>
                    </w:rPr>
                    <w:t>(</w:t>
                  </w:r>
                  <w:proofErr w:type="gramStart"/>
                  <w:r w:rsidR="00E423E2" w:rsidRPr="00360541">
                    <w:rPr>
                      <w:rFonts w:ascii="Arial" w:hAnsi="Arial" w:cs="Arial"/>
                      <w:sz w:val="22"/>
                      <w:szCs w:val="22"/>
                    </w:rPr>
                    <w:t>6.</w:t>
                  </w:r>
                  <w:r w:rsidR="00EF7D2C" w:rsidRPr="00360541">
                    <w:rPr>
                      <w:rFonts w:ascii="Arial" w:hAnsi="Arial" w:cs="Arial"/>
                      <w:sz w:val="22"/>
                      <w:szCs w:val="22"/>
                    </w:rPr>
                    <w:t>3</w:t>
                  </w:r>
                  <w:r w:rsidRPr="00360541">
                    <w:rPr>
                      <w:rFonts w:ascii="Arial" w:hAnsi="Arial" w:cs="Arial"/>
                      <w:sz w:val="22"/>
                      <w:szCs w:val="22"/>
                    </w:rPr>
                    <w:t>)%</w:t>
                  </w:r>
                  <w:proofErr w:type="gramEnd"/>
                </w:p>
              </w:tc>
              <w:tc>
                <w:tcPr>
                  <w:tcW w:w="1200" w:type="dxa"/>
                  <w:tcBorders>
                    <w:top w:val="nil"/>
                    <w:left w:val="nil"/>
                    <w:bottom w:val="nil"/>
                    <w:right w:val="nil"/>
                  </w:tcBorders>
                </w:tcPr>
                <w:p w14:paraId="09D82714" w14:textId="77777777" w:rsidR="00365335" w:rsidRPr="00360541" w:rsidRDefault="00365335" w:rsidP="00365335">
                  <w:pPr>
                    <w:rPr>
                      <w:rFonts w:ascii="Arial" w:hAnsi="Arial" w:cs="Arial"/>
                      <w:sz w:val="22"/>
                      <w:szCs w:val="22"/>
                      <w:highlight w:val="yellow"/>
                    </w:rPr>
                  </w:pPr>
                </w:p>
              </w:tc>
              <w:tc>
                <w:tcPr>
                  <w:tcW w:w="1200" w:type="dxa"/>
                  <w:tcBorders>
                    <w:top w:val="nil"/>
                    <w:left w:val="nil"/>
                    <w:bottom w:val="nil"/>
                    <w:right w:val="nil"/>
                  </w:tcBorders>
                </w:tcPr>
                <w:p w14:paraId="445FE6A8" w14:textId="77777777" w:rsidR="00365335" w:rsidRPr="00360541" w:rsidRDefault="00365335" w:rsidP="00365335">
                  <w:pPr>
                    <w:rPr>
                      <w:rFonts w:ascii="Arial" w:hAnsi="Arial" w:cs="Arial"/>
                      <w:sz w:val="22"/>
                      <w:szCs w:val="22"/>
                      <w:highlight w:val="yellow"/>
                    </w:rPr>
                  </w:pPr>
                </w:p>
              </w:tc>
            </w:tr>
            <w:tr w:rsidR="00365335" w14:paraId="3FD24207" w14:textId="77777777" w:rsidTr="00D86BB6">
              <w:trPr>
                <w:trHeight w:val="269"/>
              </w:trPr>
              <w:tc>
                <w:tcPr>
                  <w:tcW w:w="2912" w:type="dxa"/>
                  <w:tcBorders>
                    <w:top w:val="nil"/>
                    <w:left w:val="nil"/>
                    <w:bottom w:val="nil"/>
                    <w:right w:val="nil"/>
                  </w:tcBorders>
                </w:tcPr>
                <w:p w14:paraId="354C260B" w14:textId="6E636D78" w:rsidR="00365335" w:rsidRPr="00360541" w:rsidRDefault="00365335" w:rsidP="00365335">
                  <w:pPr>
                    <w:jc w:val="left"/>
                    <w:rPr>
                      <w:rFonts w:ascii="Arial" w:hAnsi="Arial" w:cs="Arial"/>
                      <w:sz w:val="22"/>
                      <w:szCs w:val="22"/>
                    </w:rPr>
                  </w:pPr>
                  <w:r w:rsidRPr="00360541">
                    <w:rPr>
                      <w:rFonts w:ascii="Arial" w:hAnsi="Arial" w:cs="Arial"/>
                      <w:sz w:val="22"/>
                      <w:szCs w:val="22"/>
                    </w:rPr>
                    <w:t>Adjusted basic EPS</w:t>
                  </w:r>
                  <w:r w:rsidR="00431AC5" w:rsidRPr="00360541">
                    <w:rPr>
                      <w:rFonts w:ascii="Arial" w:hAnsi="Arial" w:cs="Arial"/>
                      <w:sz w:val="22"/>
                      <w:szCs w:val="22"/>
                    </w:rPr>
                    <w:t>*</w:t>
                  </w:r>
                  <w:r w:rsidR="00431AC5" w:rsidRPr="00360541" w:rsidDel="00431AC5">
                    <w:rPr>
                      <w:rFonts w:ascii="Arial" w:hAnsi="Arial" w:cs="Arial"/>
                      <w:sz w:val="22"/>
                      <w:szCs w:val="22"/>
                      <w:vertAlign w:val="superscript"/>
                    </w:rPr>
                    <w:t xml:space="preserve"> </w:t>
                  </w:r>
                  <w:r w:rsidR="00765266" w:rsidRPr="00360541">
                    <w:rPr>
                      <w:rFonts w:ascii="Arial" w:hAnsi="Arial" w:cs="Arial"/>
                      <w:sz w:val="22"/>
                      <w:szCs w:val="22"/>
                      <w:vertAlign w:val="superscript"/>
                    </w:rPr>
                    <w:t>(1)</w:t>
                  </w:r>
                </w:p>
              </w:tc>
              <w:tc>
                <w:tcPr>
                  <w:tcW w:w="1106" w:type="dxa"/>
                  <w:tcBorders>
                    <w:top w:val="nil"/>
                    <w:left w:val="nil"/>
                    <w:bottom w:val="nil"/>
                    <w:right w:val="nil"/>
                  </w:tcBorders>
                </w:tcPr>
                <w:p w14:paraId="455C4871" w14:textId="36C03803" w:rsidR="00365335" w:rsidRPr="00360541" w:rsidRDefault="007E196C" w:rsidP="00365335">
                  <w:pPr>
                    <w:jc w:val="right"/>
                    <w:rPr>
                      <w:rFonts w:ascii="Arial" w:hAnsi="Arial" w:cs="Arial"/>
                      <w:sz w:val="22"/>
                      <w:szCs w:val="22"/>
                    </w:rPr>
                  </w:pPr>
                  <w:r w:rsidRPr="00360541">
                    <w:rPr>
                      <w:rFonts w:ascii="Arial" w:hAnsi="Arial" w:cs="Arial"/>
                      <w:sz w:val="22"/>
                      <w:szCs w:val="22"/>
                    </w:rPr>
                    <w:t>19</w:t>
                  </w:r>
                  <w:r w:rsidR="00714F28" w:rsidRPr="00360541">
                    <w:rPr>
                      <w:rFonts w:ascii="Arial" w:hAnsi="Arial" w:cs="Arial"/>
                      <w:sz w:val="22"/>
                      <w:szCs w:val="22"/>
                    </w:rPr>
                    <w:t>.</w:t>
                  </w:r>
                  <w:r w:rsidRPr="00360541">
                    <w:rPr>
                      <w:rFonts w:ascii="Arial" w:hAnsi="Arial" w:cs="Arial"/>
                      <w:sz w:val="22"/>
                      <w:szCs w:val="22"/>
                    </w:rPr>
                    <w:t>8</w:t>
                  </w:r>
                  <w:r w:rsidR="00693334" w:rsidRPr="00360541">
                    <w:rPr>
                      <w:rFonts w:ascii="Arial" w:hAnsi="Arial" w:cs="Arial"/>
                      <w:sz w:val="22"/>
                      <w:szCs w:val="22"/>
                    </w:rPr>
                    <w:t>p</w:t>
                  </w:r>
                </w:p>
              </w:tc>
              <w:tc>
                <w:tcPr>
                  <w:tcW w:w="1544" w:type="dxa"/>
                  <w:tcBorders>
                    <w:top w:val="nil"/>
                    <w:left w:val="nil"/>
                    <w:bottom w:val="nil"/>
                    <w:right w:val="nil"/>
                  </w:tcBorders>
                </w:tcPr>
                <w:p w14:paraId="0053E5BB" w14:textId="1ED496F7" w:rsidR="00365335" w:rsidRPr="00360541" w:rsidRDefault="00365335" w:rsidP="00365335">
                  <w:pPr>
                    <w:jc w:val="right"/>
                    <w:rPr>
                      <w:rFonts w:ascii="Arial" w:hAnsi="Arial" w:cs="Arial"/>
                      <w:sz w:val="22"/>
                      <w:szCs w:val="22"/>
                    </w:rPr>
                  </w:pPr>
                  <w:r w:rsidRPr="00360541">
                    <w:rPr>
                      <w:rFonts w:ascii="Arial" w:hAnsi="Arial" w:cs="Arial"/>
                      <w:sz w:val="22"/>
                      <w:szCs w:val="22"/>
                    </w:rPr>
                    <w:t>2</w:t>
                  </w:r>
                  <w:r w:rsidR="00431AC5" w:rsidRPr="00360541">
                    <w:rPr>
                      <w:rFonts w:ascii="Arial" w:hAnsi="Arial" w:cs="Arial"/>
                      <w:sz w:val="22"/>
                      <w:szCs w:val="22"/>
                    </w:rPr>
                    <w:t>1</w:t>
                  </w:r>
                  <w:r w:rsidRPr="00360541">
                    <w:rPr>
                      <w:rFonts w:ascii="Arial" w:hAnsi="Arial" w:cs="Arial"/>
                      <w:sz w:val="22"/>
                      <w:szCs w:val="22"/>
                    </w:rPr>
                    <w:t>.</w:t>
                  </w:r>
                  <w:r w:rsidR="00431AC5" w:rsidRPr="00360541">
                    <w:rPr>
                      <w:rFonts w:ascii="Arial" w:hAnsi="Arial" w:cs="Arial"/>
                      <w:sz w:val="22"/>
                      <w:szCs w:val="22"/>
                    </w:rPr>
                    <w:t>8</w:t>
                  </w:r>
                  <w:r w:rsidRPr="00360541">
                    <w:rPr>
                      <w:rFonts w:ascii="Arial" w:hAnsi="Arial" w:cs="Arial"/>
                      <w:sz w:val="22"/>
                      <w:szCs w:val="22"/>
                    </w:rPr>
                    <w:t>p</w:t>
                  </w:r>
                </w:p>
              </w:tc>
              <w:tc>
                <w:tcPr>
                  <w:tcW w:w="1455" w:type="dxa"/>
                  <w:tcBorders>
                    <w:top w:val="nil"/>
                    <w:left w:val="nil"/>
                    <w:bottom w:val="nil"/>
                    <w:right w:val="nil"/>
                  </w:tcBorders>
                </w:tcPr>
                <w:p w14:paraId="2DA0DFC5" w14:textId="7B69E795" w:rsidR="00365335" w:rsidRPr="00360541" w:rsidRDefault="00365335" w:rsidP="00365335">
                  <w:pPr>
                    <w:jc w:val="right"/>
                    <w:rPr>
                      <w:rFonts w:ascii="Arial" w:hAnsi="Arial" w:cs="Arial"/>
                      <w:sz w:val="22"/>
                      <w:szCs w:val="22"/>
                    </w:rPr>
                  </w:pPr>
                  <w:r w:rsidRPr="00360541">
                    <w:rPr>
                      <w:rFonts w:ascii="Arial" w:hAnsi="Arial" w:cs="Arial"/>
                      <w:sz w:val="22"/>
                      <w:szCs w:val="22"/>
                    </w:rPr>
                    <w:t>(</w:t>
                  </w:r>
                  <w:proofErr w:type="gramStart"/>
                  <w:r w:rsidR="007E196C" w:rsidRPr="00360541">
                    <w:rPr>
                      <w:rFonts w:ascii="Arial" w:hAnsi="Arial" w:cs="Arial"/>
                      <w:sz w:val="22"/>
                      <w:szCs w:val="22"/>
                    </w:rPr>
                    <w:t>9.</w:t>
                  </w:r>
                  <w:r w:rsidR="00EF7D2C" w:rsidRPr="00360541">
                    <w:rPr>
                      <w:rFonts w:ascii="Arial" w:hAnsi="Arial" w:cs="Arial"/>
                      <w:sz w:val="22"/>
                      <w:szCs w:val="22"/>
                    </w:rPr>
                    <w:t>2</w:t>
                  </w:r>
                  <w:r w:rsidRPr="00360541">
                    <w:rPr>
                      <w:rFonts w:ascii="Arial" w:hAnsi="Arial" w:cs="Arial"/>
                      <w:sz w:val="22"/>
                      <w:szCs w:val="22"/>
                    </w:rPr>
                    <w:t>)%</w:t>
                  </w:r>
                  <w:proofErr w:type="gramEnd"/>
                </w:p>
              </w:tc>
              <w:tc>
                <w:tcPr>
                  <w:tcW w:w="1200" w:type="dxa"/>
                  <w:tcBorders>
                    <w:top w:val="nil"/>
                    <w:left w:val="nil"/>
                    <w:bottom w:val="nil"/>
                    <w:right w:val="nil"/>
                  </w:tcBorders>
                </w:tcPr>
                <w:p w14:paraId="0FB5622F" w14:textId="77777777" w:rsidR="00365335" w:rsidRPr="00360541" w:rsidRDefault="00365335" w:rsidP="00365335">
                  <w:pPr>
                    <w:rPr>
                      <w:rFonts w:ascii="Arial" w:hAnsi="Arial" w:cs="Arial"/>
                      <w:sz w:val="22"/>
                      <w:szCs w:val="22"/>
                      <w:highlight w:val="yellow"/>
                    </w:rPr>
                  </w:pPr>
                </w:p>
              </w:tc>
              <w:tc>
                <w:tcPr>
                  <w:tcW w:w="1200" w:type="dxa"/>
                  <w:tcBorders>
                    <w:top w:val="nil"/>
                    <w:left w:val="nil"/>
                    <w:bottom w:val="nil"/>
                    <w:right w:val="nil"/>
                  </w:tcBorders>
                </w:tcPr>
                <w:p w14:paraId="3C84703A" w14:textId="77777777" w:rsidR="00365335" w:rsidRPr="00360541" w:rsidRDefault="00365335" w:rsidP="00365335">
                  <w:pPr>
                    <w:rPr>
                      <w:rFonts w:ascii="Arial" w:hAnsi="Arial" w:cs="Arial"/>
                      <w:sz w:val="22"/>
                      <w:szCs w:val="22"/>
                      <w:highlight w:val="yellow"/>
                    </w:rPr>
                  </w:pPr>
                </w:p>
              </w:tc>
            </w:tr>
            <w:tr w:rsidR="00365335" w14:paraId="6F1ABFEE" w14:textId="77777777" w:rsidTr="00D86BB6">
              <w:trPr>
                <w:trHeight w:val="269"/>
              </w:trPr>
              <w:tc>
                <w:tcPr>
                  <w:tcW w:w="2912" w:type="dxa"/>
                  <w:tcBorders>
                    <w:top w:val="nil"/>
                    <w:left w:val="nil"/>
                    <w:bottom w:val="nil"/>
                    <w:right w:val="nil"/>
                  </w:tcBorders>
                </w:tcPr>
                <w:p w14:paraId="003BE209" w14:textId="62C8DF5D" w:rsidR="00365335" w:rsidRPr="00360541" w:rsidDel="0008206F" w:rsidRDefault="00365335" w:rsidP="00365335">
                  <w:pPr>
                    <w:jc w:val="left"/>
                    <w:rPr>
                      <w:rFonts w:ascii="Arial" w:hAnsi="Arial" w:cs="Arial"/>
                      <w:sz w:val="22"/>
                      <w:szCs w:val="22"/>
                    </w:rPr>
                  </w:pPr>
                  <w:r w:rsidRPr="00360541">
                    <w:rPr>
                      <w:rFonts w:ascii="Arial" w:hAnsi="Arial" w:cs="Arial"/>
                      <w:sz w:val="22"/>
                      <w:szCs w:val="22"/>
                    </w:rPr>
                    <w:t>Lease adjusted ROCE*</w:t>
                  </w:r>
                  <w:r w:rsidR="00057857" w:rsidRPr="00360541">
                    <w:rPr>
                      <w:rFonts w:ascii="Arial" w:hAnsi="Arial" w:cs="Arial"/>
                      <w:sz w:val="22"/>
                      <w:szCs w:val="22"/>
                      <w:vertAlign w:val="superscript"/>
                    </w:rPr>
                    <w:t>(1)</w:t>
                  </w:r>
                </w:p>
              </w:tc>
              <w:tc>
                <w:tcPr>
                  <w:tcW w:w="1106" w:type="dxa"/>
                  <w:tcBorders>
                    <w:top w:val="nil"/>
                    <w:left w:val="nil"/>
                    <w:bottom w:val="nil"/>
                    <w:right w:val="nil"/>
                  </w:tcBorders>
                </w:tcPr>
                <w:p w14:paraId="145B1E6E" w14:textId="28E64999" w:rsidR="00365335" w:rsidRPr="00360541" w:rsidRDefault="002064A9" w:rsidP="00365335">
                  <w:pPr>
                    <w:jc w:val="right"/>
                    <w:rPr>
                      <w:rFonts w:ascii="Arial" w:hAnsi="Arial" w:cs="Arial"/>
                      <w:sz w:val="22"/>
                      <w:szCs w:val="22"/>
                    </w:rPr>
                  </w:pPr>
                  <w:r w:rsidRPr="00360541">
                    <w:rPr>
                      <w:rFonts w:ascii="Arial" w:hAnsi="Arial" w:cs="Arial"/>
                      <w:sz w:val="22"/>
                      <w:szCs w:val="22"/>
                    </w:rPr>
                    <w:t>9.</w:t>
                  </w:r>
                  <w:r w:rsidR="00AA29FF" w:rsidRPr="00360541">
                    <w:rPr>
                      <w:rFonts w:ascii="Arial" w:hAnsi="Arial" w:cs="Arial"/>
                      <w:sz w:val="22"/>
                      <w:szCs w:val="22"/>
                    </w:rPr>
                    <w:t>7</w:t>
                  </w:r>
                  <w:r w:rsidR="00365335" w:rsidRPr="00360541">
                    <w:rPr>
                      <w:rFonts w:ascii="Arial" w:hAnsi="Arial" w:cs="Arial"/>
                      <w:sz w:val="22"/>
                      <w:szCs w:val="22"/>
                    </w:rPr>
                    <w:t>%</w:t>
                  </w:r>
                </w:p>
              </w:tc>
              <w:tc>
                <w:tcPr>
                  <w:tcW w:w="1544" w:type="dxa"/>
                  <w:tcBorders>
                    <w:top w:val="nil"/>
                    <w:left w:val="nil"/>
                    <w:bottom w:val="nil"/>
                    <w:right w:val="nil"/>
                  </w:tcBorders>
                </w:tcPr>
                <w:p w14:paraId="06AB2D6B" w14:textId="15C5F469" w:rsidR="00365335" w:rsidRPr="00360541" w:rsidDel="0008206F" w:rsidRDefault="00365335" w:rsidP="00365335">
                  <w:pPr>
                    <w:jc w:val="right"/>
                    <w:rPr>
                      <w:rFonts w:ascii="Arial" w:hAnsi="Arial" w:cs="Arial"/>
                      <w:sz w:val="22"/>
                      <w:szCs w:val="22"/>
                    </w:rPr>
                  </w:pPr>
                  <w:r w:rsidRPr="00360541">
                    <w:rPr>
                      <w:rFonts w:ascii="Arial" w:hAnsi="Arial" w:cs="Arial"/>
                      <w:sz w:val="22"/>
                      <w:szCs w:val="22"/>
                    </w:rPr>
                    <w:t>1</w:t>
                  </w:r>
                  <w:r w:rsidR="00431AC5" w:rsidRPr="00360541">
                    <w:rPr>
                      <w:rFonts w:ascii="Arial" w:hAnsi="Arial" w:cs="Arial"/>
                      <w:sz w:val="22"/>
                      <w:szCs w:val="22"/>
                    </w:rPr>
                    <w:t>0</w:t>
                  </w:r>
                  <w:r w:rsidRPr="00360541">
                    <w:rPr>
                      <w:rFonts w:ascii="Arial" w:hAnsi="Arial" w:cs="Arial"/>
                      <w:sz w:val="22"/>
                      <w:szCs w:val="22"/>
                    </w:rPr>
                    <w:t>.</w:t>
                  </w:r>
                  <w:r w:rsidR="00431AC5" w:rsidRPr="00360541">
                    <w:rPr>
                      <w:rFonts w:ascii="Arial" w:hAnsi="Arial" w:cs="Arial"/>
                      <w:sz w:val="22"/>
                      <w:szCs w:val="22"/>
                    </w:rPr>
                    <w:t>4</w:t>
                  </w:r>
                  <w:r w:rsidRPr="00360541">
                    <w:rPr>
                      <w:rFonts w:ascii="Arial" w:hAnsi="Arial" w:cs="Arial"/>
                      <w:sz w:val="22"/>
                      <w:szCs w:val="22"/>
                    </w:rPr>
                    <w:t>%</w:t>
                  </w:r>
                </w:p>
              </w:tc>
              <w:tc>
                <w:tcPr>
                  <w:tcW w:w="1455" w:type="dxa"/>
                  <w:tcBorders>
                    <w:top w:val="nil"/>
                    <w:left w:val="nil"/>
                    <w:bottom w:val="nil"/>
                    <w:right w:val="nil"/>
                  </w:tcBorders>
                </w:tcPr>
                <w:p w14:paraId="6FFA2057" w14:textId="25A23FD6" w:rsidR="00365335" w:rsidRPr="00360541" w:rsidRDefault="00480087" w:rsidP="00365335">
                  <w:pPr>
                    <w:jc w:val="right"/>
                    <w:rPr>
                      <w:rFonts w:ascii="Arial" w:hAnsi="Arial" w:cs="Arial"/>
                      <w:sz w:val="22"/>
                      <w:szCs w:val="22"/>
                    </w:rPr>
                  </w:pPr>
                  <w:r w:rsidRPr="00360541">
                    <w:rPr>
                      <w:rFonts w:ascii="Arial" w:hAnsi="Arial" w:cs="Arial"/>
                      <w:sz w:val="22"/>
                      <w:szCs w:val="22"/>
                    </w:rPr>
                    <w:t>(</w:t>
                  </w:r>
                  <w:proofErr w:type="gramStart"/>
                  <w:r w:rsidR="00AA29FF" w:rsidRPr="00360541">
                    <w:rPr>
                      <w:rFonts w:ascii="Arial" w:hAnsi="Arial" w:cs="Arial"/>
                      <w:sz w:val="22"/>
                      <w:szCs w:val="22"/>
                    </w:rPr>
                    <w:t>7</w:t>
                  </w:r>
                  <w:r w:rsidR="005C2F2F" w:rsidRPr="00360541">
                    <w:rPr>
                      <w:rFonts w:ascii="Arial" w:hAnsi="Arial" w:cs="Arial"/>
                      <w:sz w:val="22"/>
                      <w:szCs w:val="22"/>
                    </w:rPr>
                    <w:t>0</w:t>
                  </w:r>
                  <w:r w:rsidR="008F1704" w:rsidRPr="00360541">
                    <w:rPr>
                      <w:rFonts w:ascii="Arial" w:hAnsi="Arial" w:cs="Arial"/>
                      <w:sz w:val="22"/>
                      <w:szCs w:val="22"/>
                    </w:rPr>
                    <w:t>)</w:t>
                  </w:r>
                  <w:r w:rsidR="00365335" w:rsidRPr="00360541">
                    <w:rPr>
                      <w:rFonts w:ascii="Arial" w:hAnsi="Arial" w:cs="Arial"/>
                      <w:sz w:val="22"/>
                      <w:szCs w:val="22"/>
                    </w:rPr>
                    <w:t>bps</w:t>
                  </w:r>
                  <w:proofErr w:type="gramEnd"/>
                </w:p>
              </w:tc>
              <w:tc>
                <w:tcPr>
                  <w:tcW w:w="1200" w:type="dxa"/>
                  <w:tcBorders>
                    <w:top w:val="nil"/>
                    <w:left w:val="nil"/>
                    <w:bottom w:val="nil"/>
                    <w:right w:val="nil"/>
                  </w:tcBorders>
                </w:tcPr>
                <w:p w14:paraId="69B79E06" w14:textId="77777777" w:rsidR="00365335" w:rsidRPr="00360541" w:rsidRDefault="00365335" w:rsidP="00365335">
                  <w:pPr>
                    <w:rPr>
                      <w:rFonts w:ascii="Arial" w:hAnsi="Arial" w:cs="Arial"/>
                      <w:sz w:val="22"/>
                      <w:szCs w:val="22"/>
                      <w:highlight w:val="yellow"/>
                    </w:rPr>
                  </w:pPr>
                </w:p>
              </w:tc>
              <w:tc>
                <w:tcPr>
                  <w:tcW w:w="1200" w:type="dxa"/>
                  <w:tcBorders>
                    <w:top w:val="nil"/>
                    <w:left w:val="nil"/>
                    <w:bottom w:val="nil"/>
                    <w:right w:val="nil"/>
                  </w:tcBorders>
                </w:tcPr>
                <w:p w14:paraId="4436384D" w14:textId="77777777" w:rsidR="00365335" w:rsidRPr="00360541" w:rsidRDefault="00365335" w:rsidP="00365335">
                  <w:pPr>
                    <w:rPr>
                      <w:rFonts w:ascii="Arial" w:hAnsi="Arial" w:cs="Arial"/>
                      <w:sz w:val="22"/>
                      <w:szCs w:val="22"/>
                      <w:highlight w:val="yellow"/>
                    </w:rPr>
                  </w:pPr>
                </w:p>
              </w:tc>
            </w:tr>
            <w:tr w:rsidR="00365335" w14:paraId="5E7C0683" w14:textId="77777777" w:rsidTr="00D86BB6">
              <w:trPr>
                <w:trHeight w:val="269"/>
              </w:trPr>
              <w:tc>
                <w:tcPr>
                  <w:tcW w:w="2912" w:type="dxa"/>
                  <w:tcBorders>
                    <w:top w:val="nil"/>
                    <w:left w:val="nil"/>
                    <w:bottom w:val="nil"/>
                    <w:right w:val="nil"/>
                  </w:tcBorders>
                </w:tcPr>
                <w:p w14:paraId="7042051E" w14:textId="77777777" w:rsidR="00365335" w:rsidRPr="00360541" w:rsidRDefault="00365335" w:rsidP="00365335">
                  <w:pPr>
                    <w:jc w:val="left"/>
                    <w:rPr>
                      <w:rFonts w:ascii="Arial" w:hAnsi="Arial" w:cs="Arial"/>
                      <w:sz w:val="22"/>
                      <w:szCs w:val="22"/>
                    </w:rPr>
                  </w:pPr>
                  <w:r w:rsidRPr="00360541">
                    <w:rPr>
                      <w:rFonts w:ascii="Arial" w:hAnsi="Arial" w:cs="Arial"/>
                      <w:sz w:val="22"/>
                      <w:szCs w:val="22"/>
                    </w:rPr>
                    <w:t>Full year dividend</w:t>
                  </w:r>
                </w:p>
              </w:tc>
              <w:tc>
                <w:tcPr>
                  <w:tcW w:w="1106" w:type="dxa"/>
                  <w:tcBorders>
                    <w:top w:val="nil"/>
                    <w:left w:val="nil"/>
                    <w:bottom w:val="nil"/>
                    <w:right w:val="nil"/>
                  </w:tcBorders>
                </w:tcPr>
                <w:p w14:paraId="2FCB5340" w14:textId="770CCC09" w:rsidR="00365335" w:rsidRPr="00360541" w:rsidRDefault="002064A9" w:rsidP="00365335">
                  <w:pPr>
                    <w:jc w:val="right"/>
                    <w:rPr>
                      <w:rFonts w:ascii="Arial" w:hAnsi="Arial" w:cs="Arial"/>
                      <w:sz w:val="22"/>
                      <w:szCs w:val="22"/>
                    </w:rPr>
                  </w:pPr>
                  <w:r w:rsidRPr="00360541">
                    <w:rPr>
                      <w:rFonts w:ascii="Arial" w:hAnsi="Arial" w:cs="Arial"/>
                      <w:sz w:val="22"/>
                      <w:szCs w:val="22"/>
                    </w:rPr>
                    <w:t>10.8</w:t>
                  </w:r>
                  <w:r w:rsidR="008F1704" w:rsidRPr="00360541">
                    <w:rPr>
                      <w:rFonts w:ascii="Arial" w:hAnsi="Arial" w:cs="Arial"/>
                      <w:sz w:val="22"/>
                      <w:szCs w:val="22"/>
                    </w:rPr>
                    <w:t>p</w:t>
                  </w:r>
                </w:p>
              </w:tc>
              <w:tc>
                <w:tcPr>
                  <w:tcW w:w="1544" w:type="dxa"/>
                  <w:tcBorders>
                    <w:top w:val="nil"/>
                    <w:left w:val="nil"/>
                    <w:bottom w:val="nil"/>
                    <w:right w:val="nil"/>
                  </w:tcBorders>
                </w:tcPr>
                <w:p w14:paraId="264581C3" w14:textId="663E109F" w:rsidR="00365335" w:rsidRPr="00360541" w:rsidRDefault="00365335" w:rsidP="00365335">
                  <w:pPr>
                    <w:jc w:val="right"/>
                    <w:rPr>
                      <w:rFonts w:ascii="Arial" w:hAnsi="Arial" w:cs="Arial"/>
                      <w:sz w:val="22"/>
                      <w:szCs w:val="22"/>
                    </w:rPr>
                  </w:pPr>
                  <w:r w:rsidRPr="00360541">
                    <w:rPr>
                      <w:rFonts w:ascii="Arial" w:hAnsi="Arial" w:cs="Arial"/>
                      <w:sz w:val="22"/>
                      <w:szCs w:val="22"/>
                    </w:rPr>
                    <w:t>10.</w:t>
                  </w:r>
                  <w:r w:rsidR="00431AC5" w:rsidRPr="00360541">
                    <w:rPr>
                      <w:rFonts w:ascii="Arial" w:hAnsi="Arial" w:cs="Arial"/>
                      <w:sz w:val="22"/>
                      <w:szCs w:val="22"/>
                    </w:rPr>
                    <w:t>8</w:t>
                  </w:r>
                  <w:r w:rsidRPr="00360541">
                    <w:rPr>
                      <w:rFonts w:ascii="Arial" w:hAnsi="Arial" w:cs="Arial"/>
                      <w:sz w:val="22"/>
                      <w:szCs w:val="22"/>
                    </w:rPr>
                    <w:t>p</w:t>
                  </w:r>
                </w:p>
              </w:tc>
              <w:tc>
                <w:tcPr>
                  <w:tcW w:w="1455" w:type="dxa"/>
                  <w:tcBorders>
                    <w:top w:val="nil"/>
                    <w:left w:val="nil"/>
                    <w:bottom w:val="nil"/>
                    <w:right w:val="nil"/>
                  </w:tcBorders>
                </w:tcPr>
                <w:p w14:paraId="538FE291" w14:textId="3086D0E1" w:rsidR="00365335" w:rsidRPr="00360541" w:rsidRDefault="002064A9" w:rsidP="00365335">
                  <w:pPr>
                    <w:jc w:val="right"/>
                    <w:rPr>
                      <w:rFonts w:ascii="Arial" w:hAnsi="Arial" w:cs="Arial"/>
                      <w:sz w:val="22"/>
                      <w:szCs w:val="22"/>
                    </w:rPr>
                  </w:pPr>
                  <w:r w:rsidRPr="00360541">
                    <w:rPr>
                      <w:rFonts w:ascii="Arial" w:hAnsi="Arial" w:cs="Arial"/>
                      <w:sz w:val="22"/>
                      <w:szCs w:val="22"/>
                    </w:rPr>
                    <w:t>-</w:t>
                  </w:r>
                </w:p>
              </w:tc>
              <w:tc>
                <w:tcPr>
                  <w:tcW w:w="1200" w:type="dxa"/>
                  <w:tcBorders>
                    <w:top w:val="nil"/>
                    <w:left w:val="nil"/>
                    <w:bottom w:val="nil"/>
                    <w:right w:val="nil"/>
                  </w:tcBorders>
                </w:tcPr>
                <w:p w14:paraId="51F3AE84" w14:textId="77777777" w:rsidR="00365335" w:rsidRPr="00360541" w:rsidRDefault="00365335" w:rsidP="00365335">
                  <w:pPr>
                    <w:rPr>
                      <w:rFonts w:ascii="Arial" w:hAnsi="Arial" w:cs="Arial"/>
                      <w:sz w:val="22"/>
                      <w:szCs w:val="22"/>
                    </w:rPr>
                  </w:pPr>
                </w:p>
              </w:tc>
              <w:tc>
                <w:tcPr>
                  <w:tcW w:w="1200" w:type="dxa"/>
                  <w:tcBorders>
                    <w:top w:val="nil"/>
                    <w:left w:val="nil"/>
                    <w:bottom w:val="nil"/>
                    <w:right w:val="nil"/>
                  </w:tcBorders>
                </w:tcPr>
                <w:p w14:paraId="0C7ACFA1" w14:textId="77777777" w:rsidR="00365335" w:rsidRPr="00360541" w:rsidRDefault="00365335" w:rsidP="00365335">
                  <w:pPr>
                    <w:rPr>
                      <w:rFonts w:ascii="Arial" w:hAnsi="Arial" w:cs="Arial"/>
                      <w:sz w:val="22"/>
                      <w:szCs w:val="22"/>
                      <w:highlight w:val="yellow"/>
                    </w:rPr>
                  </w:pPr>
                </w:p>
              </w:tc>
            </w:tr>
            <w:tr w:rsidR="00365335" w14:paraId="2864EB21" w14:textId="77777777" w:rsidTr="00D86BB6">
              <w:trPr>
                <w:trHeight w:val="269"/>
              </w:trPr>
              <w:tc>
                <w:tcPr>
                  <w:tcW w:w="2912" w:type="dxa"/>
                  <w:tcBorders>
                    <w:top w:val="nil"/>
                    <w:left w:val="nil"/>
                    <w:bottom w:val="single" w:sz="4" w:space="0" w:color="auto"/>
                    <w:right w:val="nil"/>
                  </w:tcBorders>
                </w:tcPr>
                <w:p w14:paraId="5712C42D" w14:textId="77777777" w:rsidR="00365335" w:rsidRPr="00360541" w:rsidRDefault="00365335" w:rsidP="00365335">
                  <w:pPr>
                    <w:jc w:val="left"/>
                    <w:rPr>
                      <w:rFonts w:ascii="Arial" w:hAnsi="Arial" w:cs="Arial"/>
                      <w:sz w:val="22"/>
                      <w:szCs w:val="22"/>
                    </w:rPr>
                  </w:pPr>
                  <w:r w:rsidRPr="00360541">
                    <w:rPr>
                      <w:rFonts w:ascii="Arial" w:hAnsi="Arial" w:cs="Arial"/>
                      <w:sz w:val="22"/>
                      <w:szCs w:val="22"/>
                    </w:rPr>
                    <w:t>Net cash*</w:t>
                  </w:r>
                </w:p>
              </w:tc>
              <w:tc>
                <w:tcPr>
                  <w:tcW w:w="1106" w:type="dxa"/>
                  <w:tcBorders>
                    <w:top w:val="nil"/>
                    <w:left w:val="nil"/>
                    <w:bottom w:val="single" w:sz="4" w:space="0" w:color="auto"/>
                    <w:right w:val="nil"/>
                  </w:tcBorders>
                </w:tcPr>
                <w:p w14:paraId="05FCE478" w14:textId="354224D8" w:rsidR="00365335" w:rsidRPr="00360541" w:rsidRDefault="00365335" w:rsidP="00365335">
                  <w:pPr>
                    <w:jc w:val="right"/>
                    <w:rPr>
                      <w:rFonts w:ascii="Arial" w:hAnsi="Arial" w:cs="Arial"/>
                      <w:sz w:val="22"/>
                      <w:szCs w:val="22"/>
                    </w:rPr>
                  </w:pPr>
                  <w:r w:rsidRPr="00360541">
                    <w:rPr>
                      <w:rFonts w:ascii="Arial" w:hAnsi="Arial" w:cs="Arial"/>
                      <w:sz w:val="22"/>
                      <w:szCs w:val="22"/>
                    </w:rPr>
                    <w:t>£</w:t>
                  </w:r>
                  <w:r w:rsidR="00BE7CC9" w:rsidRPr="00360541">
                    <w:rPr>
                      <w:rFonts w:ascii="Arial" w:hAnsi="Arial" w:cs="Arial"/>
                      <w:sz w:val="22"/>
                      <w:szCs w:val="22"/>
                    </w:rPr>
                    <w:t>4</w:t>
                  </w:r>
                  <w:r w:rsidRPr="00360541">
                    <w:rPr>
                      <w:rFonts w:ascii="Arial" w:hAnsi="Arial" w:cs="Arial"/>
                      <w:sz w:val="22"/>
                      <w:szCs w:val="22"/>
                    </w:rPr>
                    <w:t>8m</w:t>
                  </w:r>
                </w:p>
              </w:tc>
              <w:tc>
                <w:tcPr>
                  <w:tcW w:w="1544" w:type="dxa"/>
                  <w:tcBorders>
                    <w:top w:val="nil"/>
                    <w:left w:val="nil"/>
                    <w:bottom w:val="single" w:sz="4" w:space="0" w:color="auto"/>
                    <w:right w:val="nil"/>
                  </w:tcBorders>
                </w:tcPr>
                <w:p w14:paraId="51D57535" w14:textId="74AECC16" w:rsidR="00365335" w:rsidRPr="00360541" w:rsidRDefault="00365335" w:rsidP="00365335">
                  <w:pPr>
                    <w:jc w:val="right"/>
                    <w:rPr>
                      <w:rFonts w:ascii="Arial" w:hAnsi="Arial" w:cs="Arial"/>
                      <w:sz w:val="22"/>
                      <w:szCs w:val="22"/>
                    </w:rPr>
                  </w:pPr>
                  <w:r w:rsidRPr="00360541">
                    <w:rPr>
                      <w:rFonts w:ascii="Arial" w:hAnsi="Arial" w:cs="Arial"/>
                      <w:sz w:val="22"/>
                      <w:szCs w:val="22"/>
                    </w:rPr>
                    <w:t>£6</w:t>
                  </w:r>
                  <w:r w:rsidR="00431AC5" w:rsidRPr="00360541">
                    <w:rPr>
                      <w:rFonts w:ascii="Arial" w:hAnsi="Arial" w:cs="Arial"/>
                      <w:sz w:val="22"/>
                      <w:szCs w:val="22"/>
                    </w:rPr>
                    <w:t>8</w:t>
                  </w:r>
                  <w:r w:rsidRPr="00360541">
                    <w:rPr>
                      <w:rFonts w:ascii="Arial" w:hAnsi="Arial" w:cs="Arial"/>
                      <w:sz w:val="22"/>
                      <w:szCs w:val="22"/>
                    </w:rPr>
                    <w:t>m</w:t>
                  </w:r>
                </w:p>
              </w:tc>
              <w:tc>
                <w:tcPr>
                  <w:tcW w:w="1455" w:type="dxa"/>
                  <w:tcBorders>
                    <w:top w:val="nil"/>
                    <w:left w:val="nil"/>
                    <w:bottom w:val="single" w:sz="4" w:space="0" w:color="auto"/>
                    <w:right w:val="nil"/>
                  </w:tcBorders>
                </w:tcPr>
                <w:p w14:paraId="04FE5324" w14:textId="77777777" w:rsidR="00365335" w:rsidRPr="00360541" w:rsidRDefault="00365335" w:rsidP="00365335">
                  <w:pPr>
                    <w:jc w:val="right"/>
                    <w:rPr>
                      <w:rFonts w:ascii="Arial" w:hAnsi="Arial" w:cs="Arial"/>
                      <w:sz w:val="22"/>
                      <w:szCs w:val="22"/>
                    </w:rPr>
                  </w:pPr>
                  <w:r w:rsidRPr="00360541">
                    <w:rPr>
                      <w:rFonts w:ascii="Arial" w:hAnsi="Arial" w:cs="Arial"/>
                      <w:sz w:val="22"/>
                      <w:szCs w:val="22"/>
                    </w:rPr>
                    <w:t>n/a</w:t>
                  </w:r>
                </w:p>
              </w:tc>
              <w:tc>
                <w:tcPr>
                  <w:tcW w:w="1200" w:type="dxa"/>
                  <w:tcBorders>
                    <w:top w:val="nil"/>
                    <w:left w:val="nil"/>
                    <w:bottom w:val="single" w:sz="4" w:space="0" w:color="auto"/>
                    <w:right w:val="nil"/>
                  </w:tcBorders>
                </w:tcPr>
                <w:p w14:paraId="2BC83A3C" w14:textId="77777777" w:rsidR="00365335" w:rsidRPr="00360541" w:rsidRDefault="00365335" w:rsidP="00365335">
                  <w:pPr>
                    <w:rPr>
                      <w:rFonts w:ascii="Arial" w:hAnsi="Arial" w:cs="Arial"/>
                      <w:sz w:val="22"/>
                      <w:szCs w:val="22"/>
                      <w:highlight w:val="yellow"/>
                    </w:rPr>
                  </w:pPr>
                </w:p>
              </w:tc>
              <w:tc>
                <w:tcPr>
                  <w:tcW w:w="1200" w:type="dxa"/>
                  <w:tcBorders>
                    <w:top w:val="nil"/>
                    <w:left w:val="nil"/>
                    <w:bottom w:val="single" w:sz="4" w:space="0" w:color="auto"/>
                    <w:right w:val="nil"/>
                  </w:tcBorders>
                </w:tcPr>
                <w:p w14:paraId="3B6EE571" w14:textId="77777777" w:rsidR="00365335" w:rsidRPr="00360541" w:rsidRDefault="00365335" w:rsidP="00365335">
                  <w:pPr>
                    <w:rPr>
                      <w:rFonts w:ascii="Arial" w:hAnsi="Arial" w:cs="Arial"/>
                      <w:sz w:val="22"/>
                      <w:szCs w:val="22"/>
                      <w:highlight w:val="yellow"/>
                    </w:rPr>
                  </w:pPr>
                </w:p>
              </w:tc>
            </w:tr>
            <w:tr w:rsidR="00365335" w14:paraId="2286986E" w14:textId="77777777" w:rsidTr="0018703F">
              <w:trPr>
                <w:trHeight w:val="398"/>
              </w:trPr>
              <w:tc>
                <w:tcPr>
                  <w:tcW w:w="9417" w:type="dxa"/>
                  <w:gridSpan w:val="6"/>
                  <w:tcBorders>
                    <w:top w:val="single" w:sz="4" w:space="0" w:color="auto"/>
                    <w:left w:val="nil"/>
                    <w:bottom w:val="nil"/>
                    <w:right w:val="nil"/>
                  </w:tcBorders>
                </w:tcPr>
                <w:p w14:paraId="429D2AFA" w14:textId="036857A9" w:rsidR="00365335" w:rsidRPr="0035009E" w:rsidRDefault="00765266" w:rsidP="00765266">
                  <w:pPr>
                    <w:jc w:val="left"/>
                    <w:rPr>
                      <w:rFonts w:ascii="Arial" w:hAnsi="Arial" w:cs="Arial"/>
                      <w:sz w:val="18"/>
                    </w:rPr>
                  </w:pPr>
                  <w:r w:rsidRPr="0035009E">
                    <w:rPr>
                      <w:rFonts w:ascii="Arial" w:hAnsi="Arial" w:cs="Arial"/>
                      <w:sz w:val="18"/>
                      <w:vertAlign w:val="superscript"/>
                    </w:rPr>
                    <w:t>(</w:t>
                  </w:r>
                  <w:r w:rsidR="00B14821" w:rsidRPr="0035009E">
                    <w:rPr>
                      <w:rFonts w:ascii="Arial" w:hAnsi="Arial" w:cs="Arial"/>
                      <w:sz w:val="18"/>
                      <w:vertAlign w:val="superscript"/>
                    </w:rPr>
                    <w:t>1</w:t>
                  </w:r>
                  <w:r w:rsidRPr="0035009E">
                    <w:rPr>
                      <w:rFonts w:ascii="Arial" w:hAnsi="Arial" w:cs="Arial"/>
                      <w:sz w:val="18"/>
                      <w:vertAlign w:val="superscript"/>
                    </w:rPr>
                    <w:t>)</w:t>
                  </w:r>
                  <w:r w:rsidRPr="0035009E">
                    <w:rPr>
                      <w:rFonts w:ascii="Arial" w:hAnsi="Arial" w:cs="Arial"/>
                      <w:sz w:val="18"/>
                    </w:rPr>
                    <w:t xml:space="preserve"> FY 2017/18 includes c.</w:t>
                  </w:r>
                  <w:r w:rsidR="00360541">
                    <w:rPr>
                      <w:rFonts w:ascii="Arial" w:hAnsi="Arial" w:cs="Arial"/>
                      <w:sz w:val="18"/>
                    </w:rPr>
                    <w:t xml:space="preserve"> </w:t>
                  </w:r>
                  <w:r w:rsidRPr="0035009E">
                    <w:rPr>
                      <w:rFonts w:ascii="Arial" w:hAnsi="Arial" w:cs="Arial"/>
                      <w:sz w:val="18"/>
                    </w:rPr>
                    <w:t>£20m corporate tax surcharge in France</w:t>
                  </w:r>
                </w:p>
              </w:tc>
            </w:tr>
          </w:tbl>
          <w:p w14:paraId="2092851C" w14:textId="77777777" w:rsidR="00A45362" w:rsidRPr="00D570CA" w:rsidRDefault="00A45362" w:rsidP="00A45362">
            <w:pPr>
              <w:jc w:val="left"/>
              <w:rPr>
                <w:rFonts w:ascii="Arial" w:hAnsi="Arial" w:cs="Arial"/>
                <w:b/>
                <w:bCs/>
                <w:sz w:val="24"/>
                <w:szCs w:val="24"/>
                <w:u w:val="single"/>
              </w:rPr>
            </w:pPr>
          </w:p>
        </w:tc>
      </w:tr>
    </w:tbl>
    <w:p w14:paraId="70A14083" w14:textId="77777777" w:rsidR="002F35FE" w:rsidRDefault="002F35FE" w:rsidP="00440B16">
      <w:pPr>
        <w:rPr>
          <w:rFonts w:ascii="Arial" w:hAnsi="Arial" w:cs="Arial"/>
          <w:b/>
          <w:bCs/>
          <w:sz w:val="24"/>
          <w:szCs w:val="24"/>
          <w:u w:val="single"/>
        </w:rPr>
      </w:pPr>
    </w:p>
    <w:p w14:paraId="3ABA1807" w14:textId="30976FA0" w:rsidR="005D455E" w:rsidRPr="00AF307A" w:rsidRDefault="005D455E" w:rsidP="005D455E">
      <w:pPr>
        <w:jc w:val="left"/>
        <w:rPr>
          <w:rFonts w:ascii="Arial" w:hAnsi="Arial" w:cs="Arial"/>
          <w:b/>
          <w:u w:val="single"/>
        </w:rPr>
      </w:pPr>
      <w:r w:rsidRPr="00AF307A">
        <w:rPr>
          <w:rFonts w:ascii="Arial" w:hAnsi="Arial" w:cs="Arial"/>
          <w:b/>
          <w:u w:val="single"/>
        </w:rPr>
        <w:t>FY 18/19 Group results</w:t>
      </w:r>
    </w:p>
    <w:p w14:paraId="1038A85A" w14:textId="527E1278" w:rsidR="005D455E" w:rsidRDefault="005D455E" w:rsidP="0053028B">
      <w:pPr>
        <w:pStyle w:val="ListParagraph"/>
        <w:numPr>
          <w:ilvl w:val="0"/>
          <w:numId w:val="19"/>
        </w:numPr>
        <w:ind w:left="360"/>
        <w:jc w:val="left"/>
        <w:rPr>
          <w:rFonts w:ascii="Arial" w:hAnsi="Arial" w:cs="Arial"/>
          <w:bCs/>
        </w:rPr>
      </w:pPr>
      <w:r w:rsidRPr="00AF307A">
        <w:rPr>
          <w:rFonts w:ascii="Arial" w:hAnsi="Arial" w:cs="Arial"/>
          <w:bCs/>
        </w:rPr>
        <w:t xml:space="preserve">Total sales up 0.3% </w:t>
      </w:r>
      <w:r w:rsidR="00910EED">
        <w:rPr>
          <w:rFonts w:ascii="Arial" w:hAnsi="Arial" w:cs="Arial"/>
          <w:bCs/>
        </w:rPr>
        <w:t>in</w:t>
      </w:r>
      <w:r w:rsidR="00910EED" w:rsidRPr="00AF307A">
        <w:rPr>
          <w:rFonts w:ascii="Arial" w:hAnsi="Arial" w:cs="Arial"/>
          <w:bCs/>
        </w:rPr>
        <w:t xml:space="preserve"> </w:t>
      </w:r>
      <w:r w:rsidRPr="00AF307A">
        <w:rPr>
          <w:rFonts w:ascii="Arial" w:hAnsi="Arial" w:cs="Arial"/>
          <w:bCs/>
        </w:rPr>
        <w:t>constant currency</w:t>
      </w:r>
      <w:r w:rsidR="00831951">
        <w:rPr>
          <w:rFonts w:ascii="Arial" w:hAnsi="Arial" w:cs="Arial"/>
          <w:bCs/>
        </w:rPr>
        <w:t>;</w:t>
      </w:r>
      <w:r w:rsidRPr="00AF307A">
        <w:rPr>
          <w:rFonts w:ascii="Arial" w:hAnsi="Arial" w:cs="Arial"/>
          <w:bCs/>
        </w:rPr>
        <w:t xml:space="preserve"> LFL down 1.6% </w:t>
      </w:r>
      <w:r w:rsidR="00831951">
        <w:rPr>
          <w:rFonts w:ascii="Arial" w:hAnsi="Arial" w:cs="Arial"/>
          <w:bCs/>
        </w:rPr>
        <w:t xml:space="preserve">with </w:t>
      </w:r>
      <w:r w:rsidR="00B626C4" w:rsidRPr="00AF307A">
        <w:rPr>
          <w:rFonts w:ascii="Arial" w:hAnsi="Arial" w:cs="Arial"/>
          <w:bCs/>
        </w:rPr>
        <w:t>growth in Screwfix</w:t>
      </w:r>
      <w:r w:rsidR="00831951">
        <w:rPr>
          <w:rFonts w:ascii="Arial" w:hAnsi="Arial" w:cs="Arial"/>
          <w:bCs/>
        </w:rPr>
        <w:t xml:space="preserve"> (UK)</w:t>
      </w:r>
      <w:r w:rsidR="00B626C4" w:rsidRPr="00AF307A">
        <w:rPr>
          <w:rFonts w:ascii="Arial" w:hAnsi="Arial" w:cs="Arial"/>
          <w:bCs/>
        </w:rPr>
        <w:t xml:space="preserve">, Brico Dépôt France and Poland offset by B&amp;Q and </w:t>
      </w:r>
      <w:r w:rsidRPr="00AF307A">
        <w:rPr>
          <w:rFonts w:ascii="Arial" w:hAnsi="Arial" w:cs="Arial"/>
          <w:bCs/>
        </w:rPr>
        <w:t xml:space="preserve">Castorama </w:t>
      </w:r>
      <w:r w:rsidR="00831951">
        <w:rPr>
          <w:rFonts w:ascii="Arial" w:hAnsi="Arial" w:cs="Arial"/>
          <w:bCs/>
        </w:rPr>
        <w:t>France</w:t>
      </w:r>
    </w:p>
    <w:p w14:paraId="689F3612" w14:textId="3441FCB2" w:rsidR="005D455E" w:rsidRPr="004B6146" w:rsidRDefault="005D455E" w:rsidP="00946D9D">
      <w:pPr>
        <w:pStyle w:val="ListParagraph"/>
        <w:numPr>
          <w:ilvl w:val="0"/>
          <w:numId w:val="19"/>
        </w:numPr>
        <w:ind w:left="360"/>
        <w:jc w:val="left"/>
        <w:rPr>
          <w:rFonts w:ascii="Arial" w:hAnsi="Arial" w:cs="Arial"/>
          <w:bCs/>
        </w:rPr>
      </w:pPr>
      <w:r w:rsidRPr="004B6146">
        <w:rPr>
          <w:rFonts w:ascii="Arial" w:hAnsi="Arial" w:cs="Arial"/>
          <w:bCs/>
        </w:rPr>
        <w:t xml:space="preserve">Gross margin after clearance </w:t>
      </w:r>
      <w:r w:rsidR="00304710" w:rsidRPr="004B6146">
        <w:rPr>
          <w:rFonts w:ascii="Arial" w:hAnsi="Arial" w:cs="Arial"/>
          <w:bCs/>
        </w:rPr>
        <w:t xml:space="preserve">flat </w:t>
      </w:r>
      <w:r w:rsidR="00B626C4" w:rsidRPr="004B6146">
        <w:rPr>
          <w:rFonts w:ascii="Arial" w:hAnsi="Arial" w:cs="Arial"/>
          <w:bCs/>
        </w:rPr>
        <w:t>(-</w:t>
      </w:r>
      <w:r w:rsidRPr="004B6146">
        <w:rPr>
          <w:rFonts w:ascii="Arial" w:hAnsi="Arial" w:cs="Arial"/>
          <w:bCs/>
        </w:rPr>
        <w:t>10bps</w:t>
      </w:r>
      <w:r w:rsidR="00B626C4" w:rsidRPr="004B6146">
        <w:rPr>
          <w:rFonts w:ascii="Arial" w:hAnsi="Arial" w:cs="Arial"/>
          <w:bCs/>
        </w:rPr>
        <w:t xml:space="preserve"> in constant currency</w:t>
      </w:r>
      <w:r w:rsidR="00304710" w:rsidRPr="004B6146">
        <w:rPr>
          <w:rFonts w:ascii="Arial" w:hAnsi="Arial" w:cs="Arial"/>
          <w:bCs/>
        </w:rPr>
        <w:t>)</w:t>
      </w:r>
      <w:r w:rsidRPr="004B6146">
        <w:rPr>
          <w:rFonts w:ascii="Arial" w:hAnsi="Arial" w:cs="Arial"/>
          <w:bCs/>
        </w:rPr>
        <w:t xml:space="preserve"> </w:t>
      </w:r>
    </w:p>
    <w:p w14:paraId="37B3FEE9" w14:textId="13048831" w:rsidR="00304710" w:rsidRPr="00255A0D" w:rsidRDefault="00304710" w:rsidP="00800DDE">
      <w:pPr>
        <w:pStyle w:val="ListParagraph"/>
        <w:numPr>
          <w:ilvl w:val="1"/>
          <w:numId w:val="19"/>
        </w:numPr>
        <w:ind w:left="1080"/>
        <w:jc w:val="left"/>
        <w:rPr>
          <w:rFonts w:ascii="Arial" w:hAnsi="Arial" w:cs="Arial"/>
          <w:bCs/>
        </w:rPr>
      </w:pPr>
      <w:r>
        <w:rPr>
          <w:rFonts w:ascii="Arial" w:hAnsi="Arial" w:cs="Arial"/>
          <w:bCs/>
        </w:rPr>
        <w:t xml:space="preserve">FY gross margin </w:t>
      </w:r>
      <w:r w:rsidR="005D455E" w:rsidRPr="00AF307A">
        <w:rPr>
          <w:rFonts w:ascii="Arial" w:hAnsi="Arial" w:cs="Arial"/>
          <w:bCs/>
        </w:rPr>
        <w:t xml:space="preserve">up in UK, Poland </w:t>
      </w:r>
      <w:r w:rsidR="001B1EFA">
        <w:rPr>
          <w:rFonts w:ascii="Arial" w:hAnsi="Arial" w:cs="Arial"/>
          <w:bCs/>
        </w:rPr>
        <w:t>&amp;</w:t>
      </w:r>
      <w:r w:rsidR="001B1EFA" w:rsidRPr="00AF307A">
        <w:rPr>
          <w:rFonts w:ascii="Arial" w:hAnsi="Arial" w:cs="Arial"/>
          <w:bCs/>
        </w:rPr>
        <w:t xml:space="preserve"> </w:t>
      </w:r>
      <w:r w:rsidR="005D455E" w:rsidRPr="00AF307A">
        <w:rPr>
          <w:rFonts w:ascii="Arial" w:hAnsi="Arial" w:cs="Arial"/>
          <w:bCs/>
        </w:rPr>
        <w:t>Brico Dépôt France</w:t>
      </w:r>
      <w:r w:rsidR="00714F28">
        <w:rPr>
          <w:rFonts w:ascii="Arial" w:hAnsi="Arial" w:cs="Arial"/>
          <w:bCs/>
        </w:rPr>
        <w:t xml:space="preserve">; </w:t>
      </w:r>
      <w:r w:rsidRPr="00255A0D">
        <w:rPr>
          <w:rFonts w:ascii="Arial" w:hAnsi="Arial" w:cs="Arial"/>
          <w:bCs/>
        </w:rPr>
        <w:t xml:space="preserve">H2 </w:t>
      </w:r>
      <w:r w:rsidR="001B1EFA">
        <w:rPr>
          <w:rFonts w:ascii="Arial" w:hAnsi="Arial" w:cs="Arial"/>
          <w:bCs/>
        </w:rPr>
        <w:t xml:space="preserve">Group </w:t>
      </w:r>
      <w:r w:rsidRPr="00255A0D">
        <w:rPr>
          <w:rFonts w:ascii="Arial" w:hAnsi="Arial" w:cs="Arial"/>
          <w:bCs/>
        </w:rPr>
        <w:t>gross margin +30bps</w:t>
      </w:r>
    </w:p>
    <w:p w14:paraId="68ADB36F" w14:textId="322D2650" w:rsidR="00B626C4" w:rsidRDefault="00831951" w:rsidP="00946D9D">
      <w:pPr>
        <w:pStyle w:val="ListParagraph"/>
        <w:numPr>
          <w:ilvl w:val="0"/>
          <w:numId w:val="19"/>
        </w:numPr>
        <w:ind w:left="360"/>
        <w:jc w:val="left"/>
        <w:rPr>
          <w:rFonts w:ascii="Arial" w:hAnsi="Arial" w:cs="Arial"/>
          <w:bCs/>
        </w:rPr>
      </w:pPr>
      <w:r>
        <w:rPr>
          <w:rFonts w:ascii="Arial" w:hAnsi="Arial" w:cs="Arial"/>
          <w:bCs/>
        </w:rPr>
        <w:t>U</w:t>
      </w:r>
      <w:r w:rsidR="00B626C4" w:rsidRPr="00AF307A">
        <w:rPr>
          <w:rFonts w:ascii="Arial" w:hAnsi="Arial" w:cs="Arial"/>
          <w:bCs/>
        </w:rPr>
        <w:t xml:space="preserve">nderlying PBT down </w:t>
      </w:r>
      <w:r w:rsidR="001B1EFA">
        <w:rPr>
          <w:rFonts w:ascii="Arial" w:hAnsi="Arial"/>
        </w:rPr>
        <w:t>13</w:t>
      </w:r>
      <w:r w:rsidR="005C2F2F">
        <w:rPr>
          <w:rFonts w:ascii="Arial" w:hAnsi="Arial"/>
        </w:rPr>
        <w:t>.0</w:t>
      </w:r>
      <w:r w:rsidR="00B626C4" w:rsidRPr="00AF307A">
        <w:rPr>
          <w:rFonts w:ascii="Arial" w:hAnsi="Arial" w:cs="Arial"/>
          <w:bCs/>
        </w:rPr>
        <w:t>%</w:t>
      </w:r>
      <w:r w:rsidR="006A52E7">
        <w:rPr>
          <w:rFonts w:ascii="Arial" w:hAnsi="Arial" w:cs="Arial"/>
          <w:bCs/>
        </w:rPr>
        <w:t>,</w:t>
      </w:r>
      <w:r w:rsidR="00B626C4" w:rsidRPr="00AF307A">
        <w:rPr>
          <w:rFonts w:ascii="Arial" w:hAnsi="Arial" w:cs="Arial"/>
          <w:bCs/>
        </w:rPr>
        <w:t xml:space="preserve"> </w:t>
      </w:r>
      <w:r w:rsidR="006A52E7">
        <w:rPr>
          <w:rFonts w:ascii="Arial" w:hAnsi="Arial" w:cs="Arial"/>
          <w:bCs/>
        </w:rPr>
        <w:t xml:space="preserve">with </w:t>
      </w:r>
      <w:r w:rsidR="00714F28">
        <w:rPr>
          <w:rFonts w:ascii="Arial" w:hAnsi="Arial" w:cs="Arial"/>
          <w:bCs/>
        </w:rPr>
        <w:t xml:space="preserve">retail profit </w:t>
      </w:r>
      <w:r w:rsidR="00B626C4" w:rsidRPr="00AF307A">
        <w:rPr>
          <w:rFonts w:ascii="Arial" w:hAnsi="Arial" w:cs="Arial"/>
          <w:bCs/>
        </w:rPr>
        <w:t xml:space="preserve">increases in </w:t>
      </w:r>
      <w:r w:rsidR="006A52E7">
        <w:rPr>
          <w:rFonts w:ascii="Arial" w:hAnsi="Arial" w:cs="Arial"/>
          <w:bCs/>
        </w:rPr>
        <w:t xml:space="preserve">the </w:t>
      </w:r>
      <w:r w:rsidR="00B626C4" w:rsidRPr="00AF307A">
        <w:rPr>
          <w:rFonts w:ascii="Arial" w:hAnsi="Arial" w:cs="Arial"/>
          <w:bCs/>
        </w:rPr>
        <w:t xml:space="preserve">UK and Poland </w:t>
      </w:r>
      <w:r w:rsidR="006A52E7">
        <w:rPr>
          <w:rFonts w:ascii="Arial" w:hAnsi="Arial" w:cs="Arial"/>
          <w:bCs/>
        </w:rPr>
        <w:t>(5</w:t>
      </w:r>
      <w:r w:rsidR="00ED4277">
        <w:rPr>
          <w:rFonts w:ascii="Arial" w:hAnsi="Arial" w:cs="Arial"/>
          <w:bCs/>
        </w:rPr>
        <w:t>6</w:t>
      </w:r>
      <w:r w:rsidR="006A52E7">
        <w:rPr>
          <w:rFonts w:ascii="Arial" w:hAnsi="Arial" w:cs="Arial"/>
          <w:bCs/>
        </w:rPr>
        <w:t xml:space="preserve">% of total sales) more than </w:t>
      </w:r>
      <w:r w:rsidR="00B626C4" w:rsidRPr="00AF307A">
        <w:rPr>
          <w:rFonts w:ascii="Arial" w:hAnsi="Arial" w:cs="Arial"/>
          <w:bCs/>
        </w:rPr>
        <w:t xml:space="preserve">offset by </w:t>
      </w:r>
      <w:r w:rsidR="00304710">
        <w:rPr>
          <w:rFonts w:ascii="Arial" w:hAnsi="Arial" w:cs="Arial"/>
          <w:bCs/>
        </w:rPr>
        <w:t xml:space="preserve">weakness </w:t>
      </w:r>
      <w:r w:rsidR="00B626C4" w:rsidRPr="00AF307A">
        <w:rPr>
          <w:rFonts w:ascii="Arial" w:hAnsi="Arial" w:cs="Arial"/>
          <w:bCs/>
        </w:rPr>
        <w:t>in Castorama France</w:t>
      </w:r>
      <w:r w:rsidR="00714F28">
        <w:rPr>
          <w:rFonts w:ascii="Arial" w:hAnsi="Arial" w:cs="Arial"/>
          <w:bCs/>
        </w:rPr>
        <w:t xml:space="preserve"> and losses in Russia &amp; Romania</w:t>
      </w:r>
    </w:p>
    <w:p w14:paraId="4324FEDC" w14:textId="4E10324B" w:rsidR="00115EB1" w:rsidRPr="00E1060D" w:rsidRDefault="00115EB1" w:rsidP="00946D9D">
      <w:pPr>
        <w:pStyle w:val="ListParagraph"/>
        <w:numPr>
          <w:ilvl w:val="0"/>
          <w:numId w:val="19"/>
        </w:numPr>
        <w:ind w:left="360"/>
        <w:jc w:val="left"/>
        <w:rPr>
          <w:rFonts w:ascii="Arial" w:hAnsi="Arial" w:cs="Arial"/>
          <w:bCs/>
        </w:rPr>
      </w:pPr>
      <w:r w:rsidRPr="00E1060D">
        <w:rPr>
          <w:rFonts w:ascii="Arial" w:hAnsi="Arial" w:cs="Arial"/>
          <w:bCs/>
        </w:rPr>
        <w:t xml:space="preserve">Statutory PBT </w:t>
      </w:r>
      <w:r w:rsidR="00643064" w:rsidRPr="00E1060D">
        <w:rPr>
          <w:rFonts w:ascii="Arial" w:hAnsi="Arial" w:cs="Arial"/>
          <w:bCs/>
        </w:rPr>
        <w:t xml:space="preserve">down </w:t>
      </w:r>
      <w:r w:rsidR="00057857">
        <w:rPr>
          <w:rFonts w:ascii="Arial" w:hAnsi="Arial" w:cs="Arial"/>
          <w:bCs/>
        </w:rPr>
        <w:t>52.8</w:t>
      </w:r>
      <w:r w:rsidR="00643064" w:rsidRPr="00E1060D">
        <w:rPr>
          <w:rFonts w:ascii="Arial" w:hAnsi="Arial" w:cs="Arial"/>
          <w:bCs/>
        </w:rPr>
        <w:t>%</w:t>
      </w:r>
      <w:r w:rsidR="00E1060D">
        <w:rPr>
          <w:rFonts w:ascii="Arial" w:hAnsi="Arial" w:cs="Arial"/>
          <w:bCs/>
        </w:rPr>
        <w:t xml:space="preserve"> largely</w:t>
      </w:r>
      <w:r w:rsidR="00643064" w:rsidRPr="00E1060D">
        <w:rPr>
          <w:rFonts w:ascii="Arial" w:hAnsi="Arial" w:cs="Arial"/>
          <w:bCs/>
        </w:rPr>
        <w:t xml:space="preserve"> reflecting </w:t>
      </w:r>
      <w:r w:rsidR="00E1060D">
        <w:rPr>
          <w:rFonts w:ascii="Arial" w:hAnsi="Arial" w:cs="Arial"/>
          <w:bCs/>
        </w:rPr>
        <w:t xml:space="preserve">property-related </w:t>
      </w:r>
      <w:r w:rsidR="00643064" w:rsidRPr="00E1060D">
        <w:rPr>
          <w:rFonts w:ascii="Arial" w:hAnsi="Arial" w:cs="Arial"/>
          <w:bCs/>
        </w:rPr>
        <w:t>exceptional items</w:t>
      </w:r>
    </w:p>
    <w:p w14:paraId="3C708E7C" w14:textId="48D0EBF4" w:rsidR="005D455E" w:rsidRPr="00AF307A" w:rsidRDefault="005D455E" w:rsidP="00946D9D">
      <w:pPr>
        <w:pStyle w:val="ListParagraph"/>
        <w:numPr>
          <w:ilvl w:val="0"/>
          <w:numId w:val="19"/>
        </w:numPr>
        <w:ind w:left="360"/>
        <w:jc w:val="left"/>
        <w:rPr>
          <w:rFonts w:ascii="Arial" w:hAnsi="Arial" w:cs="Arial"/>
          <w:bCs/>
        </w:rPr>
      </w:pPr>
      <w:r w:rsidRPr="00AF307A">
        <w:rPr>
          <w:rFonts w:ascii="Arial" w:hAnsi="Arial" w:cs="Arial"/>
          <w:bCs/>
        </w:rPr>
        <w:t>Balance sheet remains strong</w:t>
      </w:r>
      <w:r w:rsidR="002B536A">
        <w:rPr>
          <w:rFonts w:ascii="Arial" w:hAnsi="Arial" w:cs="Arial"/>
          <w:bCs/>
        </w:rPr>
        <w:t>:</w:t>
      </w:r>
      <w:r w:rsidRPr="00AF307A">
        <w:rPr>
          <w:rFonts w:ascii="Arial" w:hAnsi="Arial" w:cs="Arial"/>
          <w:bCs/>
        </w:rPr>
        <w:t xml:space="preserve"> </w:t>
      </w:r>
    </w:p>
    <w:p w14:paraId="0EEFDEBA" w14:textId="352CBE1A" w:rsidR="002B536A" w:rsidRPr="005C2F2F" w:rsidRDefault="002B536A" w:rsidP="00946D9D">
      <w:pPr>
        <w:pStyle w:val="ListParagraph"/>
        <w:numPr>
          <w:ilvl w:val="1"/>
          <w:numId w:val="19"/>
        </w:numPr>
        <w:ind w:left="1080"/>
        <w:jc w:val="left"/>
        <w:rPr>
          <w:rFonts w:ascii="Arial" w:hAnsi="Arial" w:cs="Arial"/>
          <w:bCs/>
        </w:rPr>
      </w:pPr>
      <w:r w:rsidRPr="00D72D34">
        <w:rPr>
          <w:rFonts w:ascii="Arial" w:hAnsi="Arial" w:cs="Arial"/>
          <w:bCs/>
        </w:rPr>
        <w:t xml:space="preserve">Working </w:t>
      </w:r>
      <w:r w:rsidRPr="00A5063C">
        <w:rPr>
          <w:rFonts w:ascii="Arial" w:hAnsi="Arial" w:cs="Arial"/>
          <w:bCs/>
        </w:rPr>
        <w:t xml:space="preserve">capital </w:t>
      </w:r>
      <w:r w:rsidRPr="00E630F1">
        <w:rPr>
          <w:rFonts w:ascii="Arial" w:hAnsi="Arial"/>
        </w:rPr>
        <w:t>inflow</w:t>
      </w:r>
      <w:r w:rsidRPr="00A5063C">
        <w:rPr>
          <w:rFonts w:ascii="Arial" w:hAnsi="Arial" w:cs="Arial"/>
          <w:bCs/>
        </w:rPr>
        <w:t xml:space="preserve"> of £</w:t>
      </w:r>
      <w:r w:rsidR="00714F28" w:rsidRPr="00C2187E">
        <w:rPr>
          <w:rFonts w:ascii="Arial" w:hAnsi="Arial" w:cs="Arial"/>
          <w:bCs/>
        </w:rPr>
        <w:t>2</w:t>
      </w:r>
      <w:r w:rsidR="00C069A1">
        <w:rPr>
          <w:rFonts w:ascii="Arial" w:hAnsi="Arial" w:cs="Arial"/>
          <w:bCs/>
        </w:rPr>
        <w:t>4</w:t>
      </w:r>
      <w:r w:rsidRPr="005C2F2F">
        <w:rPr>
          <w:rFonts w:ascii="Arial" w:hAnsi="Arial" w:cs="Arial"/>
          <w:bCs/>
        </w:rPr>
        <w:t>m</w:t>
      </w:r>
      <w:r w:rsidRPr="00A5063C">
        <w:rPr>
          <w:rFonts w:ascii="Arial" w:hAnsi="Arial" w:cs="Arial"/>
          <w:bCs/>
        </w:rPr>
        <w:t xml:space="preserve"> with</w:t>
      </w:r>
      <w:r w:rsidRPr="00D72D34">
        <w:rPr>
          <w:rFonts w:ascii="Arial" w:hAnsi="Arial" w:cs="Arial"/>
          <w:bCs/>
        </w:rPr>
        <w:t xml:space="preserve"> </w:t>
      </w:r>
      <w:r w:rsidR="00BE48AC">
        <w:rPr>
          <w:rFonts w:ascii="Arial" w:hAnsi="Arial" w:cs="Arial"/>
          <w:bCs/>
        </w:rPr>
        <w:t xml:space="preserve">last year’s </w:t>
      </w:r>
      <w:r w:rsidRPr="00D72D34">
        <w:rPr>
          <w:rFonts w:ascii="Arial" w:hAnsi="Arial" w:cs="Arial"/>
          <w:bCs/>
        </w:rPr>
        <w:t xml:space="preserve">mitigation stock </w:t>
      </w:r>
      <w:r w:rsidRPr="00C2187E">
        <w:rPr>
          <w:rFonts w:ascii="Arial" w:hAnsi="Arial"/>
        </w:rPr>
        <w:t>eliminated</w:t>
      </w:r>
    </w:p>
    <w:p w14:paraId="4516EEC8" w14:textId="5F3973E7" w:rsidR="005D455E" w:rsidRDefault="005D455E" w:rsidP="00946D9D">
      <w:pPr>
        <w:pStyle w:val="ListParagraph"/>
        <w:numPr>
          <w:ilvl w:val="1"/>
          <w:numId w:val="19"/>
        </w:numPr>
        <w:ind w:left="1080"/>
        <w:jc w:val="left"/>
        <w:rPr>
          <w:rFonts w:ascii="Arial" w:hAnsi="Arial" w:cs="Arial"/>
          <w:bCs/>
        </w:rPr>
      </w:pPr>
      <w:r w:rsidRPr="005C2F2F">
        <w:rPr>
          <w:rFonts w:ascii="Arial" w:hAnsi="Arial" w:cs="Arial"/>
          <w:bCs/>
        </w:rPr>
        <w:t>Returned £</w:t>
      </w:r>
      <w:r w:rsidR="000D2FB5" w:rsidRPr="005C2F2F">
        <w:rPr>
          <w:rFonts w:ascii="Arial" w:hAnsi="Arial" w:cs="Arial"/>
          <w:bCs/>
        </w:rPr>
        <w:t>3</w:t>
      </w:r>
      <w:r w:rsidR="000D2FB5">
        <w:rPr>
          <w:rFonts w:ascii="Arial" w:hAnsi="Arial" w:cs="Arial"/>
          <w:bCs/>
        </w:rPr>
        <w:t>71</w:t>
      </w:r>
      <w:r w:rsidR="000D2FB5" w:rsidRPr="005C2F2F">
        <w:rPr>
          <w:rFonts w:ascii="Arial" w:hAnsi="Arial" w:cs="Arial"/>
          <w:bCs/>
        </w:rPr>
        <w:t xml:space="preserve">m </w:t>
      </w:r>
      <w:r w:rsidRPr="005C2F2F">
        <w:rPr>
          <w:rFonts w:ascii="Arial" w:hAnsi="Arial" w:cs="Arial"/>
          <w:bCs/>
        </w:rPr>
        <w:t xml:space="preserve">to shareholders </w:t>
      </w:r>
      <w:r w:rsidR="00304710" w:rsidRPr="005C2F2F">
        <w:rPr>
          <w:rFonts w:ascii="Arial" w:hAnsi="Arial"/>
        </w:rPr>
        <w:t>(£</w:t>
      </w:r>
      <w:r w:rsidR="000D2FB5" w:rsidRPr="005C2F2F">
        <w:rPr>
          <w:rFonts w:ascii="Arial" w:hAnsi="Arial"/>
        </w:rPr>
        <w:t>2</w:t>
      </w:r>
      <w:r w:rsidR="000D2FB5">
        <w:rPr>
          <w:rFonts w:ascii="Arial" w:hAnsi="Arial"/>
        </w:rPr>
        <w:t>31</w:t>
      </w:r>
      <w:r w:rsidR="000D2FB5" w:rsidRPr="005C2F2F">
        <w:rPr>
          <w:rFonts w:ascii="Arial" w:hAnsi="Arial"/>
        </w:rPr>
        <w:t xml:space="preserve">m </w:t>
      </w:r>
      <w:r w:rsidR="00304710" w:rsidRPr="005C2F2F">
        <w:rPr>
          <w:rFonts w:ascii="Arial" w:hAnsi="Arial"/>
        </w:rPr>
        <w:t>ordinary dividend; £</w:t>
      </w:r>
      <w:r w:rsidR="00714F28" w:rsidRPr="005C2F2F">
        <w:rPr>
          <w:rFonts w:ascii="Arial" w:hAnsi="Arial"/>
        </w:rPr>
        <w:t>140</w:t>
      </w:r>
      <w:r w:rsidR="00304710" w:rsidRPr="005C2F2F">
        <w:rPr>
          <w:rFonts w:ascii="Arial" w:hAnsi="Arial"/>
        </w:rPr>
        <w:t>m</w:t>
      </w:r>
      <w:r w:rsidR="001B5173" w:rsidRPr="005C2F2F">
        <w:rPr>
          <w:rFonts w:ascii="Arial" w:hAnsi="Arial"/>
        </w:rPr>
        <w:t xml:space="preserve"> </w:t>
      </w:r>
      <w:r w:rsidR="00304710" w:rsidRPr="005C2F2F">
        <w:rPr>
          <w:rFonts w:ascii="Arial" w:hAnsi="Arial"/>
        </w:rPr>
        <w:t>share</w:t>
      </w:r>
      <w:r w:rsidR="00304710" w:rsidRPr="00AB52F3">
        <w:rPr>
          <w:rFonts w:ascii="Arial" w:hAnsi="Arial"/>
        </w:rPr>
        <w:t xml:space="preserve"> buyback</w:t>
      </w:r>
      <w:r w:rsidR="00304710" w:rsidRPr="00AB52F3">
        <w:rPr>
          <w:rFonts w:ascii="Arial" w:hAnsi="Arial" w:cs="Arial"/>
          <w:bCs/>
        </w:rPr>
        <w:t>)</w:t>
      </w:r>
    </w:p>
    <w:p w14:paraId="5551B5D9" w14:textId="599FC399" w:rsidR="005D455E" w:rsidRDefault="005D455E">
      <w:pPr>
        <w:jc w:val="left"/>
        <w:rPr>
          <w:rFonts w:ascii="Arial" w:hAnsi="Arial" w:cs="Arial"/>
          <w:b/>
          <w:bCs/>
          <w:highlight w:val="yellow"/>
          <w:u w:val="single"/>
        </w:rPr>
      </w:pPr>
    </w:p>
    <w:p w14:paraId="202A907E" w14:textId="76FCB28B" w:rsidR="001C51D3" w:rsidRPr="007E23BA" w:rsidRDefault="001C51D3" w:rsidP="001C51D3">
      <w:pPr>
        <w:jc w:val="left"/>
        <w:rPr>
          <w:rFonts w:ascii="Arial" w:hAnsi="Arial" w:cs="Arial"/>
          <w:b/>
          <w:bCs/>
          <w:u w:val="single"/>
        </w:rPr>
      </w:pPr>
      <w:bookmarkStart w:id="1" w:name="_Hlk2316980"/>
      <w:r>
        <w:rPr>
          <w:rFonts w:ascii="Arial" w:hAnsi="Arial" w:cs="Arial"/>
          <w:b/>
          <w:bCs/>
          <w:u w:val="single"/>
        </w:rPr>
        <w:t>ONE Kingfisher transformation</w:t>
      </w:r>
      <w:r w:rsidR="0083600A">
        <w:rPr>
          <w:rFonts w:ascii="Arial" w:hAnsi="Arial" w:cs="Arial"/>
          <w:b/>
          <w:bCs/>
          <w:u w:val="single"/>
        </w:rPr>
        <w:t xml:space="preserve"> progress update</w:t>
      </w:r>
    </w:p>
    <w:p w14:paraId="02771815" w14:textId="5E6650AB" w:rsidR="00CB70A8" w:rsidRPr="000738BA" w:rsidRDefault="00057857" w:rsidP="00946D9D">
      <w:pPr>
        <w:pStyle w:val="ListParagraph"/>
        <w:numPr>
          <w:ilvl w:val="0"/>
          <w:numId w:val="27"/>
        </w:numPr>
        <w:jc w:val="left"/>
        <w:rPr>
          <w:rFonts w:ascii="Arial" w:hAnsi="Arial" w:cs="Arial"/>
          <w:bCs/>
        </w:rPr>
      </w:pPr>
      <w:r>
        <w:rPr>
          <w:rFonts w:ascii="Arial" w:hAnsi="Arial" w:cs="Arial"/>
          <w:bCs/>
        </w:rPr>
        <w:t>Building</w:t>
      </w:r>
      <w:r w:rsidRPr="00EE4E92">
        <w:rPr>
          <w:rFonts w:ascii="Arial" w:hAnsi="Arial" w:cs="Arial"/>
          <w:bCs/>
        </w:rPr>
        <w:t xml:space="preserve"> </w:t>
      </w:r>
      <w:r w:rsidR="008B6A65" w:rsidRPr="00EE4E92">
        <w:rPr>
          <w:rFonts w:ascii="Arial" w:hAnsi="Arial" w:cs="Arial"/>
          <w:bCs/>
        </w:rPr>
        <w:t xml:space="preserve">of </w:t>
      </w:r>
      <w:r w:rsidR="00CB70A8" w:rsidRPr="000738BA">
        <w:rPr>
          <w:rFonts w:ascii="Arial" w:hAnsi="Arial" w:cs="Arial"/>
          <w:bCs/>
        </w:rPr>
        <w:t xml:space="preserve">Kingfisher ‘engine’ </w:t>
      </w:r>
      <w:r w:rsidR="002D7A14">
        <w:rPr>
          <w:rFonts w:ascii="Arial" w:hAnsi="Arial" w:cs="Arial"/>
          <w:bCs/>
        </w:rPr>
        <w:t>nearing completion</w:t>
      </w:r>
    </w:p>
    <w:p w14:paraId="0027D712" w14:textId="36B4B2E2" w:rsidR="00874A8C" w:rsidRPr="00255A0D" w:rsidRDefault="001C2355" w:rsidP="001B5173">
      <w:pPr>
        <w:pStyle w:val="ListParagraph"/>
        <w:numPr>
          <w:ilvl w:val="0"/>
          <w:numId w:val="27"/>
        </w:numPr>
        <w:jc w:val="left"/>
        <w:rPr>
          <w:rFonts w:ascii="Arial" w:hAnsi="Arial" w:cs="Arial"/>
          <w:bCs/>
        </w:rPr>
      </w:pPr>
      <w:r>
        <w:rPr>
          <w:rFonts w:ascii="Arial" w:hAnsi="Arial" w:cs="Arial"/>
          <w:bCs/>
        </w:rPr>
        <w:t>Substantially d</w:t>
      </w:r>
      <w:r w:rsidR="00D17043" w:rsidRPr="009877EE">
        <w:rPr>
          <w:rFonts w:ascii="Arial" w:hAnsi="Arial" w:cs="Arial"/>
          <w:bCs/>
        </w:rPr>
        <w:t>elivered strategic milestones for third year in a row</w:t>
      </w:r>
      <w:r w:rsidR="00CB70A8">
        <w:rPr>
          <w:rFonts w:ascii="Arial" w:hAnsi="Arial" w:cs="Arial"/>
          <w:bCs/>
        </w:rPr>
        <w:t xml:space="preserve">: </w:t>
      </w:r>
      <w:r w:rsidR="001B5173" w:rsidRPr="00800DDE">
        <w:rPr>
          <w:rFonts w:ascii="Arial" w:hAnsi="Arial" w:cs="Arial"/>
        </w:rPr>
        <w:t xml:space="preserve">Unified </w:t>
      </w:r>
      <w:r w:rsidR="001A1923" w:rsidRPr="008C6115">
        <w:rPr>
          <w:rFonts w:ascii="Arial" w:hAnsi="Arial" w:cs="Arial"/>
        </w:rPr>
        <w:t>4</w:t>
      </w:r>
      <w:r w:rsidR="001A1923">
        <w:rPr>
          <w:rFonts w:ascii="Arial" w:hAnsi="Arial" w:cs="Arial"/>
        </w:rPr>
        <w:t>4</w:t>
      </w:r>
      <w:r w:rsidR="001B5173" w:rsidRPr="00800DDE">
        <w:rPr>
          <w:rFonts w:ascii="Arial" w:hAnsi="Arial" w:cs="Arial"/>
        </w:rPr>
        <w:t xml:space="preserve">% of product (COGS) </w:t>
      </w:r>
      <w:r w:rsidR="001B5173">
        <w:rPr>
          <w:rFonts w:ascii="Arial" w:hAnsi="Arial" w:cs="Arial"/>
        </w:rPr>
        <w:t xml:space="preserve">(exit </w:t>
      </w:r>
      <w:r w:rsidR="001B5173" w:rsidRPr="001A1923">
        <w:rPr>
          <w:rFonts w:ascii="Arial" w:hAnsi="Arial" w:cs="Arial"/>
        </w:rPr>
        <w:t xml:space="preserve">rate </w:t>
      </w:r>
      <w:r w:rsidR="001B5173" w:rsidRPr="00C2187E">
        <w:rPr>
          <w:rFonts w:ascii="Arial" w:hAnsi="Arial" w:cs="Arial"/>
        </w:rPr>
        <w:t>50</w:t>
      </w:r>
      <w:r w:rsidR="001B5173" w:rsidRPr="001A1923">
        <w:rPr>
          <w:rFonts w:ascii="Arial" w:hAnsi="Arial" w:cs="Arial"/>
        </w:rPr>
        <w:t xml:space="preserve">%), </w:t>
      </w:r>
      <w:r w:rsidR="00CB70A8" w:rsidRPr="001A1923">
        <w:rPr>
          <w:rFonts w:ascii="Arial" w:hAnsi="Arial" w:cs="Arial"/>
          <w:bCs/>
        </w:rPr>
        <w:t>c</w:t>
      </w:r>
      <w:r w:rsidR="00874A8C" w:rsidRPr="001A1923">
        <w:rPr>
          <w:rFonts w:ascii="Arial" w:hAnsi="Arial" w:cs="Arial"/>
          <w:bCs/>
        </w:rPr>
        <w:t xml:space="preserve">ontinued growth in </w:t>
      </w:r>
      <w:r w:rsidR="00A03FBD" w:rsidRPr="001A1923">
        <w:rPr>
          <w:rFonts w:ascii="Arial" w:hAnsi="Arial" w:cs="Arial"/>
          <w:bCs/>
        </w:rPr>
        <w:t xml:space="preserve">sales and margin from </w:t>
      </w:r>
      <w:r w:rsidR="00874A8C" w:rsidRPr="001A1923">
        <w:rPr>
          <w:rFonts w:ascii="Arial" w:hAnsi="Arial" w:cs="Arial"/>
          <w:bCs/>
        </w:rPr>
        <w:t xml:space="preserve">unified and unique </w:t>
      </w:r>
      <w:r w:rsidR="00A03FBD" w:rsidRPr="001A1923">
        <w:rPr>
          <w:rFonts w:ascii="Arial" w:hAnsi="Arial" w:cs="Arial"/>
          <w:bCs/>
        </w:rPr>
        <w:t>ranges; successful</w:t>
      </w:r>
      <w:r w:rsidR="00A03FBD" w:rsidRPr="00255A0D">
        <w:rPr>
          <w:rFonts w:ascii="Arial" w:hAnsi="Arial" w:cs="Arial"/>
          <w:bCs/>
        </w:rPr>
        <w:t xml:space="preserve"> further rollout of unified IT</w:t>
      </w:r>
      <w:r w:rsidR="00CF34B5" w:rsidRPr="00255A0D">
        <w:rPr>
          <w:rFonts w:ascii="Arial" w:hAnsi="Arial" w:cs="Arial"/>
          <w:bCs/>
        </w:rPr>
        <w:t xml:space="preserve"> platform</w:t>
      </w:r>
      <w:r w:rsidR="00A03FBD" w:rsidRPr="00255A0D">
        <w:rPr>
          <w:rFonts w:ascii="Arial" w:hAnsi="Arial" w:cs="Arial"/>
          <w:bCs/>
        </w:rPr>
        <w:t xml:space="preserve">; delivered </w:t>
      </w:r>
      <w:r w:rsidR="00A03FBD" w:rsidRPr="002D7A14">
        <w:rPr>
          <w:rFonts w:ascii="Arial" w:hAnsi="Arial" w:cs="Arial"/>
          <w:bCs/>
        </w:rPr>
        <w:t>£</w:t>
      </w:r>
      <w:r w:rsidR="00714F28" w:rsidRPr="00C2187E">
        <w:rPr>
          <w:rFonts w:ascii="Arial" w:hAnsi="Arial" w:cs="Arial"/>
          <w:bCs/>
        </w:rPr>
        <w:t>4</w:t>
      </w:r>
      <w:r w:rsidR="00C069A1">
        <w:rPr>
          <w:rFonts w:ascii="Arial" w:hAnsi="Arial" w:cs="Arial"/>
          <w:bCs/>
        </w:rPr>
        <w:t>2</w:t>
      </w:r>
      <w:r w:rsidR="00A03FBD" w:rsidRPr="002D7A14">
        <w:rPr>
          <w:rFonts w:ascii="Arial" w:hAnsi="Arial" w:cs="Arial"/>
          <w:bCs/>
        </w:rPr>
        <w:t>m</w:t>
      </w:r>
      <w:r w:rsidR="00A03FBD" w:rsidRPr="00255A0D">
        <w:rPr>
          <w:rFonts w:ascii="Arial" w:hAnsi="Arial" w:cs="Arial"/>
          <w:bCs/>
        </w:rPr>
        <w:t xml:space="preserve"> of operational efficiencies</w:t>
      </w:r>
    </w:p>
    <w:p w14:paraId="6E044450" w14:textId="0DA97B02" w:rsidR="008B6A65" w:rsidRDefault="008B6A65" w:rsidP="008B6A65">
      <w:pPr>
        <w:pStyle w:val="ListParagraph"/>
        <w:numPr>
          <w:ilvl w:val="0"/>
          <w:numId w:val="27"/>
        </w:numPr>
        <w:jc w:val="left"/>
        <w:rPr>
          <w:rFonts w:ascii="Arial" w:hAnsi="Arial" w:cs="Arial"/>
          <w:bCs/>
        </w:rPr>
      </w:pPr>
      <w:r>
        <w:rPr>
          <w:rFonts w:ascii="Arial" w:hAnsi="Arial" w:cs="Arial"/>
          <w:bCs/>
        </w:rPr>
        <w:t xml:space="preserve">Fulfilled </w:t>
      </w:r>
      <w:r w:rsidR="00800DDE">
        <w:rPr>
          <w:rFonts w:ascii="Arial" w:hAnsi="Arial" w:cs="Arial"/>
          <w:bCs/>
        </w:rPr>
        <w:t>commitment</w:t>
      </w:r>
      <w:r>
        <w:rPr>
          <w:rFonts w:ascii="Arial" w:hAnsi="Arial" w:cs="Arial"/>
          <w:bCs/>
        </w:rPr>
        <w:t xml:space="preserve"> to return £600m </w:t>
      </w:r>
      <w:r w:rsidR="000F6BBA">
        <w:rPr>
          <w:rFonts w:ascii="Arial" w:hAnsi="Arial" w:cs="Arial"/>
          <w:bCs/>
        </w:rPr>
        <w:t xml:space="preserve">via share buyback </w:t>
      </w:r>
      <w:r>
        <w:rPr>
          <w:rFonts w:ascii="Arial" w:hAnsi="Arial" w:cs="Arial"/>
          <w:bCs/>
        </w:rPr>
        <w:t>over</w:t>
      </w:r>
      <w:r w:rsidR="00800DDE">
        <w:rPr>
          <w:rFonts w:ascii="Arial" w:hAnsi="Arial" w:cs="Arial"/>
          <w:bCs/>
        </w:rPr>
        <w:t xml:space="preserve"> first</w:t>
      </w:r>
      <w:r>
        <w:rPr>
          <w:rFonts w:ascii="Arial" w:hAnsi="Arial" w:cs="Arial"/>
          <w:bCs/>
        </w:rPr>
        <w:t xml:space="preserve"> three years</w:t>
      </w:r>
      <w:r w:rsidR="00800DDE">
        <w:rPr>
          <w:rFonts w:ascii="Arial" w:hAnsi="Arial" w:cs="Arial"/>
          <w:bCs/>
        </w:rPr>
        <w:t xml:space="preserve"> of plan</w:t>
      </w:r>
    </w:p>
    <w:p w14:paraId="795E9B6B" w14:textId="3C701CB7" w:rsidR="0083600A" w:rsidRDefault="0083600A" w:rsidP="0083600A">
      <w:pPr>
        <w:pStyle w:val="ListParagraph"/>
        <w:numPr>
          <w:ilvl w:val="0"/>
          <w:numId w:val="27"/>
        </w:numPr>
        <w:jc w:val="left"/>
        <w:rPr>
          <w:rFonts w:ascii="Arial" w:hAnsi="Arial" w:cs="Arial"/>
          <w:bCs/>
        </w:rPr>
      </w:pPr>
      <w:r w:rsidRPr="00D966DA">
        <w:rPr>
          <w:rFonts w:ascii="Arial" w:hAnsi="Arial" w:cs="Arial"/>
          <w:bCs/>
        </w:rPr>
        <w:t xml:space="preserve">Estimated </w:t>
      </w:r>
      <w:r w:rsidR="00B14821">
        <w:rPr>
          <w:rFonts w:ascii="Arial" w:hAnsi="Arial" w:cs="Arial"/>
          <w:bCs/>
        </w:rPr>
        <w:t>benefits</w:t>
      </w:r>
      <w:r w:rsidRPr="00D966DA">
        <w:rPr>
          <w:rFonts w:ascii="Arial" w:hAnsi="Arial" w:cs="Arial"/>
          <w:bCs/>
        </w:rPr>
        <w:t xml:space="preserve"> from transformation after </w:t>
      </w:r>
      <w:r w:rsidRPr="00002B26">
        <w:rPr>
          <w:rFonts w:ascii="Arial" w:hAnsi="Arial" w:cs="Arial"/>
          <w:bCs/>
        </w:rPr>
        <w:t>three years in line with 2016 plan</w:t>
      </w:r>
    </w:p>
    <w:p w14:paraId="3D7D5E5E" w14:textId="77777777" w:rsidR="0083600A" w:rsidRDefault="0083600A" w:rsidP="0083600A">
      <w:pPr>
        <w:pStyle w:val="ListParagraph"/>
        <w:numPr>
          <w:ilvl w:val="1"/>
          <w:numId w:val="27"/>
        </w:numPr>
        <w:jc w:val="left"/>
        <w:rPr>
          <w:rFonts w:ascii="Arial" w:hAnsi="Arial" w:cs="Arial"/>
          <w:bCs/>
        </w:rPr>
      </w:pPr>
      <w:r>
        <w:rPr>
          <w:rFonts w:ascii="Arial" w:hAnsi="Arial" w:cs="Arial"/>
          <w:bCs/>
        </w:rPr>
        <w:t xml:space="preserve">Benefits </w:t>
      </w:r>
      <w:r w:rsidRPr="00002B26">
        <w:rPr>
          <w:rFonts w:ascii="Arial" w:hAnsi="Arial" w:cs="Arial"/>
          <w:bCs/>
        </w:rPr>
        <w:t xml:space="preserve">offset by </w:t>
      </w:r>
      <w:r w:rsidRPr="00232D94">
        <w:rPr>
          <w:rFonts w:ascii="Arial" w:hAnsi="Arial" w:cs="Arial"/>
          <w:bCs/>
        </w:rPr>
        <w:t xml:space="preserve">weaker performance from underlying </w:t>
      </w:r>
      <w:r w:rsidRPr="004F75DD">
        <w:rPr>
          <w:rFonts w:ascii="Arial" w:hAnsi="Arial" w:cs="Arial"/>
          <w:bCs/>
        </w:rPr>
        <w:t xml:space="preserve">business due to external </w:t>
      </w:r>
      <w:r w:rsidRPr="00C45A44">
        <w:rPr>
          <w:rFonts w:ascii="Arial" w:hAnsi="Arial" w:cs="Arial"/>
          <w:bCs/>
        </w:rPr>
        <w:t>environment and underp</w:t>
      </w:r>
      <w:r w:rsidRPr="00960D2F">
        <w:rPr>
          <w:rFonts w:ascii="Arial" w:hAnsi="Arial" w:cs="Arial"/>
          <w:bCs/>
        </w:rPr>
        <w:t xml:space="preserve">erforming parts of </w:t>
      </w:r>
      <w:r>
        <w:rPr>
          <w:rFonts w:ascii="Arial" w:hAnsi="Arial" w:cs="Arial"/>
          <w:bCs/>
        </w:rPr>
        <w:t xml:space="preserve">the </w:t>
      </w:r>
      <w:r w:rsidRPr="00960D2F">
        <w:rPr>
          <w:rFonts w:ascii="Arial" w:hAnsi="Arial" w:cs="Arial"/>
          <w:bCs/>
        </w:rPr>
        <w:t>business</w:t>
      </w:r>
      <w:r>
        <w:rPr>
          <w:rFonts w:ascii="Arial" w:hAnsi="Arial" w:cs="Arial"/>
          <w:bCs/>
        </w:rPr>
        <w:t>; clear priorities for year ahead</w:t>
      </w:r>
    </w:p>
    <w:p w14:paraId="4DEF88C4" w14:textId="77777777" w:rsidR="0083600A" w:rsidRDefault="0083600A" w:rsidP="000D51DA">
      <w:pPr>
        <w:jc w:val="left"/>
        <w:rPr>
          <w:rFonts w:ascii="Arial" w:hAnsi="Arial" w:cs="Arial"/>
          <w:bCs/>
        </w:rPr>
      </w:pPr>
    </w:p>
    <w:p w14:paraId="58DE6B23" w14:textId="07EA8003" w:rsidR="000D51DA" w:rsidRPr="001B1EFA" w:rsidRDefault="0083600A" w:rsidP="001B1EFA">
      <w:pPr>
        <w:jc w:val="left"/>
        <w:rPr>
          <w:rFonts w:ascii="Arial" w:hAnsi="Arial"/>
          <w:b/>
          <w:u w:val="single"/>
        </w:rPr>
      </w:pPr>
      <w:r>
        <w:rPr>
          <w:rFonts w:ascii="Arial" w:hAnsi="Arial" w:cs="Arial"/>
          <w:b/>
          <w:bCs/>
          <w:u w:val="single"/>
        </w:rPr>
        <w:t>FY 19/20 and beyond</w:t>
      </w:r>
    </w:p>
    <w:p w14:paraId="79A91CC4" w14:textId="16319FC4" w:rsidR="0083600A" w:rsidRPr="00D33240" w:rsidRDefault="0083600A" w:rsidP="0083600A">
      <w:pPr>
        <w:pStyle w:val="ListParagraph"/>
        <w:numPr>
          <w:ilvl w:val="0"/>
          <w:numId w:val="27"/>
        </w:numPr>
        <w:jc w:val="left"/>
        <w:rPr>
          <w:rFonts w:ascii="Arial" w:hAnsi="Arial" w:cs="Arial"/>
          <w:bCs/>
        </w:rPr>
      </w:pPr>
      <w:r>
        <w:rPr>
          <w:rFonts w:ascii="Arial" w:hAnsi="Arial" w:cs="Arial"/>
          <w:bCs/>
        </w:rPr>
        <w:t xml:space="preserve">Expect FY 19/20 gross </w:t>
      </w:r>
      <w:proofErr w:type="gramStart"/>
      <w:r>
        <w:rPr>
          <w:rFonts w:ascii="Arial" w:hAnsi="Arial" w:cs="Arial"/>
          <w:bCs/>
        </w:rPr>
        <w:t>margin</w:t>
      </w:r>
      <w:r w:rsidR="006631A5" w:rsidRPr="0035009E">
        <w:rPr>
          <w:rFonts w:ascii="Arial" w:hAnsi="Arial" w:cs="Arial"/>
          <w:bCs/>
          <w:vertAlign w:val="superscript"/>
        </w:rPr>
        <w:t>(</w:t>
      </w:r>
      <w:proofErr w:type="gramEnd"/>
      <w:r w:rsidR="00E04A9B">
        <w:rPr>
          <w:rFonts w:ascii="Arial" w:hAnsi="Arial" w:cs="Arial"/>
          <w:bCs/>
          <w:vertAlign w:val="superscript"/>
        </w:rPr>
        <w:t>2</w:t>
      </w:r>
      <w:r w:rsidR="006631A5" w:rsidRPr="0035009E">
        <w:rPr>
          <w:rFonts w:ascii="Arial" w:hAnsi="Arial" w:cs="Arial"/>
          <w:bCs/>
          <w:vertAlign w:val="superscript"/>
        </w:rPr>
        <w:t>)</w:t>
      </w:r>
      <w:r w:rsidR="006631A5">
        <w:rPr>
          <w:rFonts w:ascii="Arial" w:hAnsi="Arial" w:cs="Arial"/>
          <w:bCs/>
        </w:rPr>
        <w:t xml:space="preserve"> t</w:t>
      </w:r>
      <w:r>
        <w:rPr>
          <w:rFonts w:ascii="Arial" w:hAnsi="Arial" w:cs="Arial"/>
          <w:bCs/>
        </w:rPr>
        <w:t>o be flat after incremental clearance costs</w:t>
      </w:r>
      <w:r w:rsidR="0032171B">
        <w:rPr>
          <w:rFonts w:ascii="Arial" w:hAnsi="Arial" w:cs="Arial"/>
          <w:bCs/>
        </w:rPr>
        <w:t xml:space="preserve"> </w:t>
      </w:r>
    </w:p>
    <w:p w14:paraId="3BDBC3BE" w14:textId="67E26281" w:rsidR="00580479" w:rsidRPr="0044533E" w:rsidRDefault="00CB2853" w:rsidP="00946D9D">
      <w:pPr>
        <w:pStyle w:val="ListParagraph"/>
        <w:numPr>
          <w:ilvl w:val="0"/>
          <w:numId w:val="27"/>
        </w:numPr>
        <w:jc w:val="left"/>
        <w:rPr>
          <w:rFonts w:ascii="Arial" w:hAnsi="Arial" w:cs="Arial"/>
          <w:bCs/>
        </w:rPr>
      </w:pPr>
      <w:r w:rsidRPr="00D966DA">
        <w:rPr>
          <w:rFonts w:ascii="Arial" w:hAnsi="Arial" w:cs="Arial"/>
          <w:bCs/>
        </w:rPr>
        <w:t xml:space="preserve">Infrastructure to support more profitable </w:t>
      </w:r>
      <w:r w:rsidR="00CB6000" w:rsidRPr="00D966DA">
        <w:rPr>
          <w:rFonts w:ascii="Arial" w:hAnsi="Arial" w:cs="Arial"/>
          <w:bCs/>
        </w:rPr>
        <w:t xml:space="preserve">future </w:t>
      </w:r>
      <w:r w:rsidRPr="00D966DA">
        <w:rPr>
          <w:rFonts w:ascii="Arial" w:hAnsi="Arial" w:cs="Arial"/>
          <w:bCs/>
        </w:rPr>
        <w:t xml:space="preserve">growth </w:t>
      </w:r>
      <w:r w:rsidR="00C55751">
        <w:rPr>
          <w:rFonts w:ascii="Arial" w:hAnsi="Arial" w:cs="Arial"/>
          <w:bCs/>
        </w:rPr>
        <w:t xml:space="preserve">largely </w:t>
      </w:r>
      <w:r w:rsidRPr="00D966DA">
        <w:rPr>
          <w:rFonts w:ascii="Arial" w:hAnsi="Arial" w:cs="Arial"/>
          <w:bCs/>
        </w:rPr>
        <w:t>in place</w:t>
      </w:r>
    </w:p>
    <w:p w14:paraId="39573868" w14:textId="1D805DEF" w:rsidR="008B6A65" w:rsidRPr="00580479" w:rsidRDefault="001A4397" w:rsidP="008B6A65">
      <w:pPr>
        <w:pStyle w:val="ListParagraph"/>
        <w:numPr>
          <w:ilvl w:val="0"/>
          <w:numId w:val="27"/>
        </w:numPr>
        <w:jc w:val="left"/>
        <w:rPr>
          <w:rFonts w:ascii="Arial" w:hAnsi="Arial" w:cs="Arial"/>
          <w:bCs/>
        </w:rPr>
      </w:pPr>
      <w:bookmarkStart w:id="2" w:name="_Hlk2311943"/>
      <w:bookmarkStart w:id="3" w:name="_Hlk2314608"/>
      <w:r>
        <w:rPr>
          <w:rFonts w:ascii="Arial" w:hAnsi="Arial" w:cs="Arial"/>
          <w:bCs/>
        </w:rPr>
        <w:t>Remain convinced in ability to deliver significant further financial benefits from transformation</w:t>
      </w:r>
      <w:r w:rsidR="001B5173">
        <w:rPr>
          <w:rFonts w:ascii="Arial" w:hAnsi="Arial" w:cs="Arial"/>
          <w:bCs/>
        </w:rPr>
        <w:t xml:space="preserve"> </w:t>
      </w:r>
    </w:p>
    <w:p w14:paraId="1DC93E2D" w14:textId="19ECE0C5" w:rsidR="007F37A0" w:rsidRPr="000A38FF" w:rsidRDefault="000B0B60" w:rsidP="0035009E">
      <w:pPr>
        <w:pStyle w:val="ListParagraph"/>
        <w:numPr>
          <w:ilvl w:val="0"/>
          <w:numId w:val="27"/>
        </w:numPr>
        <w:jc w:val="left"/>
        <w:rPr>
          <w:rFonts w:ascii="Arial" w:hAnsi="Arial" w:cs="Arial"/>
          <w:bCs/>
        </w:rPr>
      </w:pPr>
      <w:r>
        <w:rPr>
          <w:rFonts w:ascii="Arial" w:hAnsi="Arial" w:cs="Arial"/>
          <w:bCs/>
        </w:rPr>
        <w:t>S</w:t>
      </w:r>
      <w:r w:rsidR="00B14821" w:rsidRPr="0035009E">
        <w:rPr>
          <w:rFonts w:ascii="Arial" w:hAnsi="Arial" w:cs="Arial"/>
          <w:bCs/>
        </w:rPr>
        <w:t>eparat</w:t>
      </w:r>
      <w:r>
        <w:rPr>
          <w:rFonts w:ascii="Arial" w:hAnsi="Arial" w:cs="Arial"/>
          <w:bCs/>
        </w:rPr>
        <w:t>ion of</w:t>
      </w:r>
      <w:r w:rsidR="00B14821" w:rsidRPr="0035009E">
        <w:rPr>
          <w:rFonts w:ascii="Arial" w:hAnsi="Arial" w:cs="Arial"/>
          <w:bCs/>
        </w:rPr>
        <w:t xml:space="preserve"> </w:t>
      </w:r>
      <w:r w:rsidR="00FC0372" w:rsidRPr="000A38FF">
        <w:rPr>
          <w:rFonts w:ascii="Arial" w:hAnsi="Arial" w:cs="Arial"/>
          <w:bCs/>
        </w:rPr>
        <w:t>transformation</w:t>
      </w:r>
      <w:r w:rsidR="00B14821" w:rsidRPr="0035009E">
        <w:rPr>
          <w:rFonts w:ascii="Arial" w:hAnsi="Arial" w:cs="Arial"/>
          <w:bCs/>
        </w:rPr>
        <w:t xml:space="preserve"> </w:t>
      </w:r>
      <w:r w:rsidR="00497CC5">
        <w:rPr>
          <w:rFonts w:ascii="Arial" w:hAnsi="Arial" w:cs="Arial"/>
          <w:bCs/>
        </w:rPr>
        <w:t xml:space="preserve">benefits </w:t>
      </w:r>
      <w:r w:rsidR="000A38FF" w:rsidRPr="0035009E">
        <w:rPr>
          <w:rFonts w:ascii="Arial" w:hAnsi="Arial" w:cs="Arial"/>
          <w:bCs/>
        </w:rPr>
        <w:t>(</w:t>
      </w:r>
      <w:r w:rsidR="00497CC5">
        <w:rPr>
          <w:rFonts w:ascii="Arial" w:hAnsi="Arial" w:cs="Arial"/>
          <w:bCs/>
        </w:rPr>
        <w:t>‘</w:t>
      </w:r>
      <w:r w:rsidR="000A38FF" w:rsidRPr="0035009E">
        <w:rPr>
          <w:rFonts w:ascii="Arial" w:hAnsi="Arial" w:cs="Arial"/>
          <w:bCs/>
        </w:rPr>
        <w:t>£500m uplift in FY 20/21</w:t>
      </w:r>
      <w:r w:rsidR="00497CC5">
        <w:rPr>
          <w:rFonts w:ascii="Arial" w:hAnsi="Arial" w:cs="Arial"/>
          <w:bCs/>
        </w:rPr>
        <w:t>’</w:t>
      </w:r>
      <w:r w:rsidR="000A38FF" w:rsidRPr="0035009E">
        <w:rPr>
          <w:rFonts w:ascii="Arial" w:hAnsi="Arial" w:cs="Arial"/>
          <w:bCs/>
        </w:rPr>
        <w:t xml:space="preserve">) </w:t>
      </w:r>
      <w:r w:rsidR="00FC0372" w:rsidRPr="00004FF8">
        <w:rPr>
          <w:rFonts w:ascii="Arial" w:hAnsi="Arial" w:cs="Arial"/>
          <w:bCs/>
        </w:rPr>
        <w:t xml:space="preserve">from </w:t>
      </w:r>
      <w:r w:rsidR="00B14821" w:rsidRPr="0035009E">
        <w:rPr>
          <w:rFonts w:ascii="Arial" w:hAnsi="Arial" w:cs="Arial"/>
          <w:bCs/>
        </w:rPr>
        <w:t>rest of business (</w:t>
      </w:r>
      <w:r w:rsidR="00497CC5">
        <w:rPr>
          <w:rFonts w:ascii="Arial" w:hAnsi="Arial" w:cs="Arial"/>
          <w:bCs/>
        </w:rPr>
        <w:t>‘</w:t>
      </w:r>
      <w:r w:rsidR="00AF1CE9" w:rsidRPr="00004FF8">
        <w:rPr>
          <w:rFonts w:ascii="Arial" w:hAnsi="Arial" w:cs="Arial"/>
          <w:bCs/>
        </w:rPr>
        <w:t>BAU</w:t>
      </w:r>
      <w:r w:rsidR="00497CC5">
        <w:rPr>
          <w:rFonts w:ascii="Arial" w:hAnsi="Arial" w:cs="Arial"/>
          <w:bCs/>
        </w:rPr>
        <w:t>’</w:t>
      </w:r>
      <w:r w:rsidR="00B14821" w:rsidRPr="0035009E">
        <w:rPr>
          <w:rFonts w:ascii="Arial" w:hAnsi="Arial" w:cs="Arial"/>
          <w:bCs/>
        </w:rPr>
        <w:t xml:space="preserve">) no longer </w:t>
      </w:r>
      <w:r w:rsidR="00497CC5">
        <w:rPr>
          <w:rFonts w:ascii="Arial" w:hAnsi="Arial" w:cs="Arial"/>
          <w:bCs/>
        </w:rPr>
        <w:t>reflects how we manage the business</w:t>
      </w:r>
      <w:bookmarkEnd w:id="2"/>
    </w:p>
    <w:p w14:paraId="6D377028" w14:textId="587600E6" w:rsidR="00D17043" w:rsidRPr="00F850D2" w:rsidRDefault="00CB70A8" w:rsidP="00946D9D">
      <w:pPr>
        <w:pStyle w:val="ListParagraph"/>
        <w:numPr>
          <w:ilvl w:val="0"/>
          <w:numId w:val="27"/>
        </w:numPr>
        <w:jc w:val="left"/>
        <w:rPr>
          <w:rFonts w:ascii="Arial" w:hAnsi="Arial" w:cs="Arial"/>
          <w:bCs/>
        </w:rPr>
      </w:pPr>
      <w:bookmarkStart w:id="4" w:name="_Hlk2312005"/>
      <w:bookmarkEnd w:id="3"/>
      <w:r>
        <w:rPr>
          <w:rFonts w:ascii="Arial" w:hAnsi="Arial" w:cs="Arial"/>
        </w:rPr>
        <w:t xml:space="preserve">Targeting </w:t>
      </w:r>
      <w:r w:rsidR="00D17043" w:rsidRPr="009877EE">
        <w:rPr>
          <w:rFonts w:ascii="Arial" w:hAnsi="Arial" w:cs="Arial"/>
        </w:rPr>
        <w:t xml:space="preserve">growth in Group sales, </w:t>
      </w:r>
      <w:r w:rsidR="00AE1C68">
        <w:rPr>
          <w:rFonts w:ascii="Arial" w:hAnsi="Arial" w:cs="Arial"/>
        </w:rPr>
        <w:t xml:space="preserve">gross </w:t>
      </w:r>
      <w:r w:rsidR="00D17043" w:rsidRPr="009877EE">
        <w:rPr>
          <w:rFonts w:ascii="Arial" w:hAnsi="Arial" w:cs="Arial"/>
        </w:rPr>
        <w:t>margin</w:t>
      </w:r>
      <w:r w:rsidR="00AE1C68">
        <w:rPr>
          <w:rFonts w:ascii="Arial" w:hAnsi="Arial" w:cs="Arial"/>
        </w:rPr>
        <w:t>, retail profit</w:t>
      </w:r>
      <w:r>
        <w:rPr>
          <w:rFonts w:ascii="Arial" w:hAnsi="Arial" w:cs="Arial"/>
        </w:rPr>
        <w:t xml:space="preserve"> </w:t>
      </w:r>
      <w:r w:rsidR="00D17043" w:rsidRPr="009877EE">
        <w:rPr>
          <w:rFonts w:ascii="Arial" w:hAnsi="Arial" w:cs="Arial"/>
        </w:rPr>
        <w:t xml:space="preserve">and </w:t>
      </w:r>
      <w:r w:rsidR="00AE1C68">
        <w:rPr>
          <w:rFonts w:ascii="Arial" w:hAnsi="Arial" w:cs="Arial"/>
        </w:rPr>
        <w:t>ROCE</w:t>
      </w:r>
      <w:bookmarkEnd w:id="4"/>
      <w:r w:rsidR="00B50F7F">
        <w:rPr>
          <w:rFonts w:ascii="Arial" w:hAnsi="Arial" w:cs="Arial"/>
        </w:rPr>
        <w:t xml:space="preserve"> over the</w:t>
      </w:r>
      <w:r w:rsidR="00B50F7F" w:rsidRPr="00B50F7F">
        <w:rPr>
          <w:rFonts w:ascii="Arial" w:hAnsi="Arial" w:cs="Arial"/>
        </w:rPr>
        <w:t xml:space="preserve"> </w:t>
      </w:r>
      <w:r w:rsidR="00B50F7F" w:rsidRPr="009877EE">
        <w:rPr>
          <w:rFonts w:ascii="Arial" w:hAnsi="Arial" w:cs="Arial"/>
        </w:rPr>
        <w:t>medium term</w:t>
      </w:r>
      <w:r w:rsidR="008E63C5">
        <w:rPr>
          <w:rFonts w:ascii="Arial" w:hAnsi="Arial" w:cs="Arial"/>
        </w:rPr>
        <w:t xml:space="preserve">, reflecting improved underlying business performance and further </w:t>
      </w:r>
      <w:r w:rsidR="001A4397">
        <w:rPr>
          <w:rFonts w:ascii="Arial" w:hAnsi="Arial" w:cs="Arial"/>
        </w:rPr>
        <w:t xml:space="preserve">transformation </w:t>
      </w:r>
      <w:r w:rsidR="008E63C5">
        <w:rPr>
          <w:rFonts w:ascii="Arial" w:hAnsi="Arial" w:cs="Arial"/>
        </w:rPr>
        <w:t>benefits</w:t>
      </w:r>
    </w:p>
    <w:p w14:paraId="685270E4" w14:textId="77777777" w:rsidR="001B5173" w:rsidRDefault="001B5173" w:rsidP="001B1EFA">
      <w:pPr>
        <w:rPr>
          <w:rFonts w:ascii="Arial" w:hAnsi="Arial" w:cs="Arial"/>
          <w:b/>
          <w:u w:val="single"/>
        </w:rPr>
      </w:pPr>
      <w:bookmarkStart w:id="5" w:name="_Hlk507658742"/>
      <w:bookmarkStart w:id="6" w:name="_Hlk2319146"/>
    </w:p>
    <w:p w14:paraId="65E22E20" w14:textId="173E5CB6" w:rsidR="00A22442" w:rsidRPr="007C4C9E" w:rsidRDefault="002B536A" w:rsidP="00AF307A">
      <w:pPr>
        <w:rPr>
          <w:rFonts w:ascii="Arial" w:hAnsi="Arial" w:cs="Arial"/>
          <w:b/>
          <w:u w:val="single"/>
        </w:rPr>
      </w:pPr>
      <w:r w:rsidRPr="00AF307A">
        <w:rPr>
          <w:rFonts w:ascii="Arial" w:hAnsi="Arial" w:cs="Arial"/>
          <w:b/>
          <w:u w:val="single"/>
        </w:rPr>
        <w:t xml:space="preserve">Clear priorities for </w:t>
      </w:r>
      <w:bookmarkEnd w:id="5"/>
      <w:r w:rsidR="0042729E" w:rsidRPr="007C4C9E">
        <w:rPr>
          <w:rFonts w:ascii="Arial" w:hAnsi="Arial" w:cs="Arial"/>
          <w:b/>
          <w:u w:val="single"/>
        </w:rPr>
        <w:t>FY</w:t>
      </w:r>
      <w:r w:rsidR="001D6C65" w:rsidRPr="007C4C9E">
        <w:rPr>
          <w:rFonts w:ascii="Arial" w:hAnsi="Arial" w:cs="Arial"/>
          <w:b/>
          <w:u w:val="single"/>
        </w:rPr>
        <w:t xml:space="preserve"> </w:t>
      </w:r>
      <w:r w:rsidR="0042729E" w:rsidRPr="007C4C9E">
        <w:rPr>
          <w:rFonts w:ascii="Arial" w:hAnsi="Arial" w:cs="Arial"/>
          <w:b/>
          <w:u w:val="single"/>
        </w:rPr>
        <w:t>1</w:t>
      </w:r>
      <w:r w:rsidR="00064963" w:rsidRPr="007C4C9E">
        <w:rPr>
          <w:rFonts w:ascii="Arial" w:hAnsi="Arial" w:cs="Arial"/>
          <w:b/>
          <w:u w:val="single"/>
        </w:rPr>
        <w:t>9</w:t>
      </w:r>
      <w:r w:rsidR="0042729E" w:rsidRPr="007C4C9E">
        <w:rPr>
          <w:rFonts w:ascii="Arial" w:hAnsi="Arial" w:cs="Arial"/>
          <w:b/>
          <w:u w:val="single"/>
        </w:rPr>
        <w:t>/</w:t>
      </w:r>
      <w:r w:rsidR="00064963" w:rsidRPr="007C4C9E">
        <w:rPr>
          <w:rFonts w:ascii="Arial" w:hAnsi="Arial" w:cs="Arial"/>
          <w:b/>
          <w:u w:val="single"/>
        </w:rPr>
        <w:t>20</w:t>
      </w:r>
    </w:p>
    <w:p w14:paraId="3E7CB183" w14:textId="2F779A9E" w:rsidR="000B0B60" w:rsidRDefault="00910EED" w:rsidP="00946D9D">
      <w:pPr>
        <w:pStyle w:val="ListParagraph"/>
        <w:numPr>
          <w:ilvl w:val="0"/>
          <w:numId w:val="18"/>
        </w:numPr>
        <w:jc w:val="left"/>
        <w:rPr>
          <w:rFonts w:ascii="Arial" w:hAnsi="Arial" w:cs="Arial"/>
        </w:rPr>
      </w:pPr>
      <w:r w:rsidRPr="00493601">
        <w:rPr>
          <w:rFonts w:ascii="Arial" w:hAnsi="Arial" w:cs="Arial"/>
        </w:rPr>
        <w:t>Address underperformance of Castorama</w:t>
      </w:r>
      <w:r w:rsidR="00F8364D" w:rsidRPr="00493601">
        <w:rPr>
          <w:rFonts w:ascii="Arial" w:hAnsi="Arial" w:cs="Arial"/>
        </w:rPr>
        <w:t xml:space="preserve"> France and </w:t>
      </w:r>
      <w:r w:rsidRPr="00493601">
        <w:rPr>
          <w:rFonts w:ascii="Arial" w:hAnsi="Arial" w:cs="Arial"/>
        </w:rPr>
        <w:t>other</w:t>
      </w:r>
      <w:r w:rsidR="008F3A34" w:rsidRPr="00493601">
        <w:rPr>
          <w:rFonts w:ascii="Arial" w:hAnsi="Arial" w:cs="Arial"/>
        </w:rPr>
        <w:t xml:space="preserve"> parts of </w:t>
      </w:r>
      <w:r w:rsidR="00F8364D" w:rsidRPr="00F12F4E">
        <w:rPr>
          <w:rFonts w:ascii="Arial" w:hAnsi="Arial" w:cs="Arial"/>
        </w:rPr>
        <w:t>the</w:t>
      </w:r>
      <w:r w:rsidR="0004766D" w:rsidRPr="00493601">
        <w:rPr>
          <w:rFonts w:ascii="Arial" w:hAnsi="Arial" w:cs="Arial"/>
        </w:rPr>
        <w:t xml:space="preserve"> </w:t>
      </w:r>
      <w:r w:rsidR="008F3A34" w:rsidRPr="00493601">
        <w:rPr>
          <w:rFonts w:ascii="Arial" w:hAnsi="Arial" w:cs="Arial"/>
        </w:rPr>
        <w:t>business</w:t>
      </w:r>
      <w:r w:rsidR="00EA1885" w:rsidRPr="00493601">
        <w:rPr>
          <w:rFonts w:ascii="Arial" w:hAnsi="Arial" w:cs="Arial"/>
        </w:rPr>
        <w:t xml:space="preserve"> </w:t>
      </w:r>
    </w:p>
    <w:p w14:paraId="1F44C449" w14:textId="380403AC" w:rsidR="008F3A34" w:rsidRPr="00493601" w:rsidRDefault="00250413" w:rsidP="00946D9D">
      <w:pPr>
        <w:pStyle w:val="ListParagraph"/>
        <w:numPr>
          <w:ilvl w:val="0"/>
          <w:numId w:val="18"/>
        </w:numPr>
        <w:jc w:val="left"/>
        <w:rPr>
          <w:rFonts w:ascii="Arial" w:hAnsi="Arial" w:cs="Arial"/>
        </w:rPr>
      </w:pPr>
      <w:r w:rsidRPr="0035009E">
        <w:rPr>
          <w:rFonts w:ascii="Arial" w:hAnsi="Arial" w:cs="Arial"/>
        </w:rPr>
        <w:t>Considering</w:t>
      </w:r>
      <w:r w:rsidR="0088473F" w:rsidRPr="0035009E">
        <w:rPr>
          <w:rFonts w:ascii="Arial" w:hAnsi="Arial" w:cs="Arial"/>
        </w:rPr>
        <w:t xml:space="preserve"> the </w:t>
      </w:r>
      <w:r w:rsidR="00C113CD" w:rsidRPr="00493601">
        <w:rPr>
          <w:rFonts w:ascii="Arial" w:hAnsi="Arial" w:cs="Arial"/>
        </w:rPr>
        <w:t>clos</w:t>
      </w:r>
      <w:r w:rsidR="0088473F" w:rsidRPr="0035009E">
        <w:rPr>
          <w:rFonts w:ascii="Arial" w:hAnsi="Arial" w:cs="Arial"/>
        </w:rPr>
        <w:t>ure of</w:t>
      </w:r>
      <w:r w:rsidR="00C113CD" w:rsidRPr="00493601">
        <w:rPr>
          <w:rFonts w:ascii="Arial" w:hAnsi="Arial" w:cs="Arial"/>
        </w:rPr>
        <w:t xml:space="preserve"> </w:t>
      </w:r>
      <w:r w:rsidR="0088473F" w:rsidRPr="0035009E">
        <w:rPr>
          <w:rFonts w:ascii="Arial" w:hAnsi="Arial" w:cs="Arial"/>
        </w:rPr>
        <w:t>1</w:t>
      </w:r>
      <w:r w:rsidR="00C113CD" w:rsidRPr="00493601">
        <w:rPr>
          <w:rFonts w:ascii="Arial" w:hAnsi="Arial" w:cs="Arial"/>
        </w:rPr>
        <w:t>5 poor performing stores</w:t>
      </w:r>
      <w:r w:rsidR="006147BA" w:rsidRPr="0035009E">
        <w:rPr>
          <w:rFonts w:ascii="Arial" w:hAnsi="Arial" w:cs="Arial"/>
        </w:rPr>
        <w:t xml:space="preserve"> </w:t>
      </w:r>
      <w:r w:rsidR="000B0B60">
        <w:rPr>
          <w:rFonts w:ascii="Arial" w:hAnsi="Arial" w:cs="Arial"/>
        </w:rPr>
        <w:t xml:space="preserve">across the business </w:t>
      </w:r>
      <w:r w:rsidR="006147BA" w:rsidRPr="0035009E">
        <w:rPr>
          <w:rFonts w:ascii="Arial" w:hAnsi="Arial" w:cs="Arial"/>
        </w:rPr>
        <w:t>over next 2 years</w:t>
      </w:r>
      <w:r w:rsidRPr="0035009E">
        <w:rPr>
          <w:rFonts w:ascii="Arial" w:hAnsi="Arial" w:cs="Arial"/>
        </w:rPr>
        <w:t xml:space="preserve">; </w:t>
      </w:r>
      <w:r w:rsidR="000B0B60">
        <w:rPr>
          <w:rFonts w:ascii="Arial" w:hAnsi="Arial" w:cs="Arial"/>
        </w:rPr>
        <w:t xml:space="preserve">also </w:t>
      </w:r>
      <w:r w:rsidRPr="0035009E">
        <w:rPr>
          <w:rFonts w:ascii="Arial" w:hAnsi="Arial" w:cs="Arial"/>
        </w:rPr>
        <w:t xml:space="preserve">closing </w:t>
      </w:r>
      <w:r w:rsidR="00C113CD" w:rsidRPr="00493601">
        <w:rPr>
          <w:rFonts w:ascii="Arial" w:hAnsi="Arial" w:cs="Arial"/>
        </w:rPr>
        <w:t>19 Screwfix Germany outlets</w:t>
      </w:r>
      <w:r w:rsidR="0088473F" w:rsidRPr="0035009E">
        <w:rPr>
          <w:rFonts w:ascii="Arial" w:hAnsi="Arial" w:cs="Arial"/>
        </w:rPr>
        <w:t xml:space="preserve"> </w:t>
      </w:r>
    </w:p>
    <w:p w14:paraId="2C2AE20A" w14:textId="13477261" w:rsidR="008F3A34" w:rsidRDefault="00F8364D" w:rsidP="00946D9D">
      <w:pPr>
        <w:pStyle w:val="ListParagraph"/>
        <w:numPr>
          <w:ilvl w:val="0"/>
          <w:numId w:val="18"/>
        </w:numPr>
        <w:jc w:val="left"/>
        <w:rPr>
          <w:rFonts w:ascii="Arial" w:hAnsi="Arial" w:cs="Arial"/>
        </w:rPr>
      </w:pPr>
      <w:r>
        <w:rPr>
          <w:rFonts w:ascii="Arial" w:hAnsi="Arial" w:cs="Arial"/>
        </w:rPr>
        <w:t xml:space="preserve">Extend rollout of </w:t>
      </w:r>
      <w:r w:rsidR="008F3A34" w:rsidRPr="002B7FB8">
        <w:rPr>
          <w:rFonts w:ascii="Arial" w:hAnsi="Arial" w:cs="Arial"/>
        </w:rPr>
        <w:t xml:space="preserve">Screwfix </w:t>
      </w:r>
      <w:r>
        <w:rPr>
          <w:rFonts w:ascii="Arial" w:hAnsi="Arial" w:cs="Arial"/>
        </w:rPr>
        <w:t xml:space="preserve">outlets in the UK and enter </w:t>
      </w:r>
      <w:r w:rsidR="008F3A34" w:rsidRPr="002B7FB8">
        <w:rPr>
          <w:rFonts w:ascii="Arial" w:hAnsi="Arial" w:cs="Arial"/>
        </w:rPr>
        <w:t>new markets</w:t>
      </w:r>
    </w:p>
    <w:p w14:paraId="042E51FC" w14:textId="188A4CBB" w:rsidR="008F3A34" w:rsidRPr="0035009E" w:rsidRDefault="00F8364D">
      <w:pPr>
        <w:pStyle w:val="ListParagraph"/>
        <w:numPr>
          <w:ilvl w:val="0"/>
          <w:numId w:val="18"/>
        </w:numPr>
        <w:jc w:val="left"/>
        <w:rPr>
          <w:rFonts w:ascii="Arial" w:hAnsi="Arial" w:cs="Arial"/>
        </w:rPr>
      </w:pPr>
      <w:r>
        <w:rPr>
          <w:rFonts w:ascii="Arial" w:hAnsi="Arial" w:cs="Arial"/>
        </w:rPr>
        <w:t>Complete the building of the ‘engine’</w:t>
      </w:r>
      <w:r w:rsidR="0083600A">
        <w:rPr>
          <w:rFonts w:ascii="Arial" w:hAnsi="Arial" w:cs="Arial"/>
        </w:rPr>
        <w:t xml:space="preserve"> and m</w:t>
      </w:r>
      <w:r w:rsidRPr="0035009E">
        <w:rPr>
          <w:rFonts w:ascii="Arial" w:hAnsi="Arial" w:cs="Arial"/>
        </w:rPr>
        <w:t>ake our innovation more visible to customers</w:t>
      </w:r>
    </w:p>
    <w:bookmarkEnd w:id="1"/>
    <w:bookmarkEnd w:id="6"/>
    <w:tbl>
      <w:tblPr>
        <w:tblStyle w:val="TableGrid"/>
        <w:tblW w:w="0" w:type="auto"/>
        <w:tblLook w:val="04A0" w:firstRow="1" w:lastRow="0" w:firstColumn="1" w:lastColumn="0" w:noHBand="0" w:noVBand="1"/>
      </w:tblPr>
      <w:tblGrid>
        <w:gridCol w:w="9632"/>
      </w:tblGrid>
      <w:tr w:rsidR="000F6423" w14:paraId="0FAFF7B6" w14:textId="77777777" w:rsidTr="00522D61">
        <w:trPr>
          <w:trHeight w:val="416"/>
        </w:trPr>
        <w:tc>
          <w:tcPr>
            <w:tcW w:w="9631" w:type="dxa"/>
          </w:tcPr>
          <w:tbl>
            <w:tblPr>
              <w:tblStyle w:val="TableGrid"/>
              <w:tblW w:w="9416" w:type="dxa"/>
              <w:tblLook w:val="04A0" w:firstRow="1" w:lastRow="0" w:firstColumn="1" w:lastColumn="0" w:noHBand="0" w:noVBand="1"/>
            </w:tblPr>
            <w:tblGrid>
              <w:gridCol w:w="2586"/>
              <w:gridCol w:w="670"/>
              <w:gridCol w:w="236"/>
              <w:gridCol w:w="2496"/>
              <w:gridCol w:w="1134"/>
              <w:gridCol w:w="1456"/>
              <w:gridCol w:w="244"/>
              <w:gridCol w:w="594"/>
            </w:tblGrid>
            <w:tr w:rsidR="00E63162" w:rsidRPr="00E44B62" w14:paraId="4957D7D4" w14:textId="77777777" w:rsidTr="00522D61">
              <w:trPr>
                <w:trHeight w:val="611"/>
              </w:trPr>
              <w:tc>
                <w:tcPr>
                  <w:tcW w:w="3256" w:type="dxa"/>
                  <w:gridSpan w:val="2"/>
                  <w:tcBorders>
                    <w:top w:val="nil"/>
                    <w:left w:val="nil"/>
                    <w:bottom w:val="single" w:sz="4" w:space="0" w:color="auto"/>
                    <w:right w:val="nil"/>
                  </w:tcBorders>
                </w:tcPr>
                <w:p w14:paraId="5DABEECE" w14:textId="77777777" w:rsidR="007164D5" w:rsidRPr="00360541" w:rsidRDefault="007164D5" w:rsidP="00A845B7">
                  <w:pPr>
                    <w:rPr>
                      <w:rFonts w:ascii="Arial" w:hAnsi="Arial" w:cs="Arial"/>
                      <w:b/>
                      <w:bCs/>
                      <w:sz w:val="22"/>
                      <w:szCs w:val="22"/>
                    </w:rPr>
                  </w:pPr>
                </w:p>
                <w:p w14:paraId="27F5369F" w14:textId="4D52E537" w:rsidR="007164D5" w:rsidRPr="00360541" w:rsidRDefault="0004766D" w:rsidP="00A845B7">
                  <w:pPr>
                    <w:rPr>
                      <w:sz w:val="22"/>
                      <w:szCs w:val="22"/>
                    </w:rPr>
                  </w:pPr>
                  <w:r w:rsidRPr="00360541">
                    <w:rPr>
                      <w:rFonts w:ascii="Arial" w:hAnsi="Arial" w:cs="Arial"/>
                      <w:b/>
                      <w:bCs/>
                      <w:sz w:val="22"/>
                      <w:szCs w:val="22"/>
                    </w:rPr>
                    <w:t>S</w:t>
                  </w:r>
                  <w:r w:rsidR="007164D5" w:rsidRPr="00360541">
                    <w:rPr>
                      <w:rFonts w:ascii="Arial" w:hAnsi="Arial" w:cs="Arial"/>
                      <w:b/>
                      <w:bCs/>
                      <w:sz w:val="22"/>
                      <w:szCs w:val="22"/>
                    </w:rPr>
                    <w:t>tatutory reporti</w:t>
                  </w:r>
                  <w:r w:rsidR="001C66BB" w:rsidRPr="00360541">
                    <w:rPr>
                      <w:rFonts w:ascii="Arial" w:hAnsi="Arial" w:cs="Arial"/>
                      <w:b/>
                      <w:bCs/>
                      <w:sz w:val="22"/>
                      <w:szCs w:val="22"/>
                    </w:rPr>
                    <w:t>n</w:t>
                  </w:r>
                  <w:r w:rsidR="007164D5" w:rsidRPr="00360541">
                    <w:rPr>
                      <w:rFonts w:ascii="Arial" w:hAnsi="Arial" w:cs="Arial"/>
                      <w:b/>
                      <w:bCs/>
                      <w:sz w:val="22"/>
                      <w:szCs w:val="22"/>
                    </w:rPr>
                    <w:t xml:space="preserve">g </w:t>
                  </w:r>
                </w:p>
              </w:tc>
              <w:tc>
                <w:tcPr>
                  <w:tcW w:w="2732" w:type="dxa"/>
                  <w:gridSpan w:val="2"/>
                  <w:tcBorders>
                    <w:top w:val="nil"/>
                    <w:left w:val="nil"/>
                    <w:bottom w:val="single" w:sz="4" w:space="0" w:color="auto"/>
                    <w:right w:val="nil"/>
                  </w:tcBorders>
                </w:tcPr>
                <w:p w14:paraId="053D26D1" w14:textId="77777777" w:rsidR="007164D5" w:rsidRPr="00360541" w:rsidRDefault="007164D5" w:rsidP="00A845B7">
                  <w:pPr>
                    <w:jc w:val="right"/>
                    <w:rPr>
                      <w:rFonts w:ascii="Arial" w:hAnsi="Arial" w:cs="Arial"/>
                      <w:b/>
                      <w:bCs/>
                      <w:sz w:val="22"/>
                      <w:szCs w:val="22"/>
                    </w:rPr>
                  </w:pPr>
                </w:p>
                <w:p w14:paraId="1606C41E" w14:textId="7055B90E" w:rsidR="007164D5" w:rsidRPr="00360541" w:rsidRDefault="007164D5" w:rsidP="00A845B7">
                  <w:pPr>
                    <w:jc w:val="right"/>
                    <w:rPr>
                      <w:rFonts w:ascii="Arial" w:hAnsi="Arial" w:cs="Arial"/>
                      <w:b/>
                      <w:bCs/>
                      <w:sz w:val="22"/>
                      <w:szCs w:val="22"/>
                    </w:rPr>
                  </w:pPr>
                  <w:r w:rsidRPr="00360541">
                    <w:rPr>
                      <w:rFonts w:ascii="Arial" w:hAnsi="Arial" w:cs="Arial"/>
                      <w:b/>
                      <w:bCs/>
                      <w:sz w:val="22"/>
                      <w:szCs w:val="22"/>
                    </w:rPr>
                    <w:t>201</w:t>
                  </w:r>
                  <w:r w:rsidR="00064963" w:rsidRPr="00360541">
                    <w:rPr>
                      <w:rFonts w:ascii="Arial" w:hAnsi="Arial" w:cs="Arial"/>
                      <w:b/>
                      <w:bCs/>
                      <w:sz w:val="22"/>
                      <w:szCs w:val="22"/>
                    </w:rPr>
                    <w:t>8</w:t>
                  </w:r>
                  <w:r w:rsidRPr="00360541">
                    <w:rPr>
                      <w:rFonts w:ascii="Arial" w:hAnsi="Arial" w:cs="Arial"/>
                      <w:b/>
                      <w:bCs/>
                      <w:sz w:val="22"/>
                      <w:szCs w:val="22"/>
                    </w:rPr>
                    <w:t>/1</w:t>
                  </w:r>
                  <w:r w:rsidR="00064963" w:rsidRPr="00360541">
                    <w:rPr>
                      <w:rFonts w:ascii="Arial" w:hAnsi="Arial" w:cs="Arial"/>
                      <w:b/>
                      <w:bCs/>
                      <w:sz w:val="22"/>
                      <w:szCs w:val="22"/>
                    </w:rPr>
                    <w:t>9</w:t>
                  </w:r>
                </w:p>
                <w:p w14:paraId="1C9E827A" w14:textId="77777777" w:rsidR="007164D5" w:rsidRPr="00360541" w:rsidRDefault="007164D5" w:rsidP="00A845B7">
                  <w:pPr>
                    <w:jc w:val="right"/>
                    <w:rPr>
                      <w:sz w:val="22"/>
                      <w:szCs w:val="22"/>
                    </w:rPr>
                  </w:pPr>
                </w:p>
              </w:tc>
              <w:tc>
                <w:tcPr>
                  <w:tcW w:w="1134" w:type="dxa"/>
                  <w:tcBorders>
                    <w:top w:val="nil"/>
                    <w:left w:val="nil"/>
                    <w:bottom w:val="single" w:sz="4" w:space="0" w:color="auto"/>
                    <w:right w:val="nil"/>
                  </w:tcBorders>
                </w:tcPr>
                <w:p w14:paraId="0800320E" w14:textId="77777777" w:rsidR="007164D5" w:rsidRPr="00360541" w:rsidRDefault="007164D5" w:rsidP="00A845B7">
                  <w:pPr>
                    <w:jc w:val="right"/>
                    <w:rPr>
                      <w:rFonts w:ascii="Arial" w:hAnsi="Arial" w:cs="Arial"/>
                      <w:b/>
                      <w:bCs/>
                      <w:sz w:val="22"/>
                      <w:szCs w:val="22"/>
                    </w:rPr>
                  </w:pPr>
                </w:p>
                <w:p w14:paraId="0A8CEB40" w14:textId="321EB3C4" w:rsidR="007164D5" w:rsidRPr="00360541" w:rsidRDefault="007164D5" w:rsidP="00A845B7">
                  <w:pPr>
                    <w:jc w:val="right"/>
                    <w:rPr>
                      <w:rFonts w:ascii="Arial" w:hAnsi="Arial" w:cs="Arial"/>
                      <w:b/>
                      <w:bCs/>
                      <w:sz w:val="22"/>
                      <w:szCs w:val="22"/>
                    </w:rPr>
                  </w:pPr>
                  <w:r w:rsidRPr="00360541">
                    <w:rPr>
                      <w:rFonts w:ascii="Arial" w:hAnsi="Arial" w:cs="Arial"/>
                      <w:b/>
                      <w:bCs/>
                      <w:sz w:val="22"/>
                      <w:szCs w:val="22"/>
                    </w:rPr>
                    <w:t>201</w:t>
                  </w:r>
                  <w:r w:rsidR="00064963" w:rsidRPr="00360541">
                    <w:rPr>
                      <w:rFonts w:ascii="Arial" w:hAnsi="Arial" w:cs="Arial"/>
                      <w:b/>
                      <w:bCs/>
                      <w:sz w:val="22"/>
                      <w:szCs w:val="22"/>
                    </w:rPr>
                    <w:t>7</w:t>
                  </w:r>
                  <w:r w:rsidRPr="00360541">
                    <w:rPr>
                      <w:rFonts w:ascii="Arial" w:hAnsi="Arial" w:cs="Arial"/>
                      <w:b/>
                      <w:bCs/>
                      <w:sz w:val="22"/>
                      <w:szCs w:val="22"/>
                    </w:rPr>
                    <w:t>/1</w:t>
                  </w:r>
                  <w:r w:rsidR="00064963" w:rsidRPr="00360541">
                    <w:rPr>
                      <w:rFonts w:ascii="Arial" w:hAnsi="Arial" w:cs="Arial"/>
                      <w:b/>
                      <w:bCs/>
                      <w:sz w:val="22"/>
                      <w:szCs w:val="22"/>
                    </w:rPr>
                    <w:t>8</w:t>
                  </w:r>
                </w:p>
                <w:p w14:paraId="5B29B783" w14:textId="77777777" w:rsidR="007164D5" w:rsidRPr="00360541" w:rsidRDefault="007164D5" w:rsidP="00A845B7">
                  <w:pPr>
                    <w:jc w:val="right"/>
                    <w:rPr>
                      <w:sz w:val="22"/>
                      <w:szCs w:val="22"/>
                    </w:rPr>
                  </w:pPr>
                </w:p>
              </w:tc>
              <w:tc>
                <w:tcPr>
                  <w:tcW w:w="1456" w:type="dxa"/>
                  <w:tcBorders>
                    <w:top w:val="nil"/>
                    <w:left w:val="nil"/>
                    <w:bottom w:val="single" w:sz="4" w:space="0" w:color="auto"/>
                    <w:right w:val="nil"/>
                  </w:tcBorders>
                </w:tcPr>
                <w:p w14:paraId="6A71FE72" w14:textId="77777777" w:rsidR="007164D5" w:rsidRPr="00360541" w:rsidRDefault="007164D5" w:rsidP="00A845B7">
                  <w:pPr>
                    <w:ind w:right="33"/>
                    <w:jc w:val="right"/>
                    <w:rPr>
                      <w:rFonts w:ascii="Arial" w:hAnsi="Arial" w:cs="Arial"/>
                      <w:b/>
                      <w:bCs/>
                      <w:sz w:val="22"/>
                      <w:szCs w:val="22"/>
                    </w:rPr>
                  </w:pPr>
                </w:p>
                <w:p w14:paraId="323B3DCC" w14:textId="3D8A58E1" w:rsidR="007164D5" w:rsidRPr="00360541" w:rsidRDefault="007164D5" w:rsidP="00A845B7">
                  <w:pPr>
                    <w:ind w:right="33"/>
                    <w:jc w:val="right"/>
                    <w:rPr>
                      <w:rFonts w:ascii="Arial" w:hAnsi="Arial" w:cs="Arial"/>
                      <w:b/>
                      <w:bCs/>
                      <w:sz w:val="22"/>
                      <w:szCs w:val="22"/>
                    </w:rPr>
                  </w:pPr>
                  <w:r w:rsidRPr="00360541">
                    <w:rPr>
                      <w:rFonts w:ascii="Arial" w:hAnsi="Arial" w:cs="Arial"/>
                      <w:b/>
                      <w:bCs/>
                      <w:sz w:val="22"/>
                      <w:szCs w:val="22"/>
                    </w:rPr>
                    <w:t>%</w:t>
                  </w:r>
                  <w:r w:rsidR="001C66BB" w:rsidRPr="00360541">
                    <w:rPr>
                      <w:rFonts w:ascii="Arial" w:hAnsi="Arial" w:cs="Arial"/>
                      <w:b/>
                      <w:bCs/>
                      <w:sz w:val="22"/>
                      <w:szCs w:val="22"/>
                    </w:rPr>
                    <w:t xml:space="preserve"> Change</w:t>
                  </w:r>
                </w:p>
                <w:p w14:paraId="25BE818B" w14:textId="77777777" w:rsidR="007164D5" w:rsidRPr="00360541" w:rsidRDefault="007164D5" w:rsidP="00A845B7">
                  <w:pPr>
                    <w:ind w:right="33"/>
                    <w:jc w:val="right"/>
                    <w:rPr>
                      <w:sz w:val="22"/>
                      <w:szCs w:val="22"/>
                    </w:rPr>
                  </w:pPr>
                </w:p>
              </w:tc>
              <w:tc>
                <w:tcPr>
                  <w:tcW w:w="244" w:type="dxa"/>
                  <w:tcBorders>
                    <w:top w:val="nil"/>
                    <w:left w:val="nil"/>
                    <w:bottom w:val="nil"/>
                    <w:right w:val="nil"/>
                  </w:tcBorders>
                </w:tcPr>
                <w:p w14:paraId="187C8173" w14:textId="77777777" w:rsidR="007164D5" w:rsidRPr="00360541" w:rsidRDefault="007164D5" w:rsidP="00E63162">
                  <w:pPr>
                    <w:ind w:right="236"/>
                    <w:jc w:val="right"/>
                    <w:rPr>
                      <w:rFonts w:ascii="Arial" w:hAnsi="Arial" w:cs="Arial"/>
                      <w:b/>
                      <w:bCs/>
                      <w:sz w:val="22"/>
                      <w:szCs w:val="22"/>
                    </w:rPr>
                  </w:pPr>
                </w:p>
              </w:tc>
              <w:tc>
                <w:tcPr>
                  <w:tcW w:w="594" w:type="dxa"/>
                  <w:tcBorders>
                    <w:top w:val="nil"/>
                    <w:left w:val="nil"/>
                    <w:bottom w:val="nil"/>
                    <w:right w:val="nil"/>
                  </w:tcBorders>
                </w:tcPr>
                <w:p w14:paraId="7B7EC4FB" w14:textId="77777777" w:rsidR="007164D5" w:rsidRPr="00522D61" w:rsidRDefault="007164D5" w:rsidP="00A845B7">
                  <w:pPr>
                    <w:ind w:right="33"/>
                    <w:jc w:val="right"/>
                    <w:rPr>
                      <w:rFonts w:ascii="Arial" w:hAnsi="Arial" w:cs="Arial"/>
                      <w:b/>
                      <w:bCs/>
                      <w:sz w:val="12"/>
                      <w:szCs w:val="12"/>
                    </w:rPr>
                  </w:pPr>
                </w:p>
              </w:tc>
            </w:tr>
            <w:tr w:rsidR="00232507" w:rsidRPr="00E44B62" w14:paraId="13F18DAA" w14:textId="77777777" w:rsidTr="00522D61">
              <w:trPr>
                <w:trHeight w:val="269"/>
              </w:trPr>
              <w:tc>
                <w:tcPr>
                  <w:tcW w:w="2586" w:type="dxa"/>
                  <w:tcBorders>
                    <w:top w:val="single" w:sz="4" w:space="0" w:color="auto"/>
                    <w:left w:val="nil"/>
                    <w:bottom w:val="nil"/>
                    <w:right w:val="nil"/>
                  </w:tcBorders>
                </w:tcPr>
                <w:p w14:paraId="2F6198C0" w14:textId="77777777" w:rsidR="007164D5" w:rsidRPr="00360541" w:rsidRDefault="007164D5" w:rsidP="000F6423">
                  <w:pPr>
                    <w:jc w:val="left"/>
                    <w:rPr>
                      <w:rFonts w:ascii="Arial" w:hAnsi="Arial" w:cs="Arial"/>
                      <w:sz w:val="22"/>
                      <w:szCs w:val="22"/>
                    </w:rPr>
                  </w:pPr>
                  <w:r w:rsidRPr="00360541">
                    <w:rPr>
                      <w:rFonts w:ascii="Arial" w:hAnsi="Arial" w:cs="Arial"/>
                      <w:sz w:val="22"/>
                      <w:szCs w:val="22"/>
                    </w:rPr>
                    <w:t>Statutory pre-tax profit</w:t>
                  </w:r>
                </w:p>
              </w:tc>
              <w:tc>
                <w:tcPr>
                  <w:tcW w:w="670" w:type="dxa"/>
                  <w:tcBorders>
                    <w:top w:val="single" w:sz="4" w:space="0" w:color="auto"/>
                    <w:left w:val="nil"/>
                    <w:bottom w:val="nil"/>
                    <w:right w:val="nil"/>
                  </w:tcBorders>
                </w:tcPr>
                <w:p w14:paraId="4E2DD69D" w14:textId="77777777" w:rsidR="007164D5" w:rsidRPr="00360541" w:rsidRDefault="007164D5" w:rsidP="000F6423">
                  <w:pPr>
                    <w:jc w:val="right"/>
                    <w:rPr>
                      <w:sz w:val="22"/>
                      <w:szCs w:val="22"/>
                    </w:rPr>
                  </w:pPr>
                </w:p>
              </w:tc>
              <w:tc>
                <w:tcPr>
                  <w:tcW w:w="236" w:type="dxa"/>
                  <w:tcBorders>
                    <w:top w:val="single" w:sz="4" w:space="0" w:color="auto"/>
                    <w:left w:val="nil"/>
                    <w:bottom w:val="nil"/>
                    <w:right w:val="nil"/>
                  </w:tcBorders>
                </w:tcPr>
                <w:p w14:paraId="4F8F2F35" w14:textId="77777777" w:rsidR="007164D5" w:rsidRPr="00360541" w:rsidRDefault="007164D5" w:rsidP="000F6423">
                  <w:pPr>
                    <w:jc w:val="right"/>
                    <w:rPr>
                      <w:sz w:val="22"/>
                      <w:szCs w:val="22"/>
                    </w:rPr>
                  </w:pPr>
                </w:p>
              </w:tc>
              <w:tc>
                <w:tcPr>
                  <w:tcW w:w="2496" w:type="dxa"/>
                  <w:tcBorders>
                    <w:top w:val="single" w:sz="4" w:space="0" w:color="auto"/>
                    <w:left w:val="nil"/>
                    <w:bottom w:val="nil"/>
                    <w:right w:val="nil"/>
                  </w:tcBorders>
                </w:tcPr>
                <w:p w14:paraId="4312ECDB" w14:textId="5DB0DA6E" w:rsidR="007164D5" w:rsidRPr="00360541" w:rsidRDefault="007164D5" w:rsidP="000F6423">
                  <w:pPr>
                    <w:jc w:val="right"/>
                    <w:rPr>
                      <w:sz w:val="22"/>
                      <w:szCs w:val="22"/>
                    </w:rPr>
                  </w:pPr>
                  <w:r w:rsidRPr="00360541">
                    <w:rPr>
                      <w:rFonts w:ascii="Arial" w:hAnsi="Arial"/>
                      <w:sz w:val="22"/>
                      <w:szCs w:val="22"/>
                    </w:rPr>
                    <w:t>£</w:t>
                  </w:r>
                  <w:r w:rsidR="00E423E2" w:rsidRPr="00360541">
                    <w:rPr>
                      <w:rFonts w:ascii="Arial" w:hAnsi="Arial" w:cs="Arial"/>
                      <w:sz w:val="22"/>
                      <w:szCs w:val="22"/>
                    </w:rPr>
                    <w:t>3</w:t>
                  </w:r>
                  <w:r w:rsidR="00EF7D2C" w:rsidRPr="00360541">
                    <w:rPr>
                      <w:rFonts w:ascii="Arial" w:hAnsi="Arial" w:cs="Arial"/>
                      <w:sz w:val="22"/>
                      <w:szCs w:val="22"/>
                    </w:rPr>
                    <w:t>22</w:t>
                  </w:r>
                  <w:r w:rsidR="00E423E2" w:rsidRPr="00360541">
                    <w:rPr>
                      <w:rFonts w:ascii="Arial" w:hAnsi="Arial" w:cs="Arial"/>
                      <w:sz w:val="22"/>
                      <w:szCs w:val="22"/>
                    </w:rPr>
                    <w:t>m</w:t>
                  </w:r>
                </w:p>
              </w:tc>
              <w:tc>
                <w:tcPr>
                  <w:tcW w:w="1134" w:type="dxa"/>
                  <w:tcBorders>
                    <w:top w:val="single" w:sz="4" w:space="0" w:color="auto"/>
                    <w:left w:val="nil"/>
                    <w:bottom w:val="nil"/>
                    <w:right w:val="nil"/>
                  </w:tcBorders>
                </w:tcPr>
                <w:p w14:paraId="481556EA" w14:textId="5EE345A9" w:rsidR="007164D5" w:rsidRPr="00360541" w:rsidRDefault="007164D5" w:rsidP="000F6423">
                  <w:pPr>
                    <w:jc w:val="right"/>
                    <w:rPr>
                      <w:sz w:val="22"/>
                      <w:szCs w:val="22"/>
                    </w:rPr>
                  </w:pPr>
                  <w:r w:rsidRPr="00360541">
                    <w:rPr>
                      <w:rFonts w:ascii="Arial" w:hAnsi="Arial" w:cs="Arial"/>
                      <w:sz w:val="22"/>
                      <w:szCs w:val="22"/>
                    </w:rPr>
                    <w:t>£</w:t>
                  </w:r>
                  <w:r w:rsidR="00064963" w:rsidRPr="00360541">
                    <w:rPr>
                      <w:rFonts w:ascii="Arial" w:hAnsi="Arial" w:cs="Arial"/>
                      <w:sz w:val="22"/>
                      <w:szCs w:val="22"/>
                    </w:rPr>
                    <w:t>682</w:t>
                  </w:r>
                  <w:r w:rsidRPr="00360541">
                    <w:rPr>
                      <w:rFonts w:ascii="Arial" w:hAnsi="Arial" w:cs="Arial"/>
                      <w:sz w:val="22"/>
                      <w:szCs w:val="22"/>
                    </w:rPr>
                    <w:t>m</w:t>
                  </w:r>
                </w:p>
              </w:tc>
              <w:tc>
                <w:tcPr>
                  <w:tcW w:w="1456" w:type="dxa"/>
                  <w:tcBorders>
                    <w:top w:val="single" w:sz="4" w:space="0" w:color="auto"/>
                    <w:left w:val="nil"/>
                    <w:bottom w:val="nil"/>
                    <w:right w:val="nil"/>
                  </w:tcBorders>
                </w:tcPr>
                <w:p w14:paraId="75B4222D" w14:textId="77E684A8" w:rsidR="007164D5" w:rsidRPr="00360541" w:rsidRDefault="00B0776C" w:rsidP="000F6423">
                  <w:pPr>
                    <w:jc w:val="right"/>
                    <w:rPr>
                      <w:sz w:val="22"/>
                      <w:szCs w:val="22"/>
                    </w:rPr>
                  </w:pPr>
                  <w:r w:rsidRPr="00360541">
                    <w:rPr>
                      <w:rFonts w:ascii="Arial" w:hAnsi="Arial"/>
                      <w:sz w:val="22"/>
                      <w:szCs w:val="22"/>
                    </w:rPr>
                    <w:t>(</w:t>
                  </w:r>
                  <w:proofErr w:type="gramStart"/>
                  <w:r w:rsidR="00EF7D2C" w:rsidRPr="00360541">
                    <w:rPr>
                      <w:rFonts w:ascii="Arial" w:hAnsi="Arial" w:cs="Arial"/>
                      <w:sz w:val="22"/>
                      <w:szCs w:val="22"/>
                    </w:rPr>
                    <w:t>52</w:t>
                  </w:r>
                  <w:r w:rsidR="00E423E2" w:rsidRPr="00360541">
                    <w:rPr>
                      <w:rFonts w:ascii="Arial" w:hAnsi="Arial" w:cs="Arial"/>
                      <w:sz w:val="22"/>
                      <w:szCs w:val="22"/>
                    </w:rPr>
                    <w:t>.</w:t>
                  </w:r>
                  <w:r w:rsidR="00EF7D2C" w:rsidRPr="00360541">
                    <w:rPr>
                      <w:rFonts w:ascii="Arial" w:hAnsi="Arial" w:cs="Arial"/>
                      <w:sz w:val="22"/>
                      <w:szCs w:val="22"/>
                    </w:rPr>
                    <w:t>8</w:t>
                  </w:r>
                  <w:r w:rsidRPr="00360541">
                    <w:rPr>
                      <w:rFonts w:ascii="Arial" w:hAnsi="Arial"/>
                      <w:sz w:val="22"/>
                      <w:szCs w:val="22"/>
                    </w:rPr>
                    <w:t>)%</w:t>
                  </w:r>
                  <w:proofErr w:type="gramEnd"/>
                </w:p>
              </w:tc>
              <w:tc>
                <w:tcPr>
                  <w:tcW w:w="244" w:type="dxa"/>
                  <w:tcBorders>
                    <w:top w:val="nil"/>
                    <w:left w:val="nil"/>
                    <w:bottom w:val="nil"/>
                    <w:right w:val="nil"/>
                  </w:tcBorders>
                </w:tcPr>
                <w:p w14:paraId="1A900A04" w14:textId="77777777" w:rsidR="007164D5" w:rsidRPr="00360541" w:rsidRDefault="007164D5" w:rsidP="000F6423">
                  <w:pPr>
                    <w:jc w:val="right"/>
                    <w:rPr>
                      <w:rFonts w:ascii="Arial" w:hAnsi="Arial" w:cs="Arial"/>
                      <w:sz w:val="22"/>
                      <w:szCs w:val="22"/>
                    </w:rPr>
                  </w:pPr>
                </w:p>
              </w:tc>
              <w:tc>
                <w:tcPr>
                  <w:tcW w:w="594" w:type="dxa"/>
                  <w:tcBorders>
                    <w:top w:val="nil"/>
                    <w:left w:val="nil"/>
                    <w:bottom w:val="nil"/>
                    <w:right w:val="nil"/>
                  </w:tcBorders>
                </w:tcPr>
                <w:p w14:paraId="22DD0410" w14:textId="77777777" w:rsidR="007164D5" w:rsidRPr="004F6F19" w:rsidRDefault="007164D5" w:rsidP="000F6423">
                  <w:pPr>
                    <w:jc w:val="right"/>
                    <w:rPr>
                      <w:rFonts w:ascii="Arial" w:hAnsi="Arial" w:cs="Arial"/>
                      <w:sz w:val="22"/>
                      <w:szCs w:val="22"/>
                    </w:rPr>
                  </w:pPr>
                </w:p>
              </w:tc>
            </w:tr>
            <w:tr w:rsidR="00232507" w:rsidRPr="00E44B62" w14:paraId="7F7FFA6D" w14:textId="77777777" w:rsidTr="00522D61">
              <w:trPr>
                <w:trHeight w:val="269"/>
              </w:trPr>
              <w:tc>
                <w:tcPr>
                  <w:tcW w:w="2586" w:type="dxa"/>
                  <w:tcBorders>
                    <w:top w:val="nil"/>
                    <w:left w:val="nil"/>
                    <w:bottom w:val="nil"/>
                    <w:right w:val="nil"/>
                  </w:tcBorders>
                </w:tcPr>
                <w:p w14:paraId="34D480E9" w14:textId="77777777" w:rsidR="007164D5" w:rsidRPr="00360541" w:rsidRDefault="007164D5" w:rsidP="000F6423">
                  <w:pPr>
                    <w:jc w:val="left"/>
                    <w:rPr>
                      <w:rFonts w:ascii="Arial" w:hAnsi="Arial" w:cs="Arial"/>
                      <w:sz w:val="22"/>
                      <w:szCs w:val="22"/>
                    </w:rPr>
                  </w:pPr>
                  <w:r w:rsidRPr="00360541">
                    <w:rPr>
                      <w:rFonts w:ascii="Arial" w:hAnsi="Arial" w:cs="Arial"/>
                      <w:sz w:val="22"/>
                      <w:szCs w:val="22"/>
                    </w:rPr>
                    <w:t>Statutory post-tax profit</w:t>
                  </w:r>
                </w:p>
              </w:tc>
              <w:tc>
                <w:tcPr>
                  <w:tcW w:w="670" w:type="dxa"/>
                  <w:tcBorders>
                    <w:top w:val="nil"/>
                    <w:left w:val="nil"/>
                    <w:bottom w:val="nil"/>
                    <w:right w:val="nil"/>
                  </w:tcBorders>
                </w:tcPr>
                <w:p w14:paraId="57622F6D" w14:textId="77777777" w:rsidR="007164D5" w:rsidRPr="00360541" w:rsidRDefault="007164D5" w:rsidP="000F6423">
                  <w:pPr>
                    <w:jc w:val="right"/>
                    <w:rPr>
                      <w:rFonts w:ascii="Arial" w:hAnsi="Arial" w:cs="Arial"/>
                      <w:sz w:val="22"/>
                      <w:szCs w:val="22"/>
                    </w:rPr>
                  </w:pPr>
                </w:p>
              </w:tc>
              <w:tc>
                <w:tcPr>
                  <w:tcW w:w="236" w:type="dxa"/>
                  <w:tcBorders>
                    <w:top w:val="nil"/>
                    <w:left w:val="nil"/>
                    <w:bottom w:val="nil"/>
                    <w:right w:val="nil"/>
                  </w:tcBorders>
                </w:tcPr>
                <w:p w14:paraId="6CC25F0F" w14:textId="77777777" w:rsidR="007164D5" w:rsidRPr="00360541" w:rsidRDefault="007164D5" w:rsidP="000F6423">
                  <w:pPr>
                    <w:jc w:val="right"/>
                    <w:rPr>
                      <w:rFonts w:ascii="Arial" w:hAnsi="Arial" w:cs="Arial"/>
                      <w:sz w:val="22"/>
                      <w:szCs w:val="22"/>
                    </w:rPr>
                  </w:pPr>
                </w:p>
              </w:tc>
              <w:tc>
                <w:tcPr>
                  <w:tcW w:w="2496" w:type="dxa"/>
                  <w:tcBorders>
                    <w:top w:val="nil"/>
                    <w:left w:val="nil"/>
                    <w:bottom w:val="nil"/>
                    <w:right w:val="nil"/>
                  </w:tcBorders>
                </w:tcPr>
                <w:p w14:paraId="77C5A2F4" w14:textId="617C207C" w:rsidR="007164D5" w:rsidRPr="00360541" w:rsidRDefault="007164D5" w:rsidP="000F6423">
                  <w:pPr>
                    <w:jc w:val="right"/>
                    <w:rPr>
                      <w:rFonts w:ascii="Arial" w:hAnsi="Arial" w:cs="Arial"/>
                      <w:sz w:val="22"/>
                      <w:szCs w:val="22"/>
                    </w:rPr>
                  </w:pPr>
                  <w:r w:rsidRPr="00360541">
                    <w:rPr>
                      <w:rFonts w:ascii="Arial" w:hAnsi="Arial" w:cs="Arial"/>
                      <w:sz w:val="22"/>
                      <w:szCs w:val="22"/>
                    </w:rPr>
                    <w:t>£</w:t>
                  </w:r>
                  <w:r w:rsidR="00E423E2" w:rsidRPr="00360541">
                    <w:rPr>
                      <w:rFonts w:ascii="Arial" w:hAnsi="Arial" w:cs="Arial"/>
                      <w:sz w:val="22"/>
                      <w:szCs w:val="22"/>
                    </w:rPr>
                    <w:t>2</w:t>
                  </w:r>
                  <w:r w:rsidR="00EF7D2C" w:rsidRPr="00360541">
                    <w:rPr>
                      <w:rFonts w:ascii="Arial" w:hAnsi="Arial" w:cs="Arial"/>
                      <w:sz w:val="22"/>
                      <w:szCs w:val="22"/>
                    </w:rPr>
                    <w:t>1</w:t>
                  </w:r>
                  <w:r w:rsidR="00E423E2" w:rsidRPr="00360541">
                    <w:rPr>
                      <w:rFonts w:ascii="Arial" w:hAnsi="Arial" w:cs="Arial"/>
                      <w:sz w:val="22"/>
                      <w:szCs w:val="22"/>
                    </w:rPr>
                    <w:t>8m</w:t>
                  </w:r>
                </w:p>
              </w:tc>
              <w:tc>
                <w:tcPr>
                  <w:tcW w:w="1134" w:type="dxa"/>
                  <w:tcBorders>
                    <w:top w:val="nil"/>
                    <w:left w:val="nil"/>
                    <w:bottom w:val="nil"/>
                    <w:right w:val="nil"/>
                  </w:tcBorders>
                </w:tcPr>
                <w:p w14:paraId="7409690B" w14:textId="4FF44DF8" w:rsidR="007164D5" w:rsidRPr="00360541" w:rsidRDefault="007164D5" w:rsidP="00F9080F">
                  <w:pPr>
                    <w:jc w:val="right"/>
                    <w:rPr>
                      <w:sz w:val="22"/>
                      <w:szCs w:val="22"/>
                    </w:rPr>
                  </w:pPr>
                  <w:r w:rsidRPr="00360541">
                    <w:rPr>
                      <w:rFonts w:ascii="Arial" w:hAnsi="Arial" w:cs="Arial"/>
                      <w:sz w:val="22"/>
                      <w:szCs w:val="22"/>
                    </w:rPr>
                    <w:t>£</w:t>
                  </w:r>
                  <w:r w:rsidR="00064963" w:rsidRPr="00360541">
                    <w:rPr>
                      <w:rFonts w:ascii="Arial" w:hAnsi="Arial" w:cs="Arial"/>
                      <w:sz w:val="22"/>
                      <w:szCs w:val="22"/>
                    </w:rPr>
                    <w:t>485</w:t>
                  </w:r>
                  <w:r w:rsidRPr="00360541">
                    <w:rPr>
                      <w:rFonts w:ascii="Arial" w:hAnsi="Arial" w:cs="Arial"/>
                      <w:sz w:val="22"/>
                      <w:szCs w:val="22"/>
                    </w:rPr>
                    <w:t>m</w:t>
                  </w:r>
                </w:p>
              </w:tc>
              <w:tc>
                <w:tcPr>
                  <w:tcW w:w="1456" w:type="dxa"/>
                  <w:tcBorders>
                    <w:top w:val="nil"/>
                    <w:left w:val="nil"/>
                    <w:bottom w:val="nil"/>
                    <w:right w:val="nil"/>
                  </w:tcBorders>
                </w:tcPr>
                <w:p w14:paraId="280FB552" w14:textId="2DDAADF3" w:rsidR="007164D5" w:rsidRPr="00360541" w:rsidRDefault="000552CC" w:rsidP="00F9080F">
                  <w:pPr>
                    <w:jc w:val="right"/>
                    <w:rPr>
                      <w:rFonts w:ascii="Arial" w:hAnsi="Arial" w:cs="Arial"/>
                      <w:sz w:val="22"/>
                      <w:szCs w:val="22"/>
                    </w:rPr>
                  </w:pPr>
                  <w:r w:rsidRPr="00360541">
                    <w:rPr>
                      <w:rFonts w:ascii="Arial" w:hAnsi="Arial" w:cs="Arial"/>
                      <w:sz w:val="22"/>
                      <w:szCs w:val="22"/>
                    </w:rPr>
                    <w:t>(</w:t>
                  </w:r>
                  <w:proofErr w:type="gramStart"/>
                  <w:r w:rsidR="00E423E2" w:rsidRPr="00360541">
                    <w:rPr>
                      <w:rFonts w:ascii="Arial" w:hAnsi="Arial" w:cs="Arial"/>
                      <w:sz w:val="22"/>
                      <w:szCs w:val="22"/>
                    </w:rPr>
                    <w:t>5</w:t>
                  </w:r>
                  <w:r w:rsidR="00EF7D2C" w:rsidRPr="00360541">
                    <w:rPr>
                      <w:rFonts w:ascii="Arial" w:hAnsi="Arial" w:cs="Arial"/>
                      <w:sz w:val="22"/>
                      <w:szCs w:val="22"/>
                    </w:rPr>
                    <w:t>5</w:t>
                  </w:r>
                  <w:r w:rsidR="00E423E2" w:rsidRPr="00360541">
                    <w:rPr>
                      <w:rFonts w:ascii="Arial" w:hAnsi="Arial" w:cs="Arial"/>
                      <w:sz w:val="22"/>
                      <w:szCs w:val="22"/>
                    </w:rPr>
                    <w:t>.</w:t>
                  </w:r>
                  <w:r w:rsidR="00EF7D2C" w:rsidRPr="00360541">
                    <w:rPr>
                      <w:rFonts w:ascii="Arial" w:hAnsi="Arial" w:cs="Arial"/>
                      <w:sz w:val="22"/>
                      <w:szCs w:val="22"/>
                    </w:rPr>
                    <w:t>1</w:t>
                  </w:r>
                  <w:r w:rsidRPr="00360541">
                    <w:rPr>
                      <w:rFonts w:ascii="Arial" w:hAnsi="Arial" w:cs="Arial"/>
                      <w:sz w:val="22"/>
                      <w:szCs w:val="22"/>
                    </w:rPr>
                    <w:t>)</w:t>
                  </w:r>
                  <w:r w:rsidR="007164D5" w:rsidRPr="00360541">
                    <w:rPr>
                      <w:rFonts w:ascii="Arial" w:hAnsi="Arial" w:cs="Arial"/>
                      <w:sz w:val="22"/>
                      <w:szCs w:val="22"/>
                    </w:rPr>
                    <w:t>%</w:t>
                  </w:r>
                  <w:proofErr w:type="gramEnd"/>
                </w:p>
              </w:tc>
              <w:tc>
                <w:tcPr>
                  <w:tcW w:w="244" w:type="dxa"/>
                  <w:tcBorders>
                    <w:top w:val="nil"/>
                    <w:left w:val="nil"/>
                    <w:bottom w:val="nil"/>
                    <w:right w:val="nil"/>
                  </w:tcBorders>
                </w:tcPr>
                <w:p w14:paraId="7DABDB09" w14:textId="77777777" w:rsidR="007164D5" w:rsidRPr="00360541" w:rsidRDefault="007164D5" w:rsidP="00F9080F">
                  <w:pPr>
                    <w:jc w:val="right"/>
                    <w:rPr>
                      <w:rFonts w:ascii="Arial" w:hAnsi="Arial" w:cs="Arial"/>
                      <w:sz w:val="22"/>
                      <w:szCs w:val="22"/>
                    </w:rPr>
                  </w:pPr>
                </w:p>
              </w:tc>
              <w:tc>
                <w:tcPr>
                  <w:tcW w:w="594" w:type="dxa"/>
                  <w:tcBorders>
                    <w:top w:val="nil"/>
                    <w:left w:val="nil"/>
                    <w:bottom w:val="nil"/>
                    <w:right w:val="nil"/>
                  </w:tcBorders>
                </w:tcPr>
                <w:p w14:paraId="44FED6B7" w14:textId="77777777" w:rsidR="007164D5" w:rsidRPr="004F6F19" w:rsidRDefault="007164D5" w:rsidP="00F9080F">
                  <w:pPr>
                    <w:jc w:val="right"/>
                    <w:rPr>
                      <w:rFonts w:ascii="Arial" w:hAnsi="Arial" w:cs="Arial"/>
                      <w:sz w:val="22"/>
                      <w:szCs w:val="22"/>
                    </w:rPr>
                  </w:pPr>
                </w:p>
              </w:tc>
            </w:tr>
            <w:tr w:rsidR="00232507" w:rsidRPr="00E44B62" w14:paraId="7D7C0EDE" w14:textId="77777777" w:rsidTr="00522D61">
              <w:trPr>
                <w:trHeight w:val="269"/>
              </w:trPr>
              <w:tc>
                <w:tcPr>
                  <w:tcW w:w="2586" w:type="dxa"/>
                  <w:tcBorders>
                    <w:top w:val="nil"/>
                    <w:left w:val="nil"/>
                    <w:bottom w:val="nil"/>
                    <w:right w:val="nil"/>
                  </w:tcBorders>
                </w:tcPr>
                <w:p w14:paraId="6BB72088" w14:textId="77777777" w:rsidR="007164D5" w:rsidRPr="00360541" w:rsidRDefault="007164D5" w:rsidP="000F6423">
                  <w:pPr>
                    <w:jc w:val="left"/>
                    <w:rPr>
                      <w:rFonts w:ascii="Arial" w:hAnsi="Arial" w:cs="Arial"/>
                      <w:sz w:val="22"/>
                      <w:szCs w:val="22"/>
                    </w:rPr>
                  </w:pPr>
                  <w:r w:rsidRPr="00360541">
                    <w:rPr>
                      <w:rFonts w:ascii="Arial" w:hAnsi="Arial" w:cs="Arial"/>
                      <w:sz w:val="22"/>
                      <w:szCs w:val="22"/>
                    </w:rPr>
                    <w:t>Basic EPS</w:t>
                  </w:r>
                </w:p>
              </w:tc>
              <w:tc>
                <w:tcPr>
                  <w:tcW w:w="670" w:type="dxa"/>
                  <w:tcBorders>
                    <w:top w:val="nil"/>
                    <w:left w:val="nil"/>
                    <w:bottom w:val="nil"/>
                    <w:right w:val="nil"/>
                  </w:tcBorders>
                </w:tcPr>
                <w:p w14:paraId="6B67E1D6" w14:textId="77777777" w:rsidR="007164D5" w:rsidRPr="00360541" w:rsidRDefault="007164D5" w:rsidP="000F6423">
                  <w:pPr>
                    <w:jc w:val="right"/>
                    <w:rPr>
                      <w:rFonts w:ascii="Arial" w:hAnsi="Arial" w:cs="Arial"/>
                      <w:sz w:val="22"/>
                      <w:szCs w:val="22"/>
                    </w:rPr>
                  </w:pPr>
                </w:p>
              </w:tc>
              <w:tc>
                <w:tcPr>
                  <w:tcW w:w="236" w:type="dxa"/>
                  <w:tcBorders>
                    <w:top w:val="nil"/>
                    <w:left w:val="nil"/>
                    <w:bottom w:val="nil"/>
                    <w:right w:val="nil"/>
                  </w:tcBorders>
                </w:tcPr>
                <w:p w14:paraId="0B4FC642" w14:textId="77777777" w:rsidR="007164D5" w:rsidRPr="00360541" w:rsidRDefault="007164D5" w:rsidP="000F6423">
                  <w:pPr>
                    <w:jc w:val="right"/>
                    <w:rPr>
                      <w:rFonts w:ascii="Arial" w:hAnsi="Arial" w:cs="Arial"/>
                      <w:sz w:val="22"/>
                      <w:szCs w:val="22"/>
                    </w:rPr>
                  </w:pPr>
                </w:p>
              </w:tc>
              <w:tc>
                <w:tcPr>
                  <w:tcW w:w="2496" w:type="dxa"/>
                  <w:tcBorders>
                    <w:top w:val="nil"/>
                    <w:left w:val="nil"/>
                    <w:bottom w:val="nil"/>
                    <w:right w:val="nil"/>
                  </w:tcBorders>
                </w:tcPr>
                <w:p w14:paraId="0E757AAA" w14:textId="4E8E7B32" w:rsidR="007164D5" w:rsidRPr="00360541" w:rsidRDefault="00E423E2" w:rsidP="000F6423">
                  <w:pPr>
                    <w:jc w:val="right"/>
                    <w:rPr>
                      <w:rFonts w:ascii="Arial" w:hAnsi="Arial" w:cs="Arial"/>
                      <w:sz w:val="22"/>
                      <w:szCs w:val="22"/>
                    </w:rPr>
                  </w:pPr>
                  <w:r w:rsidRPr="00360541">
                    <w:rPr>
                      <w:rFonts w:ascii="Arial" w:hAnsi="Arial" w:cs="Arial"/>
                      <w:sz w:val="22"/>
                      <w:szCs w:val="22"/>
                    </w:rPr>
                    <w:t>1</w:t>
                  </w:r>
                  <w:r w:rsidR="00EF7D2C" w:rsidRPr="00360541">
                    <w:rPr>
                      <w:rFonts w:ascii="Arial" w:hAnsi="Arial" w:cs="Arial"/>
                      <w:sz w:val="22"/>
                      <w:szCs w:val="22"/>
                    </w:rPr>
                    <w:t>0</w:t>
                  </w:r>
                  <w:r w:rsidRPr="00360541">
                    <w:rPr>
                      <w:rFonts w:ascii="Arial" w:hAnsi="Arial" w:cs="Arial"/>
                      <w:sz w:val="22"/>
                      <w:szCs w:val="22"/>
                    </w:rPr>
                    <w:t>.</w:t>
                  </w:r>
                  <w:r w:rsidR="00EF7D2C" w:rsidRPr="00360541">
                    <w:rPr>
                      <w:rFonts w:ascii="Arial" w:hAnsi="Arial" w:cs="Arial"/>
                      <w:sz w:val="22"/>
                      <w:szCs w:val="22"/>
                    </w:rPr>
                    <w:t>3</w:t>
                  </w:r>
                  <w:r w:rsidR="00697318" w:rsidRPr="00360541">
                    <w:rPr>
                      <w:rFonts w:ascii="Arial" w:hAnsi="Arial" w:cs="Arial"/>
                      <w:sz w:val="22"/>
                      <w:szCs w:val="22"/>
                    </w:rPr>
                    <w:t>p</w:t>
                  </w:r>
                </w:p>
              </w:tc>
              <w:tc>
                <w:tcPr>
                  <w:tcW w:w="1134" w:type="dxa"/>
                  <w:tcBorders>
                    <w:top w:val="nil"/>
                    <w:left w:val="nil"/>
                    <w:bottom w:val="nil"/>
                    <w:right w:val="nil"/>
                  </w:tcBorders>
                </w:tcPr>
                <w:p w14:paraId="4BEF976F" w14:textId="6A5FFA4F" w:rsidR="007164D5" w:rsidRPr="00360541" w:rsidRDefault="00290B48" w:rsidP="00F9080F">
                  <w:pPr>
                    <w:jc w:val="right"/>
                    <w:rPr>
                      <w:sz w:val="22"/>
                      <w:szCs w:val="22"/>
                    </w:rPr>
                  </w:pPr>
                  <w:r w:rsidRPr="00360541">
                    <w:rPr>
                      <w:rFonts w:ascii="Arial" w:hAnsi="Arial" w:cs="Arial"/>
                      <w:sz w:val="22"/>
                      <w:szCs w:val="22"/>
                    </w:rPr>
                    <w:t>2</w:t>
                  </w:r>
                  <w:r w:rsidR="00064963" w:rsidRPr="00360541">
                    <w:rPr>
                      <w:rFonts w:ascii="Arial" w:hAnsi="Arial" w:cs="Arial"/>
                      <w:sz w:val="22"/>
                      <w:szCs w:val="22"/>
                    </w:rPr>
                    <w:t>2</w:t>
                  </w:r>
                  <w:r w:rsidRPr="00360541">
                    <w:rPr>
                      <w:rFonts w:ascii="Arial" w:hAnsi="Arial" w:cs="Arial"/>
                      <w:sz w:val="22"/>
                      <w:szCs w:val="22"/>
                    </w:rPr>
                    <w:t>.1</w:t>
                  </w:r>
                  <w:r w:rsidR="007164D5" w:rsidRPr="00360541">
                    <w:rPr>
                      <w:rFonts w:ascii="Arial" w:hAnsi="Arial" w:cs="Arial"/>
                      <w:sz w:val="22"/>
                      <w:szCs w:val="22"/>
                    </w:rPr>
                    <w:t>p</w:t>
                  </w:r>
                </w:p>
              </w:tc>
              <w:tc>
                <w:tcPr>
                  <w:tcW w:w="1456" w:type="dxa"/>
                  <w:tcBorders>
                    <w:top w:val="nil"/>
                    <w:left w:val="nil"/>
                    <w:bottom w:val="nil"/>
                    <w:right w:val="nil"/>
                  </w:tcBorders>
                </w:tcPr>
                <w:p w14:paraId="419168B2" w14:textId="19B5C878" w:rsidR="007164D5" w:rsidRPr="00360541" w:rsidRDefault="00A670D8" w:rsidP="00F9080F">
                  <w:pPr>
                    <w:jc w:val="right"/>
                    <w:rPr>
                      <w:rFonts w:ascii="Arial" w:hAnsi="Arial" w:cs="Arial"/>
                      <w:sz w:val="22"/>
                      <w:szCs w:val="22"/>
                    </w:rPr>
                  </w:pPr>
                  <w:r w:rsidRPr="00360541">
                    <w:rPr>
                      <w:rFonts w:ascii="Arial" w:hAnsi="Arial" w:cs="Arial"/>
                      <w:sz w:val="22"/>
                      <w:szCs w:val="22"/>
                    </w:rPr>
                    <w:t>(</w:t>
                  </w:r>
                  <w:proofErr w:type="gramStart"/>
                  <w:r w:rsidR="00EF7D2C" w:rsidRPr="00360541">
                    <w:rPr>
                      <w:rFonts w:ascii="Arial" w:hAnsi="Arial" w:cs="Arial"/>
                      <w:sz w:val="22"/>
                      <w:szCs w:val="22"/>
                    </w:rPr>
                    <w:t>53</w:t>
                  </w:r>
                  <w:r w:rsidR="00E423E2" w:rsidRPr="00360541">
                    <w:rPr>
                      <w:rFonts w:ascii="Arial" w:hAnsi="Arial" w:cs="Arial"/>
                      <w:sz w:val="22"/>
                      <w:szCs w:val="22"/>
                    </w:rPr>
                    <w:t>.</w:t>
                  </w:r>
                  <w:r w:rsidR="00EF7D2C" w:rsidRPr="00360541">
                    <w:rPr>
                      <w:rFonts w:ascii="Arial" w:hAnsi="Arial" w:cs="Arial"/>
                      <w:sz w:val="22"/>
                      <w:szCs w:val="22"/>
                    </w:rPr>
                    <w:t>4</w:t>
                  </w:r>
                  <w:r w:rsidRPr="00360541">
                    <w:rPr>
                      <w:rFonts w:ascii="Arial" w:hAnsi="Arial" w:cs="Arial"/>
                      <w:sz w:val="22"/>
                      <w:szCs w:val="22"/>
                    </w:rPr>
                    <w:t>)</w:t>
                  </w:r>
                  <w:r w:rsidR="007164D5" w:rsidRPr="00360541">
                    <w:rPr>
                      <w:rFonts w:ascii="Arial" w:hAnsi="Arial" w:cs="Arial"/>
                      <w:sz w:val="22"/>
                      <w:szCs w:val="22"/>
                    </w:rPr>
                    <w:t>%</w:t>
                  </w:r>
                  <w:proofErr w:type="gramEnd"/>
                </w:p>
              </w:tc>
              <w:tc>
                <w:tcPr>
                  <w:tcW w:w="244" w:type="dxa"/>
                  <w:tcBorders>
                    <w:top w:val="nil"/>
                    <w:left w:val="nil"/>
                    <w:bottom w:val="nil"/>
                    <w:right w:val="nil"/>
                  </w:tcBorders>
                </w:tcPr>
                <w:p w14:paraId="026A59AC" w14:textId="77777777" w:rsidR="007164D5" w:rsidRPr="00360541" w:rsidRDefault="007164D5" w:rsidP="00F9080F">
                  <w:pPr>
                    <w:jc w:val="right"/>
                    <w:rPr>
                      <w:rFonts w:ascii="Arial" w:hAnsi="Arial" w:cs="Arial"/>
                      <w:sz w:val="22"/>
                      <w:szCs w:val="22"/>
                    </w:rPr>
                  </w:pPr>
                </w:p>
              </w:tc>
              <w:tc>
                <w:tcPr>
                  <w:tcW w:w="594" w:type="dxa"/>
                  <w:tcBorders>
                    <w:top w:val="nil"/>
                    <w:left w:val="nil"/>
                    <w:bottom w:val="nil"/>
                    <w:right w:val="nil"/>
                  </w:tcBorders>
                </w:tcPr>
                <w:p w14:paraId="44FEC944" w14:textId="77777777" w:rsidR="007164D5" w:rsidRPr="004F6F19" w:rsidRDefault="007164D5" w:rsidP="00F9080F">
                  <w:pPr>
                    <w:jc w:val="right"/>
                    <w:rPr>
                      <w:rFonts w:ascii="Arial" w:hAnsi="Arial" w:cs="Arial"/>
                      <w:sz w:val="22"/>
                      <w:szCs w:val="22"/>
                    </w:rPr>
                  </w:pPr>
                </w:p>
              </w:tc>
            </w:tr>
            <w:tr w:rsidR="0089712B" w:rsidRPr="00E44B62" w14:paraId="749A881B" w14:textId="77777777" w:rsidTr="00522D61">
              <w:trPr>
                <w:trHeight w:val="118"/>
              </w:trPr>
              <w:tc>
                <w:tcPr>
                  <w:tcW w:w="8578" w:type="dxa"/>
                  <w:gridSpan w:val="6"/>
                  <w:tcBorders>
                    <w:top w:val="single" w:sz="4" w:space="0" w:color="auto"/>
                    <w:left w:val="nil"/>
                    <w:bottom w:val="nil"/>
                    <w:right w:val="nil"/>
                  </w:tcBorders>
                </w:tcPr>
                <w:p w14:paraId="1B535156" w14:textId="77777777" w:rsidR="004D01EC" w:rsidRPr="00522D61" w:rsidRDefault="004D01EC">
                  <w:pPr>
                    <w:jc w:val="left"/>
                    <w:rPr>
                      <w:rFonts w:ascii="Arial" w:hAnsi="Arial" w:cs="Arial"/>
                      <w:sz w:val="12"/>
                      <w:szCs w:val="12"/>
                    </w:rPr>
                  </w:pPr>
                </w:p>
              </w:tc>
              <w:tc>
                <w:tcPr>
                  <w:tcW w:w="244" w:type="dxa"/>
                  <w:tcBorders>
                    <w:top w:val="nil"/>
                    <w:left w:val="nil"/>
                    <w:bottom w:val="nil"/>
                    <w:right w:val="nil"/>
                  </w:tcBorders>
                </w:tcPr>
                <w:p w14:paraId="66641F4A" w14:textId="77777777" w:rsidR="0089712B" w:rsidRPr="00522D61" w:rsidRDefault="0089712B" w:rsidP="0089712B">
                  <w:pPr>
                    <w:jc w:val="left"/>
                    <w:rPr>
                      <w:rFonts w:ascii="Arial" w:hAnsi="Arial" w:cs="Arial"/>
                      <w:sz w:val="12"/>
                      <w:szCs w:val="12"/>
                    </w:rPr>
                  </w:pPr>
                </w:p>
              </w:tc>
              <w:tc>
                <w:tcPr>
                  <w:tcW w:w="594" w:type="dxa"/>
                  <w:tcBorders>
                    <w:top w:val="nil"/>
                    <w:left w:val="nil"/>
                    <w:bottom w:val="nil"/>
                    <w:right w:val="nil"/>
                  </w:tcBorders>
                </w:tcPr>
                <w:p w14:paraId="2A114BED" w14:textId="77777777" w:rsidR="0089712B" w:rsidRPr="00522D61" w:rsidRDefault="0089712B" w:rsidP="0089712B">
                  <w:pPr>
                    <w:jc w:val="left"/>
                    <w:rPr>
                      <w:rFonts w:ascii="Arial" w:hAnsi="Arial" w:cs="Arial"/>
                      <w:sz w:val="12"/>
                      <w:szCs w:val="12"/>
                    </w:rPr>
                  </w:pPr>
                </w:p>
              </w:tc>
            </w:tr>
          </w:tbl>
          <w:p w14:paraId="676458CF" w14:textId="77777777" w:rsidR="000F6423" w:rsidRPr="00F158F2" w:rsidRDefault="000F6423" w:rsidP="00D71831">
            <w:pPr>
              <w:jc w:val="left"/>
              <w:rPr>
                <w:rFonts w:ascii="Arial" w:hAnsi="Arial" w:cs="Arial"/>
                <w:b/>
                <w:bCs/>
                <w:sz w:val="24"/>
                <w:szCs w:val="24"/>
                <w:u w:val="single"/>
              </w:rPr>
            </w:pPr>
          </w:p>
        </w:tc>
      </w:tr>
    </w:tbl>
    <w:p w14:paraId="6CBEB3EB" w14:textId="3697238D" w:rsidR="001904C5" w:rsidRDefault="001904C5" w:rsidP="001904C5">
      <w:pPr>
        <w:jc w:val="left"/>
        <w:rPr>
          <w:rFonts w:ascii="Arial" w:hAnsi="Arial" w:cs="Arial"/>
          <w:i/>
          <w:iCs/>
          <w:sz w:val="18"/>
          <w:szCs w:val="18"/>
        </w:rPr>
      </w:pPr>
      <w:r w:rsidRPr="000C04E8">
        <w:rPr>
          <w:rFonts w:ascii="Arial" w:hAnsi="Arial" w:cs="Arial"/>
          <w:i/>
          <w:iCs/>
          <w:sz w:val="18"/>
          <w:szCs w:val="18"/>
        </w:rPr>
        <w:t xml:space="preserve">*Throughout this release ‘*’ indicates first instance of a term defined and explained in the Glossary (section 5). Not </w:t>
      </w:r>
      <w:proofErr w:type="gramStart"/>
      <w:r w:rsidRPr="000C04E8">
        <w:rPr>
          <w:rFonts w:ascii="Arial" w:hAnsi="Arial" w:cs="Arial"/>
          <w:i/>
          <w:iCs/>
          <w:sz w:val="18"/>
          <w:szCs w:val="18"/>
        </w:rPr>
        <w:t>all of</w:t>
      </w:r>
      <w:proofErr w:type="gramEnd"/>
      <w:r w:rsidRPr="000C04E8">
        <w:rPr>
          <w:rFonts w:ascii="Arial" w:hAnsi="Arial" w:cs="Arial"/>
          <w:i/>
          <w:iCs/>
          <w:sz w:val="18"/>
          <w:szCs w:val="18"/>
        </w:rPr>
        <w:t xml:space="preserve"> the figures and ratios used are readily available from the unaudited </w:t>
      </w:r>
      <w:r w:rsidR="00922456">
        <w:rPr>
          <w:rFonts w:ascii="Arial" w:hAnsi="Arial" w:cs="Arial"/>
          <w:i/>
          <w:iCs/>
          <w:sz w:val="18"/>
          <w:szCs w:val="18"/>
        </w:rPr>
        <w:t>final</w:t>
      </w:r>
      <w:r w:rsidRPr="000C04E8">
        <w:rPr>
          <w:rFonts w:ascii="Arial" w:hAnsi="Arial" w:cs="Arial"/>
          <w:i/>
          <w:iCs/>
          <w:sz w:val="18"/>
          <w:szCs w:val="18"/>
        </w:rPr>
        <w:t xml:space="preserve"> results included in </w:t>
      </w:r>
      <w:r>
        <w:rPr>
          <w:rFonts w:ascii="Arial" w:hAnsi="Arial" w:cs="Arial"/>
          <w:i/>
          <w:iCs/>
          <w:sz w:val="18"/>
          <w:szCs w:val="18"/>
        </w:rPr>
        <w:t>part 2 of the announcement</w:t>
      </w:r>
      <w:r w:rsidRPr="000C04E8">
        <w:rPr>
          <w:rFonts w:ascii="Arial" w:hAnsi="Arial" w:cs="Arial"/>
          <w:i/>
          <w:iCs/>
          <w:sz w:val="18"/>
          <w:szCs w:val="18"/>
        </w:rPr>
        <w:t>. These non-GAAP measures</w:t>
      </w:r>
      <w:r w:rsidR="00E57DE9">
        <w:rPr>
          <w:rFonts w:ascii="Arial" w:hAnsi="Arial" w:cs="Arial"/>
          <w:i/>
          <w:iCs/>
          <w:sz w:val="18"/>
          <w:szCs w:val="18"/>
        </w:rPr>
        <w:t xml:space="preserve"> (also known as alternative performance measures)</w:t>
      </w:r>
      <w:r w:rsidRPr="000C04E8">
        <w:rPr>
          <w:rFonts w:ascii="Arial" w:hAnsi="Arial" w:cs="Arial"/>
          <w:i/>
          <w:iCs/>
          <w:sz w:val="18"/>
          <w:szCs w:val="18"/>
        </w:rPr>
        <w:t>, including constant currency and like-for-like</w:t>
      </w:r>
      <w:r>
        <w:rPr>
          <w:rFonts w:ascii="Arial" w:hAnsi="Arial" w:cs="Arial"/>
          <w:i/>
          <w:iCs/>
          <w:sz w:val="18"/>
          <w:szCs w:val="18"/>
        </w:rPr>
        <w:t xml:space="preserve"> sales</w:t>
      </w:r>
      <w:r w:rsidRPr="000C04E8">
        <w:rPr>
          <w:rFonts w:ascii="Arial" w:hAnsi="Arial" w:cs="Arial"/>
          <w:i/>
          <w:iCs/>
          <w:sz w:val="18"/>
          <w:szCs w:val="18"/>
        </w:rPr>
        <w:t xml:space="preserve"> growth, underlying and adjusted profit measures, management believes are both useful and necessary to better understand the Group’s results. Where required, a reconciliation to statutory amounts is set out in the Financial Review (Section 4).</w:t>
      </w:r>
    </w:p>
    <w:p w14:paraId="6B091E0D" w14:textId="4F9D701B" w:rsidR="001904C5" w:rsidRDefault="001904C5" w:rsidP="00440B16">
      <w:pPr>
        <w:rPr>
          <w:rFonts w:ascii="Arial" w:hAnsi="Arial" w:cs="Arial"/>
        </w:rPr>
      </w:pPr>
    </w:p>
    <w:p w14:paraId="442309FB" w14:textId="64563539" w:rsidR="006631A5" w:rsidRPr="00C2187E" w:rsidRDefault="006631A5" w:rsidP="006631A5">
      <w:pPr>
        <w:rPr>
          <w:rFonts w:ascii="Arial" w:hAnsi="Arial" w:cs="Arial"/>
          <w:bCs/>
          <w:sz w:val="18"/>
        </w:rPr>
      </w:pPr>
      <w:r w:rsidRPr="003A51DA">
        <w:rPr>
          <w:rFonts w:ascii="Arial" w:hAnsi="Arial" w:cs="Arial" w:hint="eastAsia"/>
          <w:bCs/>
          <w:sz w:val="18"/>
          <w:vertAlign w:val="superscript"/>
        </w:rPr>
        <w:t>(</w:t>
      </w:r>
      <w:r w:rsidR="00E04A9B">
        <w:rPr>
          <w:rFonts w:ascii="Arial" w:hAnsi="Arial" w:cs="Arial"/>
          <w:bCs/>
          <w:sz w:val="18"/>
          <w:vertAlign w:val="superscript"/>
        </w:rPr>
        <w:t>2</w:t>
      </w:r>
      <w:r w:rsidRPr="003A51DA">
        <w:rPr>
          <w:rFonts w:ascii="Arial" w:hAnsi="Arial" w:cs="Arial" w:hint="eastAsia"/>
          <w:bCs/>
          <w:sz w:val="18"/>
          <w:vertAlign w:val="superscript"/>
        </w:rPr>
        <w:t>)</w:t>
      </w:r>
      <w:r w:rsidRPr="003A51DA">
        <w:rPr>
          <w:rFonts w:ascii="Arial" w:hAnsi="Arial" w:cs="Arial" w:hint="eastAsia"/>
          <w:bCs/>
          <w:sz w:val="18"/>
        </w:rPr>
        <w:t xml:space="preserve"> </w:t>
      </w:r>
      <w:r>
        <w:rPr>
          <w:rFonts w:ascii="Arial" w:hAnsi="Arial" w:cs="Arial"/>
          <w:sz w:val="18"/>
        </w:rPr>
        <w:t>Gross margin movement excluding Russia and Iberia</w:t>
      </w:r>
    </w:p>
    <w:p w14:paraId="4570F531" w14:textId="77777777" w:rsidR="006631A5" w:rsidRDefault="006631A5" w:rsidP="00440B16">
      <w:pPr>
        <w:rPr>
          <w:rFonts w:ascii="Arial" w:hAnsi="Arial" w:cs="Arial"/>
        </w:rPr>
      </w:pPr>
    </w:p>
    <w:p w14:paraId="57D2D747" w14:textId="23852A90" w:rsidR="00FD4DC7" w:rsidRPr="00A845B7" w:rsidRDefault="00FD4DC7" w:rsidP="00AF31F4">
      <w:pPr>
        <w:jc w:val="left"/>
        <w:rPr>
          <w:rFonts w:ascii="Arial" w:hAnsi="Arial" w:cs="Arial"/>
          <w:b/>
          <w:bCs/>
        </w:rPr>
      </w:pPr>
      <w:bookmarkStart w:id="7" w:name="_Hlk2316995"/>
      <w:bookmarkStart w:id="8" w:name="_Hlk2084921"/>
      <w:r w:rsidRPr="00A845B7">
        <w:rPr>
          <w:rFonts w:ascii="Arial" w:hAnsi="Arial" w:cs="Arial"/>
          <w:b/>
        </w:rPr>
        <w:t>Véronique Laury, Chief Executive</w:t>
      </w:r>
      <w:r w:rsidR="007C47AE" w:rsidRPr="00A845B7">
        <w:rPr>
          <w:rFonts w:ascii="Arial" w:hAnsi="Arial" w:cs="Arial"/>
          <w:b/>
        </w:rPr>
        <w:t xml:space="preserve"> Officer</w:t>
      </w:r>
      <w:r w:rsidRPr="00A845B7">
        <w:rPr>
          <w:rFonts w:ascii="Arial" w:hAnsi="Arial" w:cs="Arial"/>
          <w:b/>
        </w:rPr>
        <w:t>, said</w:t>
      </w:r>
      <w:r w:rsidRPr="00A845B7">
        <w:rPr>
          <w:rFonts w:ascii="Arial" w:hAnsi="Arial" w:cs="Arial"/>
          <w:b/>
          <w:bCs/>
        </w:rPr>
        <w:t>:</w:t>
      </w:r>
    </w:p>
    <w:p w14:paraId="4E9990B0" w14:textId="3444633B" w:rsidR="008A3A27" w:rsidRPr="009877EE" w:rsidRDefault="008A3A27" w:rsidP="001B1EFA">
      <w:pPr>
        <w:jc w:val="left"/>
        <w:rPr>
          <w:rFonts w:ascii="Arial" w:hAnsi="Arial" w:cs="Arial"/>
          <w:bCs/>
          <w:szCs w:val="24"/>
          <w:highlight w:val="yellow"/>
        </w:rPr>
      </w:pPr>
    </w:p>
    <w:p w14:paraId="715C12F5" w14:textId="77777777" w:rsidR="00A26EF8" w:rsidRPr="00A26EF8" w:rsidRDefault="00A26EF8" w:rsidP="00A26EF8">
      <w:pPr>
        <w:jc w:val="left"/>
        <w:rPr>
          <w:rFonts w:ascii="Arial" w:hAnsi="Arial" w:cs="Arial"/>
          <w:bCs/>
          <w:szCs w:val="24"/>
        </w:rPr>
      </w:pPr>
      <w:bookmarkStart w:id="9" w:name="_Hlk2518976"/>
      <w:bookmarkStart w:id="10" w:name="_Hlk2338915"/>
      <w:r w:rsidRPr="00A26EF8">
        <w:rPr>
          <w:rFonts w:ascii="Arial" w:hAnsi="Arial" w:cs="Arial"/>
          <w:bCs/>
          <w:szCs w:val="24"/>
        </w:rPr>
        <w:t xml:space="preserve">“We have achieved radical organisational and behavioural change across Kingfisher over the last three years. We’ve done this against the backdrop of rapid structural change in retail alongside high levels of macroeconomic uncertainty, which are ongoing. Navigating these conditions while maintaining focus on a transformation of this scale has required huge commitment from our people. </w:t>
      </w:r>
    </w:p>
    <w:p w14:paraId="7450221C" w14:textId="77777777" w:rsidR="00A26EF8" w:rsidRPr="00A26EF8" w:rsidRDefault="00A26EF8" w:rsidP="00A26EF8">
      <w:pPr>
        <w:jc w:val="left"/>
        <w:rPr>
          <w:rFonts w:ascii="Arial" w:hAnsi="Arial" w:cs="Arial"/>
          <w:bCs/>
          <w:szCs w:val="24"/>
        </w:rPr>
      </w:pPr>
    </w:p>
    <w:p w14:paraId="41397599" w14:textId="4DB4CE7A" w:rsidR="00A26EF8" w:rsidRPr="00A26EF8" w:rsidRDefault="00A26EF8" w:rsidP="00A26EF8">
      <w:pPr>
        <w:jc w:val="left"/>
        <w:rPr>
          <w:rFonts w:ascii="Arial" w:hAnsi="Arial" w:cs="Arial"/>
          <w:bCs/>
          <w:szCs w:val="24"/>
        </w:rPr>
      </w:pPr>
      <w:r>
        <w:rPr>
          <w:rFonts w:ascii="Arial" w:hAnsi="Arial" w:cs="Arial"/>
          <w:bCs/>
          <w:szCs w:val="24"/>
        </w:rPr>
        <w:t>“</w:t>
      </w:r>
      <w:r w:rsidRPr="00A26EF8">
        <w:rPr>
          <w:rFonts w:ascii="Arial" w:hAnsi="Arial" w:cs="Arial"/>
          <w:bCs/>
          <w:szCs w:val="24"/>
        </w:rPr>
        <w:t>During the year, the UK, Poland and Brico Dépôt France performed well, leveraging the benefits of our transformation. However, Castorama France has been disappointing and we are implementing a clear plan</w:t>
      </w:r>
      <w:r w:rsidR="00AB2850">
        <w:rPr>
          <w:rFonts w:ascii="Arial" w:hAnsi="Arial" w:cs="Arial"/>
          <w:bCs/>
          <w:szCs w:val="24"/>
        </w:rPr>
        <w:t xml:space="preserve"> </w:t>
      </w:r>
      <w:r w:rsidRPr="00A26EF8">
        <w:rPr>
          <w:rFonts w:ascii="Arial" w:hAnsi="Arial" w:cs="Arial"/>
          <w:bCs/>
          <w:szCs w:val="24"/>
        </w:rPr>
        <w:t xml:space="preserve">to sustainably improve its performance. Screwfix’s leading omnichannel proposition has consistently delivered strong growth in recent years and we have identified additional expansion opportunities in both the UK and in new markets, initially in </w:t>
      </w:r>
      <w:r w:rsidR="009D1EFE">
        <w:rPr>
          <w:rFonts w:ascii="Arial" w:hAnsi="Arial" w:cs="Arial"/>
          <w:bCs/>
          <w:szCs w:val="24"/>
        </w:rPr>
        <w:t xml:space="preserve">the Republic of </w:t>
      </w:r>
      <w:r w:rsidRPr="00A26EF8">
        <w:rPr>
          <w:rFonts w:ascii="Arial" w:hAnsi="Arial" w:cs="Arial"/>
          <w:bCs/>
          <w:szCs w:val="24"/>
        </w:rPr>
        <w:t>Ireland.</w:t>
      </w:r>
    </w:p>
    <w:p w14:paraId="546137F0" w14:textId="77777777" w:rsidR="00A26EF8" w:rsidRPr="00A26EF8" w:rsidRDefault="00A26EF8" w:rsidP="00A26EF8">
      <w:pPr>
        <w:jc w:val="left"/>
        <w:rPr>
          <w:rFonts w:ascii="Arial" w:hAnsi="Arial" w:cs="Arial"/>
          <w:bCs/>
          <w:szCs w:val="24"/>
        </w:rPr>
      </w:pPr>
    </w:p>
    <w:p w14:paraId="30ABC55C" w14:textId="4F97102E" w:rsidR="00A26EF8" w:rsidRPr="00A26EF8" w:rsidRDefault="00A26EF8" w:rsidP="00A26EF8">
      <w:pPr>
        <w:jc w:val="left"/>
        <w:rPr>
          <w:rFonts w:ascii="Arial" w:hAnsi="Arial" w:cs="Arial"/>
          <w:bCs/>
          <w:szCs w:val="24"/>
        </w:rPr>
      </w:pPr>
      <w:r>
        <w:rPr>
          <w:rFonts w:ascii="Arial" w:hAnsi="Arial" w:cs="Arial"/>
          <w:bCs/>
          <w:szCs w:val="24"/>
        </w:rPr>
        <w:t>“</w:t>
      </w:r>
      <w:r w:rsidRPr="00A26EF8">
        <w:rPr>
          <w:rFonts w:ascii="Arial" w:hAnsi="Arial" w:cs="Arial"/>
          <w:bCs/>
          <w:szCs w:val="24"/>
        </w:rPr>
        <w:t xml:space="preserve">Much of our focus over the last three years has been on building an </w:t>
      </w:r>
      <w:r w:rsidR="00B14821">
        <w:rPr>
          <w:rFonts w:ascii="Arial" w:hAnsi="Arial" w:cs="Arial"/>
          <w:bCs/>
          <w:szCs w:val="24"/>
        </w:rPr>
        <w:t>‘</w:t>
      </w:r>
      <w:r w:rsidRPr="00A26EF8">
        <w:rPr>
          <w:rFonts w:ascii="Arial" w:hAnsi="Arial" w:cs="Arial"/>
          <w:bCs/>
          <w:szCs w:val="24"/>
        </w:rPr>
        <w:t>engine</w:t>
      </w:r>
      <w:r w:rsidR="00B14821">
        <w:rPr>
          <w:rFonts w:ascii="Arial" w:hAnsi="Arial" w:cs="Arial"/>
          <w:bCs/>
          <w:szCs w:val="24"/>
        </w:rPr>
        <w:t>’</w:t>
      </w:r>
      <w:r w:rsidRPr="00A26EF8">
        <w:rPr>
          <w:rFonts w:ascii="Arial" w:hAnsi="Arial" w:cs="Arial"/>
          <w:bCs/>
          <w:szCs w:val="24"/>
        </w:rPr>
        <w:t xml:space="preserve"> to deliver a superior customer proposition and the agility to succeed in the new retail environment. Our customers are </w:t>
      </w:r>
      <w:r w:rsidR="001A4397">
        <w:rPr>
          <w:rFonts w:ascii="Arial" w:hAnsi="Arial" w:cs="Arial"/>
          <w:bCs/>
          <w:szCs w:val="24"/>
        </w:rPr>
        <w:t>starting to</w:t>
      </w:r>
      <w:r w:rsidR="001A4397" w:rsidRPr="00A26EF8">
        <w:rPr>
          <w:rFonts w:ascii="Arial" w:hAnsi="Arial" w:cs="Arial"/>
          <w:bCs/>
          <w:szCs w:val="24"/>
        </w:rPr>
        <w:t xml:space="preserve"> </w:t>
      </w:r>
      <w:r w:rsidRPr="00A26EF8">
        <w:rPr>
          <w:rFonts w:ascii="Arial" w:hAnsi="Arial" w:cs="Arial"/>
          <w:bCs/>
          <w:szCs w:val="24"/>
        </w:rPr>
        <w:t>benefit</w:t>
      </w:r>
      <w:r w:rsidR="007D7BEE">
        <w:rPr>
          <w:rFonts w:ascii="Arial" w:hAnsi="Arial" w:cs="Arial"/>
          <w:bCs/>
          <w:szCs w:val="24"/>
        </w:rPr>
        <w:t xml:space="preserve"> </w:t>
      </w:r>
      <w:r w:rsidRPr="00A26EF8">
        <w:rPr>
          <w:rFonts w:ascii="Arial" w:hAnsi="Arial" w:cs="Arial"/>
          <w:bCs/>
          <w:szCs w:val="24"/>
        </w:rPr>
        <w:t xml:space="preserve">from differentiated product, in store and online, at everyday low prices. Over the </w:t>
      </w:r>
      <w:r w:rsidRPr="00910EED">
        <w:rPr>
          <w:rFonts w:ascii="Arial" w:hAnsi="Arial" w:cs="Arial"/>
          <w:bCs/>
          <w:szCs w:val="24"/>
        </w:rPr>
        <w:t xml:space="preserve">next year we will be accelerating our unique product activity </w:t>
      </w:r>
      <w:r w:rsidR="00721263" w:rsidRPr="00910EED">
        <w:rPr>
          <w:rFonts w:ascii="Arial" w:hAnsi="Arial" w:cs="Arial"/>
          <w:bCs/>
          <w:szCs w:val="24"/>
        </w:rPr>
        <w:t>and making our innovation more visible</w:t>
      </w:r>
      <w:r w:rsidR="00721263" w:rsidRPr="00A26EF8">
        <w:rPr>
          <w:rFonts w:ascii="Arial" w:hAnsi="Arial" w:cs="Arial"/>
          <w:bCs/>
          <w:szCs w:val="24"/>
        </w:rPr>
        <w:t xml:space="preserve"> to customers</w:t>
      </w:r>
      <w:r w:rsidR="00721263">
        <w:rPr>
          <w:rFonts w:ascii="Arial" w:hAnsi="Arial" w:cs="Arial"/>
          <w:bCs/>
          <w:szCs w:val="24"/>
        </w:rPr>
        <w:t xml:space="preserve"> including</w:t>
      </w:r>
      <w:r w:rsidRPr="00A26EF8">
        <w:rPr>
          <w:rFonts w:ascii="Arial" w:hAnsi="Arial" w:cs="Arial"/>
          <w:bCs/>
          <w:szCs w:val="24"/>
        </w:rPr>
        <w:t xml:space="preserve"> testing new store concepts. </w:t>
      </w:r>
    </w:p>
    <w:p w14:paraId="48BF25B9" w14:textId="77777777" w:rsidR="00A26EF8" w:rsidRPr="00A26EF8" w:rsidRDefault="00A26EF8" w:rsidP="00A26EF8">
      <w:pPr>
        <w:jc w:val="left"/>
        <w:rPr>
          <w:rFonts w:ascii="Arial" w:hAnsi="Arial" w:cs="Arial"/>
          <w:bCs/>
          <w:szCs w:val="24"/>
        </w:rPr>
      </w:pPr>
    </w:p>
    <w:p w14:paraId="61BBBF7A" w14:textId="719FD4A2" w:rsidR="00710C8E" w:rsidRDefault="00A26EF8" w:rsidP="001B1EFA">
      <w:pPr>
        <w:jc w:val="left"/>
        <w:rPr>
          <w:rFonts w:ascii="Arial" w:hAnsi="Arial" w:cs="Arial"/>
          <w:bCs/>
          <w:szCs w:val="24"/>
        </w:rPr>
      </w:pPr>
      <w:r>
        <w:rPr>
          <w:rFonts w:ascii="Arial" w:hAnsi="Arial" w:cs="Arial"/>
          <w:bCs/>
          <w:szCs w:val="24"/>
        </w:rPr>
        <w:t>“</w:t>
      </w:r>
      <w:r w:rsidRPr="00A26EF8">
        <w:rPr>
          <w:rFonts w:ascii="Arial" w:hAnsi="Arial" w:cs="Arial"/>
          <w:bCs/>
          <w:szCs w:val="24"/>
        </w:rPr>
        <w:t xml:space="preserve">Our </w:t>
      </w:r>
      <w:r w:rsidR="00C069A1">
        <w:rPr>
          <w:rFonts w:ascii="Arial" w:hAnsi="Arial" w:cs="Arial"/>
          <w:bCs/>
          <w:szCs w:val="24"/>
        </w:rPr>
        <w:t>‘</w:t>
      </w:r>
      <w:r w:rsidRPr="00A26EF8">
        <w:rPr>
          <w:rFonts w:ascii="Arial" w:hAnsi="Arial" w:cs="Arial"/>
          <w:bCs/>
          <w:szCs w:val="24"/>
        </w:rPr>
        <w:t>engine</w:t>
      </w:r>
      <w:r w:rsidR="00C069A1">
        <w:rPr>
          <w:rFonts w:ascii="Arial" w:hAnsi="Arial" w:cs="Arial"/>
          <w:bCs/>
          <w:szCs w:val="24"/>
        </w:rPr>
        <w:t>’</w:t>
      </w:r>
      <w:r w:rsidRPr="00A26EF8">
        <w:rPr>
          <w:rFonts w:ascii="Arial" w:hAnsi="Arial" w:cs="Arial"/>
          <w:bCs/>
          <w:szCs w:val="24"/>
        </w:rPr>
        <w:t xml:space="preserve"> is now </w:t>
      </w:r>
      <w:r w:rsidRPr="001A4397">
        <w:rPr>
          <w:rFonts w:ascii="Arial" w:hAnsi="Arial" w:cs="Arial"/>
          <w:bCs/>
          <w:szCs w:val="24"/>
        </w:rPr>
        <w:t>largely</w:t>
      </w:r>
      <w:r w:rsidRPr="00A26EF8">
        <w:rPr>
          <w:rFonts w:ascii="Arial" w:hAnsi="Arial" w:cs="Arial"/>
          <w:bCs/>
          <w:szCs w:val="24"/>
        </w:rPr>
        <w:t xml:space="preserve"> </w:t>
      </w:r>
      <w:proofErr w:type="gramStart"/>
      <w:r w:rsidRPr="00A26EF8">
        <w:rPr>
          <w:rFonts w:ascii="Arial" w:hAnsi="Arial" w:cs="Arial"/>
          <w:bCs/>
          <w:szCs w:val="24"/>
        </w:rPr>
        <w:t>built</w:t>
      </w:r>
      <w:proofErr w:type="gramEnd"/>
      <w:r w:rsidR="007D7BEE">
        <w:rPr>
          <w:rFonts w:ascii="Arial" w:hAnsi="Arial" w:cs="Arial"/>
          <w:bCs/>
          <w:szCs w:val="24"/>
        </w:rPr>
        <w:t xml:space="preserve"> and we are confident in delivering </w:t>
      </w:r>
      <w:r w:rsidR="001A4397">
        <w:rPr>
          <w:rFonts w:ascii="Arial" w:hAnsi="Arial" w:cs="Arial"/>
          <w:bCs/>
          <w:szCs w:val="24"/>
        </w:rPr>
        <w:t xml:space="preserve">significant financial benefits </w:t>
      </w:r>
      <w:r w:rsidR="007D7BEE">
        <w:rPr>
          <w:rFonts w:ascii="Arial" w:hAnsi="Arial" w:cs="Arial"/>
          <w:bCs/>
          <w:szCs w:val="24"/>
        </w:rPr>
        <w:t>over time</w:t>
      </w:r>
      <w:r w:rsidRPr="00A26EF8">
        <w:rPr>
          <w:rFonts w:ascii="Arial" w:hAnsi="Arial" w:cs="Arial"/>
          <w:bCs/>
          <w:szCs w:val="24"/>
        </w:rPr>
        <w:t xml:space="preserve">. We </w:t>
      </w:r>
      <w:r w:rsidR="007D7BEE">
        <w:rPr>
          <w:rFonts w:ascii="Arial" w:hAnsi="Arial" w:cs="Arial"/>
          <w:bCs/>
          <w:szCs w:val="24"/>
        </w:rPr>
        <w:t>are</w:t>
      </w:r>
      <w:r w:rsidR="007D7BEE" w:rsidRPr="00A26EF8">
        <w:rPr>
          <w:rFonts w:ascii="Arial" w:hAnsi="Arial" w:cs="Arial"/>
          <w:bCs/>
          <w:szCs w:val="24"/>
        </w:rPr>
        <w:t xml:space="preserve"> </w:t>
      </w:r>
      <w:r w:rsidR="007D7BEE">
        <w:rPr>
          <w:rFonts w:ascii="Arial" w:hAnsi="Arial" w:cs="Arial"/>
          <w:bCs/>
          <w:szCs w:val="24"/>
        </w:rPr>
        <w:t xml:space="preserve">targeting </w:t>
      </w:r>
      <w:r w:rsidRPr="00A26EF8">
        <w:rPr>
          <w:rFonts w:ascii="Arial" w:hAnsi="Arial" w:cs="Arial"/>
          <w:bCs/>
          <w:szCs w:val="24"/>
        </w:rPr>
        <w:t xml:space="preserve">growth in sales, margin and returns </w:t>
      </w:r>
      <w:r w:rsidR="00B50F7F">
        <w:rPr>
          <w:rFonts w:ascii="Arial" w:hAnsi="Arial" w:cs="Arial"/>
          <w:bCs/>
          <w:szCs w:val="24"/>
        </w:rPr>
        <w:t>over the medium term</w:t>
      </w:r>
      <w:r w:rsidRPr="00DA303F">
        <w:rPr>
          <w:rFonts w:ascii="Arial" w:hAnsi="Arial" w:cs="Arial"/>
          <w:bCs/>
          <w:szCs w:val="24"/>
        </w:rPr>
        <w:t>.”</w:t>
      </w:r>
      <w:bookmarkStart w:id="11" w:name="_Hlk2519836"/>
      <w:bookmarkEnd w:id="9"/>
      <w:bookmarkEnd w:id="10"/>
    </w:p>
    <w:bookmarkEnd w:id="7"/>
    <w:bookmarkEnd w:id="11"/>
    <w:p w14:paraId="41AFF0CA" w14:textId="52893DF4" w:rsidR="008462C8" w:rsidRDefault="008462C8" w:rsidP="001B1EFA">
      <w:pPr>
        <w:jc w:val="left"/>
        <w:rPr>
          <w:rFonts w:ascii="Arial" w:hAnsi="Arial"/>
          <w:b/>
          <w:sz w:val="24"/>
        </w:rPr>
      </w:pPr>
    </w:p>
    <w:bookmarkEnd w:id="8"/>
    <w:p w14:paraId="2DF596C6" w14:textId="5D024A71" w:rsidR="00123F15" w:rsidRDefault="00123F15" w:rsidP="00EE4E92">
      <w:pPr>
        <w:jc w:val="left"/>
        <w:rPr>
          <w:rFonts w:ascii="Arial" w:hAnsi="Arial" w:cs="Arial"/>
          <w:b/>
          <w:bCs/>
        </w:rPr>
      </w:pPr>
      <w:r>
        <w:rPr>
          <w:rFonts w:ascii="Arial" w:hAnsi="Arial" w:cs="Arial"/>
          <w:b/>
          <w:bCs/>
        </w:rPr>
        <w:t>Leadership changes</w:t>
      </w:r>
    </w:p>
    <w:p w14:paraId="3522DBEF" w14:textId="77777777" w:rsidR="00123F15" w:rsidRPr="00360541" w:rsidRDefault="00123F15" w:rsidP="00EE4E92">
      <w:pPr>
        <w:jc w:val="left"/>
        <w:rPr>
          <w:rFonts w:ascii="Arial" w:hAnsi="Arial" w:cs="Arial"/>
          <w:bCs/>
          <w:szCs w:val="24"/>
        </w:rPr>
      </w:pPr>
    </w:p>
    <w:p w14:paraId="17EB99C0" w14:textId="227E0A13" w:rsidR="00123F15" w:rsidRPr="00360541" w:rsidRDefault="00123F15" w:rsidP="00EE4E92">
      <w:pPr>
        <w:jc w:val="left"/>
        <w:rPr>
          <w:rFonts w:ascii="Arial" w:hAnsi="Arial" w:cs="Arial"/>
          <w:bCs/>
          <w:szCs w:val="24"/>
        </w:rPr>
      </w:pPr>
      <w:r w:rsidRPr="00360541">
        <w:rPr>
          <w:rFonts w:ascii="Arial" w:hAnsi="Arial" w:cs="Arial"/>
          <w:bCs/>
          <w:szCs w:val="24"/>
        </w:rPr>
        <w:t>Kingfisher is also today announcing some senior management changes.  Firstly, Steve Willett, Chief Transformation, Digital &amp; IT Officer, has decided to retire after nearly 20 years with the business.  The Company would like to thank Steve for all his dedicated and tireless hard work during this time. In addition, the Company is pleased to announce the appointment of John Wartig, who replaces Karen Witts as Chief Financial Officer on an interim basis. John will join the business on 8 April 2019 and brings a wealth of international experience covering both financial and consumer facing businesses. John will not become a member of the Board of Directors.</w:t>
      </w:r>
    </w:p>
    <w:p w14:paraId="03345468" w14:textId="77777777" w:rsidR="00123F15" w:rsidRDefault="00123F15" w:rsidP="00EE4E92">
      <w:pPr>
        <w:jc w:val="left"/>
        <w:rPr>
          <w:rFonts w:ascii="Arial" w:hAnsi="Arial" w:cs="Arial"/>
          <w:b/>
          <w:bCs/>
        </w:rPr>
      </w:pPr>
    </w:p>
    <w:p w14:paraId="3D97C9F7" w14:textId="77777777" w:rsidR="00123F15" w:rsidRDefault="00123F15" w:rsidP="00EE4E92">
      <w:pPr>
        <w:jc w:val="left"/>
        <w:rPr>
          <w:rFonts w:ascii="Arial" w:hAnsi="Arial" w:cs="Arial"/>
          <w:b/>
          <w:bCs/>
        </w:rPr>
      </w:pPr>
    </w:p>
    <w:p w14:paraId="459A0CF8" w14:textId="77777777" w:rsidR="00123F15" w:rsidRDefault="00123F15" w:rsidP="00EE4E92">
      <w:pPr>
        <w:jc w:val="left"/>
        <w:rPr>
          <w:rFonts w:ascii="Arial" w:hAnsi="Arial" w:cs="Arial"/>
          <w:b/>
          <w:bCs/>
        </w:rPr>
      </w:pPr>
    </w:p>
    <w:p w14:paraId="3EC82F0D" w14:textId="77777777" w:rsidR="00123F15" w:rsidRDefault="00123F15" w:rsidP="00EE4E92">
      <w:pPr>
        <w:jc w:val="left"/>
        <w:rPr>
          <w:rFonts w:ascii="Arial" w:hAnsi="Arial" w:cs="Arial"/>
          <w:b/>
          <w:bCs/>
        </w:rPr>
      </w:pPr>
    </w:p>
    <w:p w14:paraId="464064CA" w14:textId="77777777" w:rsidR="00123F15" w:rsidRDefault="00123F15" w:rsidP="00EE4E92">
      <w:pPr>
        <w:jc w:val="left"/>
        <w:rPr>
          <w:rFonts w:ascii="Arial" w:hAnsi="Arial" w:cs="Arial"/>
          <w:b/>
          <w:bCs/>
        </w:rPr>
      </w:pPr>
    </w:p>
    <w:p w14:paraId="2F37BDD2" w14:textId="77777777" w:rsidR="00123F15" w:rsidRDefault="00123F15" w:rsidP="00EE4E92">
      <w:pPr>
        <w:jc w:val="left"/>
        <w:rPr>
          <w:rFonts w:ascii="Arial" w:hAnsi="Arial" w:cs="Arial"/>
          <w:b/>
          <w:bCs/>
        </w:rPr>
      </w:pPr>
    </w:p>
    <w:p w14:paraId="47037C6F" w14:textId="48D064CF" w:rsidR="00123F15" w:rsidRDefault="00123F15" w:rsidP="00EE4E92">
      <w:pPr>
        <w:jc w:val="left"/>
        <w:rPr>
          <w:rFonts w:ascii="Arial" w:hAnsi="Arial" w:cs="Arial"/>
          <w:b/>
          <w:bCs/>
        </w:rPr>
      </w:pPr>
    </w:p>
    <w:p w14:paraId="7DB847A4" w14:textId="77777777" w:rsidR="00AB2850" w:rsidRDefault="00AB2850" w:rsidP="00EE4E92">
      <w:pPr>
        <w:jc w:val="left"/>
        <w:rPr>
          <w:rFonts w:ascii="Arial" w:hAnsi="Arial" w:cs="Arial"/>
          <w:b/>
          <w:bCs/>
        </w:rPr>
      </w:pPr>
    </w:p>
    <w:p w14:paraId="2BAAB9C1" w14:textId="77777777" w:rsidR="00123F15" w:rsidRDefault="00123F15" w:rsidP="00EE4E92">
      <w:pPr>
        <w:jc w:val="left"/>
        <w:rPr>
          <w:rFonts w:ascii="Arial" w:hAnsi="Arial" w:cs="Arial"/>
          <w:b/>
          <w:bCs/>
        </w:rPr>
      </w:pPr>
    </w:p>
    <w:p w14:paraId="032023A6" w14:textId="77777777" w:rsidR="00123F15" w:rsidRDefault="00123F15" w:rsidP="00EE4E92">
      <w:pPr>
        <w:jc w:val="left"/>
        <w:rPr>
          <w:rFonts w:ascii="Arial" w:hAnsi="Arial" w:cs="Arial"/>
          <w:b/>
          <w:bCs/>
        </w:rPr>
      </w:pPr>
    </w:p>
    <w:p w14:paraId="58761828" w14:textId="77777777" w:rsidR="00123F15" w:rsidRDefault="00123F15" w:rsidP="00EE4E92">
      <w:pPr>
        <w:jc w:val="left"/>
        <w:rPr>
          <w:rFonts w:ascii="Arial" w:hAnsi="Arial" w:cs="Arial"/>
          <w:b/>
          <w:bCs/>
        </w:rPr>
      </w:pPr>
    </w:p>
    <w:p w14:paraId="487A1B6E" w14:textId="77777777" w:rsidR="00123F15" w:rsidRDefault="00123F15" w:rsidP="00EE4E92">
      <w:pPr>
        <w:jc w:val="left"/>
        <w:rPr>
          <w:rFonts w:ascii="Arial" w:hAnsi="Arial" w:cs="Arial"/>
          <w:b/>
          <w:bCs/>
        </w:rPr>
      </w:pPr>
    </w:p>
    <w:p w14:paraId="01230AF4" w14:textId="77777777" w:rsidR="00123F15" w:rsidRDefault="00123F15" w:rsidP="00EE4E92">
      <w:pPr>
        <w:jc w:val="left"/>
        <w:rPr>
          <w:rFonts w:ascii="Arial" w:hAnsi="Arial" w:cs="Arial"/>
          <w:b/>
          <w:bCs/>
        </w:rPr>
      </w:pPr>
    </w:p>
    <w:p w14:paraId="02C91789" w14:textId="77777777" w:rsidR="00123F15" w:rsidRDefault="00123F15" w:rsidP="00EE4E92">
      <w:pPr>
        <w:jc w:val="left"/>
        <w:rPr>
          <w:rFonts w:ascii="Arial" w:hAnsi="Arial" w:cs="Arial"/>
          <w:b/>
          <w:bCs/>
        </w:rPr>
      </w:pPr>
    </w:p>
    <w:p w14:paraId="15B54FF9" w14:textId="3867D7A8" w:rsidR="00E2024A" w:rsidRDefault="003C4FFB" w:rsidP="00EE4E92">
      <w:pPr>
        <w:jc w:val="left"/>
        <w:rPr>
          <w:rFonts w:ascii="Arial" w:hAnsi="Arial" w:cs="Arial"/>
          <w:b/>
          <w:bCs/>
        </w:rPr>
      </w:pPr>
      <w:r w:rsidRPr="00A845B7">
        <w:rPr>
          <w:rFonts w:ascii="Arial" w:hAnsi="Arial" w:cs="Arial"/>
          <w:b/>
          <w:bCs/>
        </w:rPr>
        <w:t>Contacts</w:t>
      </w:r>
    </w:p>
    <w:p w14:paraId="3FB904F5" w14:textId="77777777" w:rsidR="00AF7666" w:rsidRPr="0099702F" w:rsidRDefault="00AF7666" w:rsidP="00AD5BF9">
      <w:pPr>
        <w:jc w:val="left"/>
        <w:rPr>
          <w:rFonts w:ascii="Arial" w:hAnsi="Arial" w:cs="Arial"/>
          <w:b/>
          <w:bCs/>
        </w:rPr>
      </w:pPr>
    </w:p>
    <w:tbl>
      <w:tblPr>
        <w:tblW w:w="4534" w:type="pct"/>
        <w:tblInd w:w="-106" w:type="dxa"/>
        <w:tblLook w:val="01E0" w:firstRow="1" w:lastRow="1" w:firstColumn="1" w:lastColumn="1" w:noHBand="0" w:noVBand="0"/>
      </w:tblPr>
      <w:tblGrid>
        <w:gridCol w:w="2381"/>
        <w:gridCol w:w="3045"/>
        <w:gridCol w:w="3521"/>
      </w:tblGrid>
      <w:tr w:rsidR="00AF7666" w14:paraId="4316D187" w14:textId="77777777" w:rsidTr="001B1EFA">
        <w:tc>
          <w:tcPr>
            <w:tcW w:w="1331" w:type="pct"/>
            <w:hideMark/>
          </w:tcPr>
          <w:p w14:paraId="67C9CE15" w14:textId="77777777" w:rsidR="002802A9" w:rsidRDefault="002802A9" w:rsidP="008F7BE3">
            <w:pPr>
              <w:jc w:val="left"/>
              <w:rPr>
                <w:rFonts w:ascii="Arial" w:hAnsi="Arial" w:cs="Arial"/>
              </w:rPr>
            </w:pPr>
          </w:p>
          <w:p w14:paraId="43F3F889" w14:textId="77777777" w:rsidR="00EF5E0D" w:rsidRPr="00794BC4" w:rsidRDefault="00EF5E0D" w:rsidP="008F7BE3">
            <w:pPr>
              <w:jc w:val="left"/>
              <w:rPr>
                <w:rFonts w:ascii="Arial" w:hAnsi="Arial" w:cs="Arial"/>
              </w:rPr>
            </w:pPr>
            <w:r w:rsidRPr="00794BC4">
              <w:rPr>
                <w:rFonts w:ascii="Arial" w:hAnsi="Arial" w:cs="Arial"/>
              </w:rPr>
              <w:t>Investor Relations</w:t>
            </w:r>
          </w:p>
        </w:tc>
        <w:tc>
          <w:tcPr>
            <w:tcW w:w="1702" w:type="pct"/>
            <w:hideMark/>
          </w:tcPr>
          <w:p w14:paraId="019271BF" w14:textId="77777777" w:rsidR="00EF5E0D" w:rsidRPr="001B1EFA" w:rsidRDefault="00EF5E0D">
            <w:pPr>
              <w:jc w:val="right"/>
              <w:rPr>
                <w:rFonts w:ascii="Arial" w:hAnsi="Arial"/>
                <w:b/>
              </w:rPr>
            </w:pPr>
            <w:r w:rsidRPr="001B1EFA">
              <w:rPr>
                <w:rFonts w:ascii="Arial" w:hAnsi="Arial"/>
                <w:b/>
              </w:rPr>
              <w:t>Tel:</w:t>
            </w:r>
          </w:p>
          <w:p w14:paraId="6A2254EC" w14:textId="77777777" w:rsidR="00EF5E0D" w:rsidRPr="00794BC4" w:rsidRDefault="00EF5E0D">
            <w:pPr>
              <w:jc w:val="right"/>
              <w:rPr>
                <w:rFonts w:ascii="Arial" w:hAnsi="Arial" w:cs="Arial"/>
              </w:rPr>
            </w:pPr>
            <w:r w:rsidRPr="00794BC4">
              <w:rPr>
                <w:rFonts w:ascii="Arial" w:hAnsi="Arial" w:cs="Arial"/>
              </w:rPr>
              <w:t>+44 (0) 20 7644 1082</w:t>
            </w:r>
          </w:p>
        </w:tc>
        <w:tc>
          <w:tcPr>
            <w:tcW w:w="1968" w:type="pct"/>
          </w:tcPr>
          <w:p w14:paraId="4220C5D7" w14:textId="77777777" w:rsidR="00EF5E0D" w:rsidRPr="001B1EFA" w:rsidRDefault="00EF5E0D">
            <w:pPr>
              <w:jc w:val="right"/>
              <w:rPr>
                <w:rFonts w:ascii="Arial" w:hAnsi="Arial"/>
                <w:b/>
              </w:rPr>
            </w:pPr>
            <w:r w:rsidRPr="001B1EFA">
              <w:rPr>
                <w:rFonts w:ascii="Arial" w:hAnsi="Arial"/>
                <w:b/>
              </w:rPr>
              <w:t>Email:</w:t>
            </w:r>
          </w:p>
          <w:p w14:paraId="7E52A1D1" w14:textId="77777777" w:rsidR="00EF5E0D" w:rsidRPr="00794BC4" w:rsidRDefault="00EF5E0D">
            <w:pPr>
              <w:jc w:val="right"/>
              <w:rPr>
                <w:rFonts w:ascii="Arial" w:hAnsi="Arial" w:cs="Arial"/>
              </w:rPr>
            </w:pPr>
            <w:r w:rsidRPr="00794BC4">
              <w:rPr>
                <w:rFonts w:ascii="Arial" w:hAnsi="Arial" w:cs="Arial"/>
              </w:rPr>
              <w:t>investorenquiries@kingfisher.com</w:t>
            </w:r>
          </w:p>
        </w:tc>
      </w:tr>
      <w:tr w:rsidR="00AF7666" w14:paraId="7750EBA6" w14:textId="77777777" w:rsidTr="001B1EFA">
        <w:tc>
          <w:tcPr>
            <w:tcW w:w="1331" w:type="pct"/>
            <w:hideMark/>
          </w:tcPr>
          <w:p w14:paraId="5D70F298" w14:textId="77777777" w:rsidR="00EF5E0D" w:rsidRPr="00794BC4" w:rsidRDefault="00EF5E0D" w:rsidP="008F7BE3">
            <w:pPr>
              <w:jc w:val="left"/>
              <w:rPr>
                <w:rFonts w:ascii="Arial" w:hAnsi="Arial" w:cs="Arial"/>
              </w:rPr>
            </w:pPr>
            <w:r w:rsidRPr="00794BC4">
              <w:rPr>
                <w:rFonts w:ascii="Arial" w:hAnsi="Arial" w:cs="Arial"/>
              </w:rPr>
              <w:t>Media Relations</w:t>
            </w:r>
          </w:p>
        </w:tc>
        <w:tc>
          <w:tcPr>
            <w:tcW w:w="1702" w:type="pct"/>
            <w:hideMark/>
          </w:tcPr>
          <w:p w14:paraId="5117A728" w14:textId="77777777" w:rsidR="00EF5E0D" w:rsidRPr="00794BC4" w:rsidRDefault="00EF5E0D">
            <w:pPr>
              <w:jc w:val="right"/>
              <w:rPr>
                <w:rFonts w:ascii="Arial" w:hAnsi="Arial" w:cs="Arial"/>
              </w:rPr>
            </w:pPr>
            <w:r w:rsidRPr="00794BC4">
              <w:rPr>
                <w:rFonts w:ascii="Arial" w:hAnsi="Arial" w:cs="Arial"/>
              </w:rPr>
              <w:t>+44 (0) 20 7644 1030</w:t>
            </w:r>
          </w:p>
        </w:tc>
        <w:tc>
          <w:tcPr>
            <w:tcW w:w="1968" w:type="pct"/>
          </w:tcPr>
          <w:p w14:paraId="13747FA0" w14:textId="77777777" w:rsidR="00EF5E0D" w:rsidRPr="00794BC4" w:rsidRDefault="002D03C6">
            <w:pPr>
              <w:jc w:val="right"/>
              <w:rPr>
                <w:rFonts w:ascii="Arial" w:hAnsi="Arial" w:cs="Arial"/>
              </w:rPr>
            </w:pPr>
            <w:r>
              <w:rPr>
                <w:rFonts w:ascii="Arial" w:hAnsi="Arial" w:cs="Arial"/>
              </w:rPr>
              <w:t>corpcomms</w:t>
            </w:r>
            <w:r w:rsidR="00EF5E0D" w:rsidRPr="00794BC4">
              <w:rPr>
                <w:rFonts w:ascii="Arial" w:hAnsi="Arial" w:cs="Arial"/>
              </w:rPr>
              <w:t>@kingfisher.com</w:t>
            </w:r>
          </w:p>
        </w:tc>
      </w:tr>
      <w:tr w:rsidR="00AF7666" w14:paraId="18D13EE5" w14:textId="77777777" w:rsidTr="001B1EFA">
        <w:tc>
          <w:tcPr>
            <w:tcW w:w="1331" w:type="pct"/>
            <w:hideMark/>
          </w:tcPr>
          <w:p w14:paraId="766D26ED" w14:textId="65FC5052" w:rsidR="00EF5E0D" w:rsidRPr="00794BC4" w:rsidRDefault="00EF5E0D" w:rsidP="008356FD">
            <w:pPr>
              <w:jc w:val="left"/>
              <w:rPr>
                <w:rFonts w:ascii="Arial" w:hAnsi="Arial" w:cs="Arial"/>
              </w:rPr>
            </w:pPr>
            <w:r w:rsidRPr="00794BC4">
              <w:rPr>
                <w:rFonts w:ascii="Arial" w:hAnsi="Arial" w:cs="Arial"/>
              </w:rPr>
              <w:t xml:space="preserve">Teneo </w:t>
            </w:r>
          </w:p>
        </w:tc>
        <w:tc>
          <w:tcPr>
            <w:tcW w:w="1702" w:type="pct"/>
            <w:hideMark/>
          </w:tcPr>
          <w:p w14:paraId="547B5A64" w14:textId="77777777" w:rsidR="00EF5E0D" w:rsidRPr="00794BC4" w:rsidRDefault="00EF5E0D">
            <w:pPr>
              <w:jc w:val="right"/>
              <w:rPr>
                <w:rFonts w:ascii="Arial" w:hAnsi="Arial" w:cs="Arial"/>
              </w:rPr>
            </w:pPr>
            <w:r w:rsidRPr="00794BC4">
              <w:rPr>
                <w:rFonts w:ascii="Arial" w:hAnsi="Arial" w:cs="Arial"/>
              </w:rPr>
              <w:t>+44 (0) 20 7260 2700</w:t>
            </w:r>
          </w:p>
          <w:p w14:paraId="1B4797C1" w14:textId="77777777" w:rsidR="00EF5E0D" w:rsidRPr="009877EE" w:rsidRDefault="00EF5E0D">
            <w:pPr>
              <w:jc w:val="right"/>
              <w:rPr>
                <w:rFonts w:ascii="Arial" w:hAnsi="Arial" w:cs="Arial"/>
                <w:sz w:val="14"/>
              </w:rPr>
            </w:pPr>
          </w:p>
        </w:tc>
        <w:tc>
          <w:tcPr>
            <w:tcW w:w="1968" w:type="pct"/>
          </w:tcPr>
          <w:p w14:paraId="24959065" w14:textId="3B7AB871" w:rsidR="00EF5E0D" w:rsidRPr="00794BC4" w:rsidRDefault="00EF5E0D">
            <w:pPr>
              <w:jc w:val="right"/>
              <w:rPr>
                <w:rFonts w:ascii="Arial" w:hAnsi="Arial" w:cs="Arial"/>
              </w:rPr>
            </w:pPr>
            <w:r w:rsidRPr="00794BC4">
              <w:rPr>
                <w:rFonts w:ascii="Arial" w:hAnsi="Arial" w:cs="Arial"/>
              </w:rPr>
              <w:t>Kfteam@teneo.com</w:t>
            </w:r>
          </w:p>
        </w:tc>
      </w:tr>
    </w:tbl>
    <w:p w14:paraId="35B7A47B" w14:textId="77777777" w:rsidR="00064963" w:rsidRDefault="00064963" w:rsidP="00CC518E">
      <w:pPr>
        <w:autoSpaceDE w:val="0"/>
        <w:autoSpaceDN w:val="0"/>
        <w:adjustRightInd w:val="0"/>
        <w:jc w:val="left"/>
        <w:rPr>
          <w:rFonts w:ascii="Arial" w:hAnsi="Arial" w:cs="Arial"/>
        </w:rPr>
      </w:pPr>
    </w:p>
    <w:p w14:paraId="498F324C" w14:textId="77777777" w:rsidR="00353CB3" w:rsidRDefault="00E2024A" w:rsidP="00CC518E">
      <w:pPr>
        <w:autoSpaceDE w:val="0"/>
        <w:autoSpaceDN w:val="0"/>
        <w:adjustRightInd w:val="0"/>
        <w:jc w:val="left"/>
        <w:rPr>
          <w:rFonts w:ascii="Arial" w:hAnsi="Arial" w:cs="Arial"/>
        </w:rPr>
      </w:pPr>
      <w:r w:rsidRPr="00F9080F">
        <w:rPr>
          <w:rFonts w:ascii="Arial" w:hAnsi="Arial" w:cs="Arial"/>
        </w:rPr>
        <w:t xml:space="preserve">This announcement can be downloaded from </w:t>
      </w:r>
      <w:hyperlink r:id="rId8" w:history="1">
        <w:r w:rsidRPr="00F9080F">
          <w:rPr>
            <w:rStyle w:val="Hyperlink"/>
            <w:rFonts w:ascii="Arial" w:hAnsi="Arial" w:cs="Arial"/>
          </w:rPr>
          <w:t>www.kingfisher.com</w:t>
        </w:r>
      </w:hyperlink>
      <w:r w:rsidR="0042729E">
        <w:rPr>
          <w:rFonts w:ascii="Arial" w:hAnsi="Arial" w:cs="Arial"/>
        </w:rPr>
        <w:t xml:space="preserve">. </w:t>
      </w:r>
      <w:r w:rsidR="00BC7493" w:rsidRPr="00F9080F">
        <w:rPr>
          <w:rFonts w:ascii="Arial" w:hAnsi="Arial" w:cs="Arial"/>
        </w:rPr>
        <w:t>W</w:t>
      </w:r>
      <w:r w:rsidR="007C228C" w:rsidRPr="00F9080F">
        <w:rPr>
          <w:rFonts w:ascii="Arial" w:hAnsi="Arial" w:cs="Arial"/>
        </w:rPr>
        <w:t xml:space="preserve">e can be followed on </w:t>
      </w:r>
      <w:r w:rsidR="007A544D" w:rsidRPr="00F9080F">
        <w:rPr>
          <w:rFonts w:ascii="Arial" w:hAnsi="Arial" w:cs="Arial"/>
        </w:rPr>
        <w:t>T</w:t>
      </w:r>
      <w:r w:rsidR="007C228C" w:rsidRPr="00F9080F">
        <w:rPr>
          <w:rFonts w:ascii="Arial" w:hAnsi="Arial" w:cs="Arial"/>
        </w:rPr>
        <w:t>witter</w:t>
      </w:r>
      <w:r w:rsidR="00BC7493" w:rsidRPr="00F9080F">
        <w:rPr>
          <w:rFonts w:ascii="Arial" w:hAnsi="Arial" w:cs="Arial"/>
        </w:rPr>
        <w:t xml:space="preserve"> </w:t>
      </w:r>
      <w:r w:rsidR="007C228C" w:rsidRPr="00F9080F">
        <w:rPr>
          <w:rFonts w:ascii="Arial" w:hAnsi="Arial" w:cs="Arial"/>
        </w:rPr>
        <w:t>@</w:t>
      </w:r>
      <w:proofErr w:type="spellStart"/>
      <w:r w:rsidR="007C228C" w:rsidRPr="00F9080F">
        <w:rPr>
          <w:rFonts w:ascii="Arial" w:hAnsi="Arial" w:cs="Arial"/>
        </w:rPr>
        <w:t>kingfisherplc</w:t>
      </w:r>
      <w:proofErr w:type="spellEnd"/>
      <w:r w:rsidRPr="00F9080F">
        <w:rPr>
          <w:rFonts w:ascii="Arial" w:hAnsi="Arial" w:cs="Arial"/>
        </w:rPr>
        <w:t xml:space="preserve"> with the </w:t>
      </w:r>
      <w:r w:rsidR="00F764D3" w:rsidRPr="00F9080F">
        <w:rPr>
          <w:rFonts w:ascii="Arial" w:hAnsi="Arial" w:cs="Arial"/>
        </w:rPr>
        <w:t xml:space="preserve">full </w:t>
      </w:r>
      <w:r w:rsidR="007A5E76" w:rsidRPr="00F9080F">
        <w:rPr>
          <w:rFonts w:ascii="Arial" w:hAnsi="Arial" w:cs="Arial"/>
        </w:rPr>
        <w:t xml:space="preserve">year </w:t>
      </w:r>
      <w:r w:rsidRPr="00F9080F">
        <w:rPr>
          <w:rFonts w:ascii="Arial" w:hAnsi="Arial" w:cs="Arial"/>
        </w:rPr>
        <w:t>results tag #</w:t>
      </w:r>
      <w:r w:rsidR="00F764D3" w:rsidRPr="00F9080F">
        <w:rPr>
          <w:rFonts w:ascii="Arial" w:hAnsi="Arial" w:cs="Arial"/>
        </w:rPr>
        <w:t>KGFFY</w:t>
      </w:r>
      <w:r w:rsidR="007C228C" w:rsidRPr="00F9080F">
        <w:rPr>
          <w:rFonts w:ascii="Arial" w:hAnsi="Arial" w:cs="Arial"/>
        </w:rPr>
        <w:t>.</w:t>
      </w:r>
      <w:r w:rsidRPr="00F9080F">
        <w:rPr>
          <w:rFonts w:ascii="Arial" w:hAnsi="Arial" w:cs="Arial"/>
        </w:rPr>
        <w:t xml:space="preserve"> </w:t>
      </w:r>
    </w:p>
    <w:p w14:paraId="52DC9DC0" w14:textId="2180ED3F" w:rsidR="00353CB3" w:rsidRPr="00484170" w:rsidRDefault="00353CB3" w:rsidP="00CC518E">
      <w:pPr>
        <w:autoSpaceDE w:val="0"/>
        <w:autoSpaceDN w:val="0"/>
        <w:adjustRightInd w:val="0"/>
        <w:jc w:val="left"/>
        <w:rPr>
          <w:rFonts w:ascii="Arial" w:hAnsi="Arial" w:cs="Arial"/>
        </w:rPr>
      </w:pPr>
    </w:p>
    <w:p w14:paraId="6A1A59E8" w14:textId="1269582C" w:rsidR="00484170" w:rsidRPr="00484170" w:rsidRDefault="00596999" w:rsidP="00CC518E">
      <w:pPr>
        <w:autoSpaceDE w:val="0"/>
        <w:autoSpaceDN w:val="0"/>
        <w:adjustRightInd w:val="0"/>
        <w:jc w:val="left"/>
        <w:rPr>
          <w:rFonts w:ascii="Arial" w:hAnsi="Arial" w:cs="Arial"/>
        </w:rPr>
      </w:pPr>
      <w:r>
        <w:rPr>
          <w:rFonts w:ascii="Arial" w:hAnsi="Arial" w:cs="Arial"/>
        </w:rPr>
        <w:t xml:space="preserve">We </w:t>
      </w:r>
      <w:r w:rsidR="00484170" w:rsidRPr="00596999">
        <w:rPr>
          <w:rFonts w:ascii="Arial" w:hAnsi="Arial" w:cs="Arial"/>
        </w:rPr>
        <w:t xml:space="preserve">will host a results presentation to analysts </w:t>
      </w:r>
      <w:r w:rsidR="00484170">
        <w:rPr>
          <w:rFonts w:ascii="Arial" w:hAnsi="Arial" w:cs="Arial"/>
        </w:rPr>
        <w:t xml:space="preserve">and investors </w:t>
      </w:r>
      <w:r w:rsidR="00484170" w:rsidRPr="00596999">
        <w:rPr>
          <w:rFonts w:ascii="Arial" w:hAnsi="Arial" w:cs="Arial"/>
        </w:rPr>
        <w:t xml:space="preserve">today at </w:t>
      </w:r>
      <w:r w:rsidR="00484170">
        <w:rPr>
          <w:rFonts w:ascii="Arial" w:hAnsi="Arial" w:cs="Arial"/>
        </w:rPr>
        <w:t>09.0</w:t>
      </w:r>
      <w:r w:rsidR="00484170" w:rsidRPr="00596999">
        <w:rPr>
          <w:rFonts w:ascii="Arial" w:hAnsi="Arial" w:cs="Arial"/>
        </w:rPr>
        <w:t>0</w:t>
      </w:r>
      <w:r w:rsidR="00484170">
        <w:rPr>
          <w:rFonts w:ascii="Arial" w:hAnsi="Arial" w:cs="Arial"/>
        </w:rPr>
        <w:t xml:space="preserve"> (UK time) at the offices of </w:t>
      </w:r>
      <w:r w:rsidR="00484170" w:rsidRPr="00484170">
        <w:rPr>
          <w:rFonts w:ascii="Arial" w:hAnsi="Arial" w:cs="Arial"/>
        </w:rPr>
        <w:t>Goldman Sachs, Peterborough Court, 133 Fleet Street, London, EC4A 2BB</w:t>
      </w:r>
      <w:r w:rsidR="00484170" w:rsidRPr="00596999">
        <w:rPr>
          <w:rFonts w:ascii="Arial" w:hAnsi="Arial" w:cs="Arial"/>
        </w:rPr>
        <w:t xml:space="preserve">. A simultaneous live audiocast of the presentation will be available via the Investors section of the Company’s website at </w:t>
      </w:r>
      <w:hyperlink r:id="rId9" w:history="1">
        <w:r w:rsidRPr="00104EB9">
          <w:rPr>
            <w:rStyle w:val="Hyperlink"/>
            <w:rFonts w:ascii="Arial" w:hAnsi="Arial" w:cs="Arial"/>
          </w:rPr>
          <w:t>www.kingfisher.com</w:t>
        </w:r>
      </w:hyperlink>
      <w:r>
        <w:rPr>
          <w:rFonts w:ascii="Arial" w:hAnsi="Arial" w:cs="Arial"/>
        </w:rPr>
        <w:t xml:space="preserve"> </w:t>
      </w:r>
      <w:r w:rsidR="00484170" w:rsidRPr="00596999">
        <w:rPr>
          <w:rFonts w:ascii="Arial" w:hAnsi="Arial" w:cs="Arial"/>
        </w:rPr>
        <w:t>and where, subsequent to the live audiocast, a copy of the results presentation will also be available for viewing.</w:t>
      </w:r>
    </w:p>
    <w:p w14:paraId="3BEAFC3D" w14:textId="77777777" w:rsidR="00484170" w:rsidRPr="00484170" w:rsidRDefault="00484170" w:rsidP="00CC518E">
      <w:pPr>
        <w:autoSpaceDE w:val="0"/>
        <w:autoSpaceDN w:val="0"/>
        <w:adjustRightInd w:val="0"/>
        <w:jc w:val="left"/>
        <w:rPr>
          <w:rFonts w:ascii="Arial" w:hAnsi="Arial" w:cs="Arial"/>
        </w:rPr>
      </w:pPr>
    </w:p>
    <w:p w14:paraId="1453CE97" w14:textId="272FC642" w:rsidR="00484170" w:rsidRDefault="00484170" w:rsidP="00484170">
      <w:pPr>
        <w:autoSpaceDE w:val="0"/>
        <w:autoSpaceDN w:val="0"/>
        <w:adjustRightInd w:val="0"/>
        <w:jc w:val="left"/>
        <w:rPr>
          <w:rFonts w:ascii="Arial" w:hAnsi="Arial" w:cs="Arial"/>
        </w:rPr>
      </w:pPr>
      <w:r w:rsidRPr="00F9080F">
        <w:rPr>
          <w:rFonts w:ascii="Arial" w:hAnsi="Arial" w:cs="Arial"/>
        </w:rPr>
        <w:t>Kingfisher American Depository Receipts are traded in the US on the OTCQX platform: (OTCQX: KGF</w:t>
      </w:r>
      <w:r>
        <w:rPr>
          <w:rFonts w:ascii="Arial" w:hAnsi="Arial" w:cs="Arial"/>
        </w:rPr>
        <w:t>H</w:t>
      </w:r>
      <w:r w:rsidRPr="00F9080F">
        <w:rPr>
          <w:rFonts w:ascii="Arial" w:hAnsi="Arial" w:cs="Arial"/>
        </w:rPr>
        <w:t xml:space="preserve">Y) </w:t>
      </w:r>
      <w:hyperlink r:id="rId10" w:history="1">
        <w:r w:rsidR="00E77669" w:rsidRPr="00B77240">
          <w:rPr>
            <w:rStyle w:val="Hyperlink"/>
            <w:rFonts w:ascii="Arial" w:hAnsi="Arial" w:cs="Arial"/>
          </w:rPr>
          <w:t>http://www.otcmarkets.com/stock/KGFHY/quote</w:t>
        </w:r>
      </w:hyperlink>
    </w:p>
    <w:p w14:paraId="6ED5AC0A" w14:textId="1635E236" w:rsidR="00E77669" w:rsidRDefault="00E77669" w:rsidP="00484170">
      <w:pPr>
        <w:autoSpaceDE w:val="0"/>
        <w:autoSpaceDN w:val="0"/>
        <w:adjustRightInd w:val="0"/>
        <w:jc w:val="left"/>
        <w:rPr>
          <w:rFonts w:ascii="Arial" w:hAnsi="Arial" w:cs="Arial"/>
        </w:rPr>
      </w:pPr>
    </w:p>
    <w:p w14:paraId="6C920E39" w14:textId="43258070" w:rsidR="00E77669" w:rsidRDefault="00E77669" w:rsidP="00E77669">
      <w:pPr>
        <w:autoSpaceDE w:val="0"/>
        <w:autoSpaceDN w:val="0"/>
        <w:adjustRightInd w:val="0"/>
        <w:jc w:val="left"/>
        <w:rPr>
          <w:rFonts w:ascii="Arial" w:hAnsi="Arial" w:cs="Arial"/>
          <w:lang w:val="en-US"/>
        </w:rPr>
      </w:pPr>
      <w:r w:rsidRPr="009877EE">
        <w:rPr>
          <w:rFonts w:ascii="Arial" w:hAnsi="Arial" w:cs="Arial"/>
        </w:rPr>
        <w:t xml:space="preserve">Our next results announcement will be the Q1 trading update for the </w:t>
      </w:r>
      <w:r>
        <w:rPr>
          <w:rFonts w:ascii="Arial" w:hAnsi="Arial" w:cs="Arial"/>
        </w:rPr>
        <w:t xml:space="preserve">three months </w:t>
      </w:r>
      <w:r w:rsidRPr="009877EE">
        <w:rPr>
          <w:rFonts w:ascii="Arial" w:hAnsi="Arial" w:cs="Arial"/>
        </w:rPr>
        <w:t xml:space="preserve">ended 30 April 2019 </w:t>
      </w:r>
      <w:r w:rsidRPr="00A37525">
        <w:rPr>
          <w:rFonts w:ascii="Arial" w:hAnsi="Arial" w:cs="Arial"/>
        </w:rPr>
        <w:t xml:space="preserve">on </w:t>
      </w:r>
      <w:r>
        <w:rPr>
          <w:rFonts w:ascii="Arial" w:hAnsi="Arial"/>
        </w:rPr>
        <w:t>15</w:t>
      </w:r>
      <w:r w:rsidRPr="00A37525">
        <w:rPr>
          <w:rFonts w:ascii="Arial" w:hAnsi="Arial" w:cs="Arial"/>
        </w:rPr>
        <w:t xml:space="preserve"> May</w:t>
      </w:r>
      <w:r w:rsidRPr="009877EE">
        <w:rPr>
          <w:rFonts w:ascii="Arial" w:hAnsi="Arial" w:cs="Arial"/>
        </w:rPr>
        <w:t xml:space="preserve"> 2019.</w:t>
      </w:r>
      <w:r w:rsidRPr="00596999">
        <w:rPr>
          <w:rFonts w:ascii="Arial" w:hAnsi="Arial" w:cs="Arial"/>
        </w:rPr>
        <w:t xml:space="preserve"> </w:t>
      </w:r>
      <w:r>
        <w:rPr>
          <w:rFonts w:ascii="Arial" w:hAnsi="Arial" w:cs="Arial"/>
        </w:rPr>
        <w:t xml:space="preserve">On the same day </w:t>
      </w:r>
      <w:r>
        <w:rPr>
          <w:rFonts w:ascii="Arial" w:hAnsi="Arial" w:cs="Arial"/>
          <w:lang w:val="en-US"/>
        </w:rPr>
        <w:t>w</w:t>
      </w:r>
      <w:r w:rsidRPr="00596999">
        <w:rPr>
          <w:rFonts w:ascii="Arial" w:hAnsi="Arial" w:cs="Arial"/>
          <w:lang w:val="en-US"/>
        </w:rPr>
        <w:t xml:space="preserve">e will also </w:t>
      </w:r>
      <w:r>
        <w:rPr>
          <w:rFonts w:ascii="Arial" w:hAnsi="Arial" w:cs="Arial"/>
          <w:lang w:val="en-US"/>
        </w:rPr>
        <w:t>host</w:t>
      </w:r>
      <w:r w:rsidRPr="00596999">
        <w:rPr>
          <w:rFonts w:ascii="Arial" w:hAnsi="Arial" w:cs="Arial"/>
          <w:lang w:val="en-US"/>
        </w:rPr>
        <w:t xml:space="preserve"> a Capital Markets </w:t>
      </w:r>
      <w:r>
        <w:rPr>
          <w:rFonts w:ascii="Arial" w:hAnsi="Arial" w:cs="Arial"/>
          <w:lang w:val="en-US"/>
        </w:rPr>
        <w:t xml:space="preserve">Event </w:t>
      </w:r>
      <w:r w:rsidRPr="00596999">
        <w:rPr>
          <w:rFonts w:ascii="Arial" w:hAnsi="Arial" w:cs="Arial"/>
          <w:lang w:val="en-US"/>
        </w:rPr>
        <w:t>in London</w:t>
      </w:r>
      <w:r>
        <w:rPr>
          <w:rFonts w:ascii="Arial" w:hAnsi="Arial" w:cs="Arial"/>
          <w:lang w:val="en-US"/>
        </w:rPr>
        <w:t>, United Kingdom</w:t>
      </w:r>
      <w:r w:rsidRPr="00596999">
        <w:rPr>
          <w:rFonts w:ascii="Arial" w:hAnsi="Arial" w:cs="Arial"/>
          <w:lang w:val="en-US"/>
        </w:rPr>
        <w:t xml:space="preserve">. For </w:t>
      </w:r>
      <w:r>
        <w:rPr>
          <w:rFonts w:ascii="Arial" w:hAnsi="Arial" w:cs="Arial"/>
          <w:lang w:val="en-US"/>
        </w:rPr>
        <w:t>further details of the event</w:t>
      </w:r>
      <w:r w:rsidRPr="00596999">
        <w:rPr>
          <w:rFonts w:ascii="Arial" w:hAnsi="Arial" w:cs="Arial"/>
          <w:lang w:val="en-US"/>
        </w:rPr>
        <w:t xml:space="preserve"> </w:t>
      </w:r>
      <w:r>
        <w:rPr>
          <w:rFonts w:ascii="Arial" w:hAnsi="Arial" w:cs="Arial"/>
          <w:lang w:val="en-US"/>
        </w:rPr>
        <w:t xml:space="preserve">and </w:t>
      </w:r>
      <w:r w:rsidRPr="00596999">
        <w:rPr>
          <w:rFonts w:ascii="Arial" w:hAnsi="Arial" w:cs="Arial"/>
          <w:lang w:val="en-US"/>
        </w:rPr>
        <w:t>attendance in person, please contact Kingfisher’s investor relations team</w:t>
      </w:r>
      <w:r>
        <w:rPr>
          <w:rFonts w:ascii="Arial" w:hAnsi="Arial" w:cs="Arial"/>
          <w:lang w:val="en-US"/>
        </w:rPr>
        <w:t xml:space="preserve"> at </w:t>
      </w:r>
      <w:hyperlink r:id="rId11" w:history="1">
        <w:r w:rsidRPr="00284124">
          <w:rPr>
            <w:rStyle w:val="Hyperlink"/>
            <w:rFonts w:ascii="Arial" w:hAnsi="Arial" w:cs="Arial"/>
          </w:rPr>
          <w:t>investorenquiries@kingfisher.com</w:t>
        </w:r>
      </w:hyperlink>
      <w:r w:rsidRPr="00596999">
        <w:rPr>
          <w:rFonts w:ascii="Arial" w:hAnsi="Arial" w:cs="Arial"/>
          <w:lang w:val="en-US"/>
        </w:rPr>
        <w:t>.</w:t>
      </w:r>
    </w:p>
    <w:p w14:paraId="4FE2E320" w14:textId="4E3024C8" w:rsidR="00E77669" w:rsidRDefault="00E77669" w:rsidP="00484170">
      <w:pPr>
        <w:autoSpaceDE w:val="0"/>
        <w:autoSpaceDN w:val="0"/>
        <w:adjustRightInd w:val="0"/>
        <w:jc w:val="left"/>
        <w:rPr>
          <w:rFonts w:ascii="Arial" w:hAnsi="Arial" w:cs="Arial"/>
        </w:rPr>
      </w:pPr>
    </w:p>
    <w:tbl>
      <w:tblPr>
        <w:tblStyle w:val="TableGrid"/>
        <w:tblW w:w="0" w:type="auto"/>
        <w:tblLook w:val="04A0" w:firstRow="1" w:lastRow="0" w:firstColumn="1" w:lastColumn="0" w:noHBand="0" w:noVBand="1"/>
      </w:tblPr>
      <w:tblGrid>
        <w:gridCol w:w="3118"/>
        <w:gridCol w:w="2721"/>
      </w:tblGrid>
      <w:tr w:rsidR="00E77669" w:rsidRPr="00D72F65" w14:paraId="617E90C0" w14:textId="77777777" w:rsidTr="00613DF2">
        <w:tc>
          <w:tcPr>
            <w:tcW w:w="3118" w:type="dxa"/>
          </w:tcPr>
          <w:p w14:paraId="232CCED0" w14:textId="77777777" w:rsidR="00E77669" w:rsidRPr="00D72F65" w:rsidRDefault="00E77669" w:rsidP="00613DF2">
            <w:pPr>
              <w:jc w:val="left"/>
              <w:rPr>
                <w:rFonts w:ascii="Arial" w:hAnsi="Arial" w:cs="Arial"/>
                <w:sz w:val="22"/>
                <w:szCs w:val="22"/>
              </w:rPr>
            </w:pPr>
            <w:r w:rsidRPr="00D72F65">
              <w:rPr>
                <w:rFonts w:ascii="Arial" w:hAnsi="Arial" w:cs="Arial"/>
              </w:rPr>
              <w:t>Q1 results</w:t>
            </w:r>
          </w:p>
        </w:tc>
        <w:tc>
          <w:tcPr>
            <w:tcW w:w="2721" w:type="dxa"/>
          </w:tcPr>
          <w:p w14:paraId="0906B5F1" w14:textId="77777777" w:rsidR="00E77669" w:rsidRPr="00D72F65" w:rsidRDefault="00E77669" w:rsidP="00613DF2">
            <w:pPr>
              <w:jc w:val="left"/>
              <w:rPr>
                <w:rFonts w:ascii="Arial" w:hAnsi="Arial" w:cs="Arial"/>
                <w:sz w:val="22"/>
                <w:szCs w:val="22"/>
              </w:rPr>
            </w:pPr>
            <w:r w:rsidRPr="00D72F65">
              <w:rPr>
                <w:rFonts w:ascii="Arial" w:hAnsi="Arial" w:cs="Arial"/>
              </w:rPr>
              <w:t>15 May 2019</w:t>
            </w:r>
          </w:p>
        </w:tc>
      </w:tr>
      <w:tr w:rsidR="00E77669" w:rsidRPr="00D72F65" w14:paraId="176F3A4B" w14:textId="77777777" w:rsidTr="00613DF2">
        <w:tc>
          <w:tcPr>
            <w:tcW w:w="3118" w:type="dxa"/>
          </w:tcPr>
          <w:p w14:paraId="4F840A6A" w14:textId="793FD55B" w:rsidR="00E77669" w:rsidRPr="00D72F65" w:rsidRDefault="00E77669" w:rsidP="00613DF2">
            <w:pPr>
              <w:jc w:val="left"/>
              <w:rPr>
                <w:rFonts w:ascii="Arial" w:hAnsi="Arial" w:cs="Arial"/>
                <w:sz w:val="22"/>
                <w:szCs w:val="22"/>
              </w:rPr>
            </w:pPr>
            <w:r w:rsidRPr="00D72F65">
              <w:rPr>
                <w:rFonts w:ascii="Arial" w:hAnsi="Arial" w:cs="Arial"/>
              </w:rPr>
              <w:t>Capital Markets Event</w:t>
            </w:r>
          </w:p>
        </w:tc>
        <w:tc>
          <w:tcPr>
            <w:tcW w:w="2721" w:type="dxa"/>
          </w:tcPr>
          <w:p w14:paraId="1790573B" w14:textId="77777777" w:rsidR="00E77669" w:rsidRPr="00D72F65" w:rsidRDefault="00E77669" w:rsidP="00613DF2">
            <w:pPr>
              <w:jc w:val="left"/>
              <w:rPr>
                <w:rFonts w:ascii="Arial" w:hAnsi="Arial" w:cs="Arial"/>
                <w:sz w:val="22"/>
                <w:szCs w:val="22"/>
              </w:rPr>
            </w:pPr>
            <w:r w:rsidRPr="00D72F65">
              <w:rPr>
                <w:rFonts w:ascii="Arial" w:hAnsi="Arial" w:cs="Arial"/>
              </w:rPr>
              <w:t>15 May 2019</w:t>
            </w:r>
          </w:p>
        </w:tc>
      </w:tr>
      <w:tr w:rsidR="00E77669" w:rsidRPr="00D72F65" w14:paraId="4D17384E" w14:textId="77777777" w:rsidTr="00613DF2">
        <w:tc>
          <w:tcPr>
            <w:tcW w:w="3118" w:type="dxa"/>
          </w:tcPr>
          <w:p w14:paraId="211C0A24" w14:textId="77777777" w:rsidR="00E77669" w:rsidRPr="00D72F65" w:rsidRDefault="00E77669" w:rsidP="00613DF2">
            <w:pPr>
              <w:jc w:val="left"/>
              <w:rPr>
                <w:rFonts w:ascii="Arial" w:hAnsi="Arial" w:cs="Arial"/>
                <w:sz w:val="22"/>
                <w:szCs w:val="22"/>
              </w:rPr>
            </w:pPr>
            <w:r w:rsidRPr="00D72F65">
              <w:rPr>
                <w:rFonts w:ascii="Arial" w:hAnsi="Arial" w:cs="Arial"/>
              </w:rPr>
              <w:t>Annual General Meeting</w:t>
            </w:r>
          </w:p>
        </w:tc>
        <w:tc>
          <w:tcPr>
            <w:tcW w:w="2721" w:type="dxa"/>
          </w:tcPr>
          <w:p w14:paraId="4BBDD813" w14:textId="77777777" w:rsidR="00E77669" w:rsidRPr="00D72F65" w:rsidRDefault="00E77669" w:rsidP="00613DF2">
            <w:pPr>
              <w:jc w:val="left"/>
              <w:rPr>
                <w:rFonts w:ascii="Arial" w:hAnsi="Arial" w:cs="Arial"/>
                <w:sz w:val="22"/>
                <w:szCs w:val="22"/>
              </w:rPr>
            </w:pPr>
            <w:r w:rsidRPr="00D72F65">
              <w:rPr>
                <w:rFonts w:ascii="Arial" w:hAnsi="Arial" w:cs="Arial"/>
              </w:rPr>
              <w:t>9 July 2019</w:t>
            </w:r>
          </w:p>
        </w:tc>
      </w:tr>
      <w:tr w:rsidR="00E77669" w:rsidRPr="00D72F65" w14:paraId="68943602" w14:textId="77777777" w:rsidTr="00613DF2">
        <w:tc>
          <w:tcPr>
            <w:tcW w:w="3118" w:type="dxa"/>
          </w:tcPr>
          <w:p w14:paraId="0ED7D54A" w14:textId="77777777" w:rsidR="00E77669" w:rsidRPr="00D72F65" w:rsidRDefault="00E77669" w:rsidP="00613DF2">
            <w:pPr>
              <w:jc w:val="left"/>
              <w:rPr>
                <w:rFonts w:ascii="Arial" w:hAnsi="Arial" w:cs="Arial"/>
                <w:sz w:val="22"/>
                <w:szCs w:val="22"/>
              </w:rPr>
            </w:pPr>
            <w:r w:rsidRPr="00D72F65">
              <w:rPr>
                <w:rFonts w:ascii="Arial" w:hAnsi="Arial" w:cs="Arial"/>
              </w:rPr>
              <w:t>2018/19 final dividend</w:t>
            </w:r>
          </w:p>
        </w:tc>
        <w:tc>
          <w:tcPr>
            <w:tcW w:w="2721" w:type="dxa"/>
          </w:tcPr>
          <w:p w14:paraId="091E4044" w14:textId="77777777" w:rsidR="00E77669" w:rsidRPr="00D72F65" w:rsidRDefault="00E77669" w:rsidP="00613DF2">
            <w:pPr>
              <w:jc w:val="left"/>
              <w:rPr>
                <w:rFonts w:ascii="Arial" w:hAnsi="Arial" w:cs="Arial"/>
                <w:sz w:val="22"/>
                <w:szCs w:val="22"/>
              </w:rPr>
            </w:pPr>
            <w:r w:rsidRPr="00D72F65">
              <w:rPr>
                <w:rFonts w:ascii="Arial" w:hAnsi="Arial" w:cs="Arial"/>
              </w:rPr>
              <w:t>15 July 2019*</w:t>
            </w:r>
          </w:p>
        </w:tc>
      </w:tr>
      <w:tr w:rsidR="00E77669" w:rsidRPr="00D72F65" w14:paraId="283270C2" w14:textId="77777777" w:rsidTr="00613DF2">
        <w:tc>
          <w:tcPr>
            <w:tcW w:w="3118" w:type="dxa"/>
          </w:tcPr>
          <w:p w14:paraId="18E8EB9B" w14:textId="77777777" w:rsidR="00E77669" w:rsidRPr="00D72F65" w:rsidRDefault="00E77669" w:rsidP="00613DF2">
            <w:pPr>
              <w:jc w:val="left"/>
              <w:rPr>
                <w:rFonts w:ascii="Arial" w:hAnsi="Arial" w:cs="Arial"/>
                <w:sz w:val="22"/>
                <w:szCs w:val="22"/>
              </w:rPr>
            </w:pPr>
            <w:r w:rsidRPr="00D72F65">
              <w:rPr>
                <w:rFonts w:ascii="Arial" w:hAnsi="Arial" w:cs="Arial"/>
              </w:rPr>
              <w:t>Half year results</w:t>
            </w:r>
          </w:p>
        </w:tc>
        <w:tc>
          <w:tcPr>
            <w:tcW w:w="2721" w:type="dxa"/>
          </w:tcPr>
          <w:p w14:paraId="3AA35CF8" w14:textId="77777777" w:rsidR="00E77669" w:rsidRPr="00D72F65" w:rsidRDefault="00E77669" w:rsidP="00613DF2">
            <w:pPr>
              <w:jc w:val="left"/>
              <w:rPr>
                <w:rFonts w:ascii="Arial" w:hAnsi="Arial" w:cs="Arial"/>
                <w:sz w:val="22"/>
                <w:szCs w:val="22"/>
              </w:rPr>
            </w:pPr>
            <w:r w:rsidRPr="00D72F65">
              <w:rPr>
                <w:rFonts w:ascii="Arial" w:hAnsi="Arial" w:cs="Arial"/>
              </w:rPr>
              <w:t>18 September 2019*</w:t>
            </w:r>
          </w:p>
        </w:tc>
      </w:tr>
      <w:tr w:rsidR="00E77669" w:rsidRPr="00D72F65" w14:paraId="20E09580" w14:textId="77777777" w:rsidTr="00613DF2">
        <w:tc>
          <w:tcPr>
            <w:tcW w:w="3118" w:type="dxa"/>
          </w:tcPr>
          <w:p w14:paraId="321C9413" w14:textId="77777777" w:rsidR="00E77669" w:rsidRPr="00D72F65" w:rsidRDefault="00E77669" w:rsidP="00613DF2">
            <w:pPr>
              <w:jc w:val="left"/>
              <w:rPr>
                <w:rFonts w:ascii="Arial" w:hAnsi="Arial" w:cs="Arial"/>
                <w:sz w:val="22"/>
                <w:szCs w:val="22"/>
              </w:rPr>
            </w:pPr>
            <w:r w:rsidRPr="00D72F65">
              <w:rPr>
                <w:rFonts w:ascii="Arial" w:hAnsi="Arial" w:cs="Arial"/>
              </w:rPr>
              <w:t>2019/20 interim dividend</w:t>
            </w:r>
          </w:p>
        </w:tc>
        <w:tc>
          <w:tcPr>
            <w:tcW w:w="2721" w:type="dxa"/>
          </w:tcPr>
          <w:p w14:paraId="0D696F54" w14:textId="77777777" w:rsidR="00E77669" w:rsidRPr="00D72F65" w:rsidRDefault="00E77669" w:rsidP="00613DF2">
            <w:pPr>
              <w:jc w:val="left"/>
              <w:rPr>
                <w:rFonts w:ascii="Arial" w:hAnsi="Arial" w:cs="Arial"/>
                <w:sz w:val="22"/>
                <w:szCs w:val="22"/>
              </w:rPr>
            </w:pPr>
            <w:r w:rsidRPr="00D72F65">
              <w:rPr>
                <w:rFonts w:ascii="Arial" w:hAnsi="Arial" w:cs="Arial"/>
              </w:rPr>
              <w:t>8 November 2019*</w:t>
            </w:r>
          </w:p>
        </w:tc>
      </w:tr>
      <w:tr w:rsidR="00E77669" w:rsidRPr="00D72F65" w14:paraId="78C16848" w14:textId="77777777" w:rsidTr="00613DF2">
        <w:tc>
          <w:tcPr>
            <w:tcW w:w="3118" w:type="dxa"/>
          </w:tcPr>
          <w:p w14:paraId="62D41AE0" w14:textId="77777777" w:rsidR="00E77669" w:rsidRPr="00D72F65" w:rsidRDefault="00E77669" w:rsidP="00613DF2">
            <w:pPr>
              <w:jc w:val="left"/>
              <w:rPr>
                <w:rFonts w:ascii="Arial" w:hAnsi="Arial" w:cs="Arial"/>
                <w:sz w:val="22"/>
                <w:szCs w:val="22"/>
              </w:rPr>
            </w:pPr>
            <w:r w:rsidRPr="00D72F65">
              <w:rPr>
                <w:rFonts w:ascii="Arial" w:hAnsi="Arial" w:cs="Arial"/>
              </w:rPr>
              <w:t>Q3 results</w:t>
            </w:r>
          </w:p>
        </w:tc>
        <w:tc>
          <w:tcPr>
            <w:tcW w:w="2721" w:type="dxa"/>
          </w:tcPr>
          <w:p w14:paraId="7E17F93C" w14:textId="77777777" w:rsidR="00E77669" w:rsidRPr="00D72F65" w:rsidRDefault="00E77669" w:rsidP="00613DF2">
            <w:pPr>
              <w:jc w:val="left"/>
              <w:rPr>
                <w:rFonts w:ascii="Arial" w:hAnsi="Arial" w:cs="Arial"/>
                <w:sz w:val="22"/>
                <w:szCs w:val="22"/>
              </w:rPr>
            </w:pPr>
            <w:r w:rsidRPr="00D72F65">
              <w:rPr>
                <w:rFonts w:ascii="Arial" w:hAnsi="Arial" w:cs="Arial"/>
              </w:rPr>
              <w:t>20 November 2019*</w:t>
            </w:r>
          </w:p>
        </w:tc>
      </w:tr>
      <w:tr w:rsidR="00E77669" w:rsidRPr="00D72F65" w14:paraId="452E8D7A" w14:textId="77777777" w:rsidTr="00613DF2">
        <w:tc>
          <w:tcPr>
            <w:tcW w:w="3118" w:type="dxa"/>
          </w:tcPr>
          <w:p w14:paraId="2ECA8B2B" w14:textId="2ED1AB62" w:rsidR="00E77669" w:rsidRPr="00D72F65" w:rsidRDefault="00B27E05" w:rsidP="00613DF2">
            <w:pPr>
              <w:jc w:val="left"/>
              <w:rPr>
                <w:rFonts w:ascii="Arial" w:hAnsi="Arial" w:cs="Arial"/>
                <w:sz w:val="22"/>
                <w:szCs w:val="22"/>
              </w:rPr>
            </w:pPr>
            <w:r>
              <w:rPr>
                <w:rFonts w:ascii="Arial" w:hAnsi="Arial" w:cs="Arial"/>
              </w:rPr>
              <w:t xml:space="preserve">2019/20 </w:t>
            </w:r>
            <w:proofErr w:type="gramStart"/>
            <w:r>
              <w:rPr>
                <w:rFonts w:ascii="Arial" w:hAnsi="Arial" w:cs="Arial"/>
              </w:rPr>
              <w:t>f</w:t>
            </w:r>
            <w:r w:rsidR="00E77669" w:rsidRPr="00D72F65">
              <w:rPr>
                <w:rFonts w:ascii="Arial" w:hAnsi="Arial" w:cs="Arial"/>
              </w:rPr>
              <w:t>inal results</w:t>
            </w:r>
            <w:proofErr w:type="gramEnd"/>
          </w:p>
        </w:tc>
        <w:tc>
          <w:tcPr>
            <w:tcW w:w="2721" w:type="dxa"/>
          </w:tcPr>
          <w:p w14:paraId="2B49B196" w14:textId="77777777" w:rsidR="00E77669" w:rsidRPr="00D72F65" w:rsidRDefault="00E77669" w:rsidP="00613DF2">
            <w:pPr>
              <w:jc w:val="left"/>
              <w:rPr>
                <w:rFonts w:ascii="Arial" w:hAnsi="Arial" w:cs="Arial"/>
                <w:sz w:val="22"/>
                <w:szCs w:val="22"/>
              </w:rPr>
            </w:pPr>
            <w:r w:rsidRPr="00D72F65">
              <w:rPr>
                <w:rFonts w:ascii="Arial" w:hAnsi="Arial" w:cs="Arial"/>
              </w:rPr>
              <w:t>March 2020</w:t>
            </w:r>
          </w:p>
        </w:tc>
      </w:tr>
    </w:tbl>
    <w:p w14:paraId="25F64DD3" w14:textId="77777777" w:rsidR="00E77669" w:rsidRDefault="00E77669" w:rsidP="00E77669">
      <w:pPr>
        <w:jc w:val="left"/>
        <w:rPr>
          <w:rFonts w:ascii="Arial" w:hAnsi="Arial" w:cs="Arial"/>
          <w:sz w:val="14"/>
          <w:lang w:val="en-US"/>
        </w:rPr>
      </w:pPr>
    </w:p>
    <w:p w14:paraId="75145C95" w14:textId="77777777" w:rsidR="00E77669" w:rsidRPr="00E630F1" w:rsidRDefault="00E77669" w:rsidP="00E77669">
      <w:pPr>
        <w:jc w:val="left"/>
        <w:rPr>
          <w:rFonts w:ascii="Arial" w:hAnsi="Arial" w:cs="Arial"/>
          <w:sz w:val="14"/>
          <w:lang w:val="en-US"/>
        </w:rPr>
      </w:pPr>
      <w:r w:rsidRPr="00E630F1">
        <w:rPr>
          <w:rFonts w:ascii="Arial" w:hAnsi="Arial" w:cs="Arial"/>
          <w:sz w:val="14"/>
          <w:lang w:val="en-US"/>
        </w:rPr>
        <w:t>* These dates are provisional and may be subject to change.</w:t>
      </w:r>
    </w:p>
    <w:p w14:paraId="2DD916C2" w14:textId="02A98AA0" w:rsidR="00465463" w:rsidRDefault="00465463" w:rsidP="00EE1E29">
      <w:pPr>
        <w:jc w:val="left"/>
        <w:rPr>
          <w:rFonts w:ascii="Arial" w:hAnsi="Arial" w:cs="Arial"/>
          <w:sz w:val="14"/>
          <w:lang w:val="en-US"/>
        </w:rPr>
      </w:pPr>
    </w:p>
    <w:p w14:paraId="3D37D047" w14:textId="77777777" w:rsidR="00465463" w:rsidRDefault="00465463" w:rsidP="00EE1E29">
      <w:pPr>
        <w:jc w:val="left"/>
        <w:rPr>
          <w:rFonts w:ascii="Arial" w:hAnsi="Arial" w:cs="Arial"/>
          <w:sz w:val="14"/>
          <w:lang w:val="en-US"/>
        </w:rPr>
      </w:pPr>
    </w:p>
    <w:p w14:paraId="485C455C" w14:textId="2B8ACFAF" w:rsidR="00CC45F6" w:rsidRPr="007A7452" w:rsidRDefault="00181E03" w:rsidP="00EE1E29">
      <w:pPr>
        <w:jc w:val="left"/>
        <w:rPr>
          <w:rFonts w:ascii="Arial" w:hAnsi="Arial" w:cs="Arial"/>
        </w:rPr>
      </w:pPr>
      <w:r w:rsidRPr="007A7452">
        <w:rPr>
          <w:rFonts w:ascii="Arial" w:hAnsi="Arial" w:cs="Arial"/>
        </w:rPr>
        <w:t xml:space="preserve">The remainder of this release </w:t>
      </w:r>
      <w:r w:rsidR="009B6367" w:rsidRPr="007A7452">
        <w:rPr>
          <w:rFonts w:ascii="Arial" w:hAnsi="Arial" w:cs="Arial"/>
        </w:rPr>
        <w:t xml:space="preserve">is broken down into </w:t>
      </w:r>
      <w:r w:rsidR="004F4BB9" w:rsidRPr="007A7452">
        <w:rPr>
          <w:rFonts w:ascii="Arial" w:hAnsi="Arial" w:cs="Arial"/>
        </w:rPr>
        <w:t xml:space="preserve">six </w:t>
      </w:r>
      <w:r w:rsidRPr="007A7452">
        <w:rPr>
          <w:rFonts w:ascii="Arial" w:hAnsi="Arial" w:cs="Arial"/>
        </w:rPr>
        <w:t>main sections:</w:t>
      </w:r>
    </w:p>
    <w:p w14:paraId="16DDC652" w14:textId="3831226F" w:rsidR="00C34F2D" w:rsidRPr="007A7452" w:rsidRDefault="00317387" w:rsidP="004B173A">
      <w:pPr>
        <w:numPr>
          <w:ilvl w:val="0"/>
          <w:numId w:val="1"/>
        </w:numPr>
        <w:ind w:left="360"/>
        <w:jc w:val="left"/>
        <w:rPr>
          <w:rFonts w:ascii="Arial" w:hAnsi="Arial" w:cs="Arial"/>
        </w:rPr>
      </w:pPr>
      <w:r w:rsidRPr="007A7452">
        <w:rPr>
          <w:rFonts w:ascii="Arial" w:hAnsi="Arial" w:cs="Arial"/>
        </w:rPr>
        <w:t>ONE Kingfisher</w:t>
      </w:r>
      <w:r w:rsidR="007D43ED" w:rsidRPr="007A7452">
        <w:rPr>
          <w:rFonts w:ascii="Arial" w:hAnsi="Arial" w:cs="Arial"/>
        </w:rPr>
        <w:t xml:space="preserve"> </w:t>
      </w:r>
      <w:r w:rsidR="002B7FB8">
        <w:rPr>
          <w:rFonts w:ascii="Arial" w:hAnsi="Arial" w:cs="Arial"/>
        </w:rPr>
        <w:t xml:space="preserve">transformation </w:t>
      </w:r>
      <w:r w:rsidR="007D43ED" w:rsidRPr="007A7452">
        <w:rPr>
          <w:rFonts w:ascii="Arial" w:hAnsi="Arial" w:cs="Arial"/>
        </w:rPr>
        <w:t>update</w:t>
      </w:r>
      <w:r w:rsidR="004F1839" w:rsidRPr="007A7452">
        <w:rPr>
          <w:rFonts w:ascii="Arial" w:hAnsi="Arial" w:cs="Arial"/>
        </w:rPr>
        <w:t xml:space="preserve"> </w:t>
      </w:r>
    </w:p>
    <w:p w14:paraId="550E00D8" w14:textId="77777777" w:rsidR="003E3617" w:rsidRPr="007A7452" w:rsidRDefault="0058650E" w:rsidP="004B173A">
      <w:pPr>
        <w:numPr>
          <w:ilvl w:val="0"/>
          <w:numId w:val="1"/>
        </w:numPr>
        <w:ind w:left="360"/>
        <w:jc w:val="left"/>
        <w:rPr>
          <w:rFonts w:ascii="Arial" w:hAnsi="Arial" w:cs="Arial"/>
        </w:rPr>
      </w:pPr>
      <w:r w:rsidRPr="007A7452">
        <w:rPr>
          <w:rFonts w:ascii="Arial" w:hAnsi="Arial" w:cs="Arial"/>
        </w:rPr>
        <w:t>Trading</w:t>
      </w:r>
      <w:r w:rsidR="007B306A" w:rsidRPr="007A7452">
        <w:rPr>
          <w:rFonts w:ascii="Arial" w:hAnsi="Arial" w:cs="Arial"/>
        </w:rPr>
        <w:t xml:space="preserve"> rev</w:t>
      </w:r>
      <w:r w:rsidR="003E3617" w:rsidRPr="007A7452">
        <w:rPr>
          <w:rFonts w:ascii="Arial" w:hAnsi="Arial" w:cs="Arial"/>
        </w:rPr>
        <w:t xml:space="preserve">iew by </w:t>
      </w:r>
      <w:r w:rsidR="00130A12" w:rsidRPr="007A7452">
        <w:rPr>
          <w:rFonts w:ascii="Arial" w:hAnsi="Arial" w:cs="Arial"/>
        </w:rPr>
        <w:t>division</w:t>
      </w:r>
    </w:p>
    <w:p w14:paraId="15433C22" w14:textId="044BB659" w:rsidR="0030578B" w:rsidRPr="007A7452" w:rsidRDefault="0030578B" w:rsidP="0030578B">
      <w:pPr>
        <w:numPr>
          <w:ilvl w:val="0"/>
          <w:numId w:val="1"/>
        </w:numPr>
        <w:ind w:left="360"/>
        <w:jc w:val="left"/>
        <w:rPr>
          <w:rFonts w:ascii="Arial" w:hAnsi="Arial" w:cs="Arial"/>
        </w:rPr>
      </w:pPr>
      <w:r w:rsidRPr="007A7452">
        <w:rPr>
          <w:rFonts w:ascii="Arial" w:hAnsi="Arial" w:cs="Arial"/>
        </w:rPr>
        <w:t>FY 1</w:t>
      </w:r>
      <w:r w:rsidR="00576065">
        <w:rPr>
          <w:rFonts w:ascii="Arial" w:hAnsi="Arial" w:cs="Arial"/>
        </w:rPr>
        <w:t>9</w:t>
      </w:r>
      <w:r w:rsidR="00F764D3" w:rsidRPr="007A7452">
        <w:rPr>
          <w:rFonts w:ascii="Arial" w:hAnsi="Arial" w:cs="Arial"/>
        </w:rPr>
        <w:t>/</w:t>
      </w:r>
      <w:r w:rsidR="00576065">
        <w:rPr>
          <w:rFonts w:ascii="Arial" w:hAnsi="Arial" w:cs="Arial"/>
        </w:rPr>
        <w:t>20</w:t>
      </w:r>
      <w:r w:rsidRPr="007A7452">
        <w:rPr>
          <w:rFonts w:ascii="Arial" w:hAnsi="Arial" w:cs="Arial"/>
        </w:rPr>
        <w:t xml:space="preserve"> Technical guidance</w:t>
      </w:r>
    </w:p>
    <w:p w14:paraId="4F6699C6" w14:textId="4D855FEB" w:rsidR="003A35D2" w:rsidRPr="007A7452" w:rsidRDefault="00F764D3" w:rsidP="004B173A">
      <w:pPr>
        <w:numPr>
          <w:ilvl w:val="0"/>
          <w:numId w:val="1"/>
        </w:numPr>
        <w:ind w:left="360"/>
        <w:jc w:val="left"/>
        <w:rPr>
          <w:rFonts w:ascii="Arial" w:hAnsi="Arial" w:cs="Arial"/>
          <w:b/>
          <w:bCs/>
        </w:rPr>
      </w:pPr>
      <w:r w:rsidRPr="007A7452">
        <w:rPr>
          <w:rFonts w:ascii="Arial" w:hAnsi="Arial" w:cs="Arial"/>
        </w:rPr>
        <w:t>F</w:t>
      </w:r>
      <w:r w:rsidR="00931630" w:rsidRPr="007A7452">
        <w:rPr>
          <w:rFonts w:ascii="Arial" w:hAnsi="Arial" w:cs="Arial"/>
        </w:rPr>
        <w:t xml:space="preserve">Y </w:t>
      </w:r>
      <w:r w:rsidR="006B02CB" w:rsidRPr="007A7452">
        <w:rPr>
          <w:rFonts w:ascii="Arial" w:hAnsi="Arial" w:cs="Arial"/>
        </w:rPr>
        <w:t>1</w:t>
      </w:r>
      <w:r w:rsidR="00576065">
        <w:rPr>
          <w:rFonts w:ascii="Arial" w:hAnsi="Arial" w:cs="Arial"/>
        </w:rPr>
        <w:t>8</w:t>
      </w:r>
      <w:r w:rsidR="00931630" w:rsidRPr="007A7452">
        <w:rPr>
          <w:rFonts w:ascii="Arial" w:hAnsi="Arial" w:cs="Arial"/>
        </w:rPr>
        <w:t>/1</w:t>
      </w:r>
      <w:r w:rsidR="00576065">
        <w:rPr>
          <w:rFonts w:ascii="Arial" w:hAnsi="Arial" w:cs="Arial"/>
        </w:rPr>
        <w:t>9</w:t>
      </w:r>
      <w:r w:rsidR="006B02CB" w:rsidRPr="007A7452">
        <w:rPr>
          <w:rFonts w:ascii="Arial" w:hAnsi="Arial" w:cs="Arial"/>
        </w:rPr>
        <w:t xml:space="preserve"> </w:t>
      </w:r>
      <w:r w:rsidR="003A35D2" w:rsidRPr="007A7452">
        <w:rPr>
          <w:rFonts w:ascii="Arial" w:hAnsi="Arial" w:cs="Arial"/>
        </w:rPr>
        <w:t xml:space="preserve">Financial </w:t>
      </w:r>
      <w:r w:rsidR="007341CC" w:rsidRPr="007A7452">
        <w:rPr>
          <w:rFonts w:ascii="Arial" w:hAnsi="Arial" w:cs="Arial"/>
        </w:rPr>
        <w:t>r</w:t>
      </w:r>
      <w:r w:rsidR="003A35D2" w:rsidRPr="007A7452">
        <w:rPr>
          <w:rFonts w:ascii="Arial" w:hAnsi="Arial" w:cs="Arial"/>
        </w:rPr>
        <w:t xml:space="preserve">eview and, in part 2 of this </w:t>
      </w:r>
      <w:r w:rsidR="0058650E" w:rsidRPr="007A7452">
        <w:rPr>
          <w:rFonts w:ascii="Arial" w:hAnsi="Arial" w:cs="Arial"/>
        </w:rPr>
        <w:t>announcement</w:t>
      </w:r>
      <w:r w:rsidR="003A35D2" w:rsidRPr="007A7452">
        <w:rPr>
          <w:rFonts w:ascii="Arial" w:hAnsi="Arial" w:cs="Arial"/>
        </w:rPr>
        <w:t>, the</w:t>
      </w:r>
      <w:r w:rsidR="007D43ED" w:rsidRPr="007A7452">
        <w:rPr>
          <w:rFonts w:ascii="Arial" w:hAnsi="Arial" w:cs="Arial"/>
        </w:rPr>
        <w:t xml:space="preserve"> </w:t>
      </w:r>
      <w:r w:rsidR="00057857">
        <w:rPr>
          <w:rFonts w:ascii="Arial" w:hAnsi="Arial" w:cs="Arial"/>
        </w:rPr>
        <w:t>condensed</w:t>
      </w:r>
      <w:r w:rsidR="007A5E76" w:rsidRPr="007A7452">
        <w:rPr>
          <w:rFonts w:ascii="Arial" w:hAnsi="Arial" w:cs="Arial"/>
        </w:rPr>
        <w:t xml:space="preserve"> </w:t>
      </w:r>
      <w:r w:rsidR="00057857">
        <w:rPr>
          <w:rFonts w:ascii="Arial" w:hAnsi="Arial" w:cs="Arial"/>
        </w:rPr>
        <w:t>f</w:t>
      </w:r>
      <w:r w:rsidR="003A35D2" w:rsidRPr="007A7452">
        <w:rPr>
          <w:rFonts w:ascii="Arial" w:hAnsi="Arial" w:cs="Arial"/>
        </w:rPr>
        <w:t xml:space="preserve">inancial </w:t>
      </w:r>
      <w:r w:rsidR="00057857">
        <w:rPr>
          <w:rFonts w:ascii="Arial" w:hAnsi="Arial" w:cs="Arial"/>
        </w:rPr>
        <w:t>s</w:t>
      </w:r>
      <w:r w:rsidR="003A35D2" w:rsidRPr="007A7452">
        <w:rPr>
          <w:rFonts w:ascii="Arial" w:hAnsi="Arial" w:cs="Arial"/>
        </w:rPr>
        <w:t>tatements</w:t>
      </w:r>
    </w:p>
    <w:p w14:paraId="7BE0550C" w14:textId="30149297" w:rsidR="006A0359" w:rsidRPr="00AF307A" w:rsidRDefault="008B440F" w:rsidP="006A0359">
      <w:pPr>
        <w:numPr>
          <w:ilvl w:val="0"/>
          <w:numId w:val="1"/>
        </w:numPr>
        <w:ind w:left="360"/>
        <w:jc w:val="left"/>
        <w:rPr>
          <w:rFonts w:ascii="Arial" w:hAnsi="Arial" w:cs="Arial"/>
          <w:b/>
          <w:sz w:val="24"/>
          <w:szCs w:val="24"/>
        </w:rPr>
      </w:pPr>
      <w:r w:rsidRPr="007A7452">
        <w:rPr>
          <w:rFonts w:ascii="Arial" w:hAnsi="Arial" w:cs="Arial"/>
        </w:rPr>
        <w:t>Glossary</w:t>
      </w:r>
    </w:p>
    <w:p w14:paraId="4A4D3C83" w14:textId="16994F0D" w:rsidR="00697318" w:rsidRDefault="00F865E8" w:rsidP="00AF307A">
      <w:pPr>
        <w:numPr>
          <w:ilvl w:val="0"/>
          <w:numId w:val="1"/>
        </w:numPr>
        <w:ind w:left="360"/>
        <w:jc w:val="left"/>
        <w:rPr>
          <w:rFonts w:ascii="Arial" w:hAnsi="Arial" w:cs="Arial"/>
          <w:b/>
        </w:rPr>
      </w:pPr>
      <w:r w:rsidRPr="006A0359">
        <w:rPr>
          <w:rFonts w:ascii="Arial" w:hAnsi="Arial" w:cs="Arial"/>
        </w:rPr>
        <w:t>Forward-looking statements</w:t>
      </w:r>
      <w:r w:rsidR="00772E22">
        <w:rPr>
          <w:rFonts w:ascii="Arial" w:hAnsi="Arial" w:cs="Arial"/>
          <w:b/>
        </w:rPr>
        <w:br w:type="page"/>
      </w:r>
    </w:p>
    <w:p w14:paraId="19767FD7" w14:textId="6E795215" w:rsidR="003E3617" w:rsidRPr="00945E62" w:rsidRDefault="005C6733" w:rsidP="003E3617">
      <w:pPr>
        <w:jc w:val="left"/>
        <w:rPr>
          <w:rFonts w:ascii="Arial" w:hAnsi="Arial" w:cs="Arial"/>
          <w:b/>
        </w:rPr>
      </w:pPr>
      <w:r w:rsidRPr="00945E62">
        <w:rPr>
          <w:rFonts w:ascii="Arial" w:hAnsi="Arial" w:cs="Arial"/>
          <w:b/>
        </w:rPr>
        <w:lastRenderedPageBreak/>
        <w:t>S</w:t>
      </w:r>
      <w:r w:rsidR="003E3617" w:rsidRPr="00945E62">
        <w:rPr>
          <w:rFonts w:ascii="Arial" w:hAnsi="Arial" w:cs="Arial"/>
          <w:b/>
        </w:rPr>
        <w:t>ection 1</w:t>
      </w:r>
      <w:r w:rsidR="00376255" w:rsidRPr="00945E62">
        <w:rPr>
          <w:rFonts w:ascii="Arial" w:hAnsi="Arial" w:cs="Arial"/>
          <w:b/>
        </w:rPr>
        <w:t xml:space="preserve">: </w:t>
      </w:r>
      <w:r w:rsidR="00D7499F" w:rsidRPr="00945E62">
        <w:rPr>
          <w:rFonts w:ascii="Arial" w:hAnsi="Arial" w:cs="Arial"/>
          <w:b/>
        </w:rPr>
        <w:t xml:space="preserve">ONE Kingfisher </w:t>
      </w:r>
      <w:r w:rsidR="002B7FB8">
        <w:rPr>
          <w:rFonts w:ascii="Arial" w:hAnsi="Arial" w:cs="Arial"/>
          <w:b/>
        </w:rPr>
        <w:t>transformation update</w:t>
      </w:r>
    </w:p>
    <w:p w14:paraId="7A93536D" w14:textId="77777777" w:rsidR="0016646E" w:rsidRDefault="0016646E" w:rsidP="00CC518E">
      <w:pPr>
        <w:jc w:val="left"/>
        <w:rPr>
          <w:rFonts w:ascii="Arial" w:hAnsi="Arial" w:cs="Arial"/>
        </w:rPr>
      </w:pPr>
    </w:p>
    <w:p w14:paraId="34823E94" w14:textId="25747DCF" w:rsidR="006D6070" w:rsidRDefault="00CC518E" w:rsidP="00CC518E">
      <w:pPr>
        <w:jc w:val="left"/>
        <w:rPr>
          <w:rFonts w:ascii="Arial" w:hAnsi="Arial" w:cs="Arial"/>
        </w:rPr>
      </w:pPr>
      <w:r w:rsidRPr="00945E62">
        <w:rPr>
          <w:rFonts w:ascii="Arial" w:hAnsi="Arial" w:cs="Arial"/>
        </w:rPr>
        <w:t xml:space="preserve">The ONE Kingfisher </w:t>
      </w:r>
      <w:r w:rsidR="002B7FB8">
        <w:rPr>
          <w:rFonts w:ascii="Arial" w:hAnsi="Arial" w:cs="Arial"/>
        </w:rPr>
        <w:t xml:space="preserve">transformation </w:t>
      </w:r>
      <w:r w:rsidRPr="00945E62">
        <w:rPr>
          <w:rFonts w:ascii="Arial" w:hAnsi="Arial" w:cs="Arial"/>
        </w:rPr>
        <w:t>plan, which started in FY 16</w:t>
      </w:r>
      <w:r w:rsidRPr="0060348F">
        <w:rPr>
          <w:rFonts w:ascii="Arial" w:hAnsi="Arial" w:cs="Arial"/>
        </w:rPr>
        <w:t xml:space="preserve">/17, is </w:t>
      </w:r>
      <w:r w:rsidR="00B77004">
        <w:rPr>
          <w:rFonts w:ascii="Arial" w:hAnsi="Arial" w:cs="Arial"/>
        </w:rPr>
        <w:t xml:space="preserve">focused on </w:t>
      </w:r>
      <w:r w:rsidR="007C11F7" w:rsidRPr="00945E62">
        <w:rPr>
          <w:rFonts w:ascii="Arial" w:hAnsi="Arial" w:cs="Arial"/>
        </w:rPr>
        <w:t>creating a unified company</w:t>
      </w:r>
      <w:r w:rsidR="007C11F7" w:rsidRPr="0060348F">
        <w:rPr>
          <w:rFonts w:ascii="Arial" w:hAnsi="Arial" w:cs="Arial"/>
        </w:rPr>
        <w:t xml:space="preserve"> </w:t>
      </w:r>
      <w:r w:rsidR="007C11F7">
        <w:rPr>
          <w:rFonts w:ascii="Arial" w:hAnsi="Arial" w:cs="Arial"/>
        </w:rPr>
        <w:t xml:space="preserve">by </w:t>
      </w:r>
      <w:r w:rsidRPr="0060348F">
        <w:rPr>
          <w:rFonts w:ascii="Arial" w:hAnsi="Arial" w:cs="Arial"/>
        </w:rPr>
        <w:t>leverag</w:t>
      </w:r>
      <w:r w:rsidR="007C11F7">
        <w:rPr>
          <w:rFonts w:ascii="Arial" w:hAnsi="Arial" w:cs="Arial"/>
        </w:rPr>
        <w:t>ing</w:t>
      </w:r>
      <w:r w:rsidRPr="00945E62">
        <w:rPr>
          <w:rFonts w:ascii="Arial" w:hAnsi="Arial" w:cs="Arial"/>
        </w:rPr>
        <w:t xml:space="preserve"> the scale of the business, where customer needs always come first. </w:t>
      </w:r>
      <w:r w:rsidR="002D2DA8">
        <w:rPr>
          <w:rFonts w:ascii="Arial" w:hAnsi="Arial" w:cs="Arial"/>
        </w:rPr>
        <w:t>T</w:t>
      </w:r>
      <w:r w:rsidR="002D2DA8" w:rsidRPr="00AB52F3">
        <w:rPr>
          <w:rFonts w:ascii="Arial" w:hAnsi="Arial" w:cs="Arial"/>
        </w:rPr>
        <w:t xml:space="preserve">ransformation on this scale </w:t>
      </w:r>
      <w:r w:rsidR="002D2DA8">
        <w:rPr>
          <w:rFonts w:ascii="Arial" w:hAnsi="Arial" w:cs="Arial"/>
        </w:rPr>
        <w:t>is a significant undertaking</w:t>
      </w:r>
      <w:r w:rsidR="006751BD">
        <w:rPr>
          <w:rFonts w:ascii="Arial" w:hAnsi="Arial" w:cs="Arial"/>
        </w:rPr>
        <w:t xml:space="preserve"> </w:t>
      </w:r>
      <w:r w:rsidR="00CC7853">
        <w:rPr>
          <w:rFonts w:ascii="Arial" w:hAnsi="Arial" w:cs="Arial"/>
        </w:rPr>
        <w:t>but necessary to ensure a strong</w:t>
      </w:r>
      <w:r w:rsidR="001C21F6">
        <w:rPr>
          <w:rFonts w:ascii="Arial" w:hAnsi="Arial" w:cs="Arial"/>
        </w:rPr>
        <w:t xml:space="preserve">, </w:t>
      </w:r>
      <w:r w:rsidR="00CC7853">
        <w:rPr>
          <w:rFonts w:ascii="Arial" w:hAnsi="Arial" w:cs="Arial"/>
        </w:rPr>
        <w:t xml:space="preserve">sustainable </w:t>
      </w:r>
      <w:r w:rsidR="001C21F6">
        <w:rPr>
          <w:rFonts w:ascii="Arial" w:hAnsi="Arial" w:cs="Arial"/>
        </w:rPr>
        <w:t>and agile business</w:t>
      </w:r>
      <w:r w:rsidR="00211233" w:rsidRPr="00E630F1">
        <w:rPr>
          <w:rFonts w:ascii="Arial" w:hAnsi="Arial" w:cs="Arial"/>
        </w:rPr>
        <w:t xml:space="preserve"> </w:t>
      </w:r>
      <w:r w:rsidR="001C21F6">
        <w:rPr>
          <w:rFonts w:ascii="Arial" w:hAnsi="Arial" w:cs="Arial"/>
        </w:rPr>
        <w:t xml:space="preserve">with </w:t>
      </w:r>
      <w:r w:rsidR="00211233" w:rsidRPr="00E630F1">
        <w:rPr>
          <w:rFonts w:ascii="Arial" w:hAnsi="Arial" w:cs="Arial"/>
        </w:rPr>
        <w:t>a superior customer proposition</w:t>
      </w:r>
      <w:r w:rsidR="00211233" w:rsidRPr="00E630F1">
        <w:rPr>
          <w:rFonts w:ascii="Arial" w:hAnsi="Arial"/>
        </w:rPr>
        <w:t>.</w:t>
      </w:r>
    </w:p>
    <w:p w14:paraId="4A4CEEE2" w14:textId="2B560976" w:rsidR="006D6070" w:rsidRDefault="006D6070" w:rsidP="00CC518E">
      <w:pPr>
        <w:jc w:val="left"/>
        <w:rPr>
          <w:rFonts w:ascii="Arial" w:hAnsi="Arial" w:cs="Arial"/>
        </w:rPr>
      </w:pPr>
    </w:p>
    <w:p w14:paraId="1EB5BA9A" w14:textId="4605FAFA" w:rsidR="006D6070" w:rsidRDefault="006D6070" w:rsidP="00CC518E">
      <w:pPr>
        <w:jc w:val="left"/>
        <w:rPr>
          <w:rFonts w:ascii="Arial" w:hAnsi="Arial" w:cs="Arial"/>
        </w:rPr>
      </w:pPr>
      <w:r>
        <w:rPr>
          <w:rFonts w:ascii="Arial" w:hAnsi="Arial" w:cs="Arial"/>
        </w:rPr>
        <w:t xml:space="preserve">The plan focuses on </w:t>
      </w:r>
      <w:r w:rsidR="007C11F7">
        <w:rPr>
          <w:rFonts w:ascii="Arial" w:hAnsi="Arial" w:cs="Arial"/>
        </w:rPr>
        <w:t xml:space="preserve">building the Kingfisher ‘engine’ through </w:t>
      </w:r>
      <w:r>
        <w:rPr>
          <w:rFonts w:ascii="Arial" w:hAnsi="Arial" w:cs="Arial"/>
        </w:rPr>
        <w:t>three strategic pillars:</w:t>
      </w:r>
    </w:p>
    <w:p w14:paraId="6AD84422" w14:textId="77777777" w:rsidR="006D6070" w:rsidRDefault="006D6070" w:rsidP="00CC518E">
      <w:pPr>
        <w:jc w:val="left"/>
        <w:rPr>
          <w:rFonts w:ascii="Arial" w:hAnsi="Arial" w:cs="Arial"/>
        </w:rPr>
      </w:pPr>
    </w:p>
    <w:p w14:paraId="4ED2ADEB" w14:textId="010B47BE" w:rsidR="006D6070" w:rsidRPr="00945E62" w:rsidRDefault="006751BD" w:rsidP="00946D9D">
      <w:pPr>
        <w:numPr>
          <w:ilvl w:val="0"/>
          <w:numId w:val="7"/>
        </w:numPr>
        <w:jc w:val="left"/>
        <w:rPr>
          <w:rFonts w:ascii="Arial" w:hAnsi="Arial" w:cs="Arial"/>
        </w:rPr>
      </w:pPr>
      <w:r>
        <w:rPr>
          <w:rFonts w:ascii="Arial" w:hAnsi="Arial" w:cs="Arial"/>
        </w:rPr>
        <w:t>C</w:t>
      </w:r>
      <w:r w:rsidR="006D6070" w:rsidRPr="00945E62">
        <w:rPr>
          <w:rFonts w:ascii="Arial" w:hAnsi="Arial" w:cs="Arial"/>
        </w:rPr>
        <w:t xml:space="preserve">reating a unified, unique and leading home improvement offer; </w:t>
      </w:r>
    </w:p>
    <w:p w14:paraId="0366E8B7" w14:textId="28CBF9D3" w:rsidR="006D6070" w:rsidRPr="00945E62" w:rsidRDefault="006751BD" w:rsidP="00946D9D">
      <w:pPr>
        <w:numPr>
          <w:ilvl w:val="0"/>
          <w:numId w:val="7"/>
        </w:numPr>
        <w:jc w:val="left"/>
        <w:rPr>
          <w:rFonts w:ascii="Arial" w:hAnsi="Arial" w:cs="Arial"/>
        </w:rPr>
      </w:pPr>
      <w:r>
        <w:rPr>
          <w:rFonts w:ascii="Arial" w:hAnsi="Arial" w:cs="Arial"/>
        </w:rPr>
        <w:t>D</w:t>
      </w:r>
      <w:r w:rsidR="006D6070" w:rsidRPr="00945E62">
        <w:rPr>
          <w:rFonts w:ascii="Arial" w:hAnsi="Arial" w:cs="Arial"/>
        </w:rPr>
        <w:t xml:space="preserve">riving our digital capability; and </w:t>
      </w:r>
    </w:p>
    <w:p w14:paraId="1DFA6DE1" w14:textId="343BD72A" w:rsidR="006D6070" w:rsidRPr="00945E62" w:rsidRDefault="006751BD" w:rsidP="00946D9D">
      <w:pPr>
        <w:numPr>
          <w:ilvl w:val="0"/>
          <w:numId w:val="7"/>
        </w:numPr>
        <w:jc w:val="left"/>
        <w:rPr>
          <w:rFonts w:ascii="Arial" w:hAnsi="Arial" w:cs="Arial"/>
        </w:rPr>
      </w:pPr>
      <w:r>
        <w:rPr>
          <w:rFonts w:ascii="Arial" w:hAnsi="Arial" w:cs="Arial"/>
        </w:rPr>
        <w:t>O</w:t>
      </w:r>
      <w:r w:rsidR="006D6070" w:rsidRPr="00945E62">
        <w:rPr>
          <w:rFonts w:ascii="Arial" w:hAnsi="Arial" w:cs="Arial"/>
        </w:rPr>
        <w:t xml:space="preserve">ptimising our operational efficiency. </w:t>
      </w:r>
    </w:p>
    <w:p w14:paraId="6F91FE38" w14:textId="5483C19C" w:rsidR="006D6070" w:rsidRDefault="006D6070" w:rsidP="00CC518E">
      <w:pPr>
        <w:jc w:val="left"/>
        <w:rPr>
          <w:rFonts w:ascii="Arial" w:hAnsi="Arial" w:cs="Arial"/>
        </w:rPr>
      </w:pPr>
    </w:p>
    <w:p w14:paraId="01BFF0B0" w14:textId="61FC0388" w:rsidR="008F0592" w:rsidRDefault="0022190A" w:rsidP="00716E6C">
      <w:pPr>
        <w:jc w:val="left"/>
        <w:rPr>
          <w:rFonts w:ascii="Arial" w:hAnsi="Arial" w:cs="Arial"/>
        </w:rPr>
      </w:pPr>
      <w:r w:rsidRPr="00A151D1">
        <w:rPr>
          <w:rFonts w:ascii="Arial" w:hAnsi="Arial" w:cs="Arial"/>
        </w:rPr>
        <w:t xml:space="preserve">In January 2016 </w:t>
      </w:r>
      <w:r w:rsidR="002B0E1F" w:rsidRPr="00A151D1">
        <w:rPr>
          <w:rFonts w:ascii="Arial" w:hAnsi="Arial" w:cs="Arial"/>
        </w:rPr>
        <w:t>we set ou</w:t>
      </w:r>
      <w:r w:rsidR="00CC518E" w:rsidRPr="00A151D1">
        <w:rPr>
          <w:rFonts w:ascii="Arial" w:hAnsi="Arial" w:cs="Arial"/>
        </w:rPr>
        <w:t>t</w:t>
      </w:r>
      <w:r w:rsidR="002B0E1F" w:rsidRPr="00A151D1">
        <w:rPr>
          <w:rFonts w:ascii="Arial" w:hAnsi="Arial" w:cs="Arial"/>
        </w:rPr>
        <w:t xml:space="preserve"> </w:t>
      </w:r>
      <w:r w:rsidR="007C11F7" w:rsidRPr="00A151D1">
        <w:rPr>
          <w:rFonts w:ascii="Arial" w:hAnsi="Arial" w:cs="Arial"/>
        </w:rPr>
        <w:t xml:space="preserve">the financial </w:t>
      </w:r>
      <w:r w:rsidR="002B0E1F" w:rsidRPr="00A151D1">
        <w:rPr>
          <w:rFonts w:ascii="Arial" w:hAnsi="Arial" w:cs="Arial"/>
        </w:rPr>
        <w:t xml:space="preserve">targets </w:t>
      </w:r>
      <w:r w:rsidR="007C11F7" w:rsidRPr="00A151D1">
        <w:rPr>
          <w:rFonts w:ascii="Arial" w:hAnsi="Arial" w:cs="Arial"/>
        </w:rPr>
        <w:t xml:space="preserve">of our transformation plan, </w:t>
      </w:r>
      <w:r w:rsidR="002B0E1F" w:rsidRPr="00A151D1">
        <w:rPr>
          <w:rFonts w:ascii="Arial" w:hAnsi="Arial" w:cs="Arial"/>
        </w:rPr>
        <w:t xml:space="preserve">with the </w:t>
      </w:r>
      <w:r w:rsidR="007C11F7" w:rsidRPr="00A151D1">
        <w:rPr>
          <w:rFonts w:ascii="Arial" w:hAnsi="Arial" w:cs="Arial"/>
        </w:rPr>
        <w:t xml:space="preserve">intention for the </w:t>
      </w:r>
      <w:r w:rsidR="002B0E1F" w:rsidRPr="00AF307A">
        <w:rPr>
          <w:rFonts w:ascii="Arial" w:hAnsi="Arial" w:cs="Arial"/>
        </w:rPr>
        <w:t>t</w:t>
      </w:r>
      <w:r w:rsidR="00CC518E" w:rsidRPr="007E20CF">
        <w:rPr>
          <w:rFonts w:ascii="Arial" w:hAnsi="Arial" w:cs="Arial"/>
        </w:rPr>
        <w:t xml:space="preserve">ransformation </w:t>
      </w:r>
      <w:r w:rsidR="00385C7D" w:rsidRPr="00AF307A">
        <w:rPr>
          <w:rFonts w:ascii="Arial" w:hAnsi="Arial" w:cs="Arial"/>
        </w:rPr>
        <w:t>to</w:t>
      </w:r>
      <w:r w:rsidR="00385C7D" w:rsidRPr="007E20CF">
        <w:rPr>
          <w:rFonts w:ascii="Arial" w:hAnsi="Arial" w:cs="Arial"/>
        </w:rPr>
        <w:t xml:space="preserve"> </w:t>
      </w:r>
      <w:r w:rsidR="00CC518E" w:rsidRPr="007E20CF">
        <w:rPr>
          <w:rFonts w:ascii="Arial" w:hAnsi="Arial" w:cs="Arial"/>
        </w:rPr>
        <w:t xml:space="preserve">deliver a sustainable annual profit uplift </w:t>
      </w:r>
      <w:r w:rsidR="007C11F7">
        <w:rPr>
          <w:rFonts w:ascii="Arial" w:hAnsi="Arial" w:cs="Arial"/>
        </w:rPr>
        <w:t xml:space="preserve">of £500m </w:t>
      </w:r>
      <w:r w:rsidR="00CC518E" w:rsidRPr="007E20CF">
        <w:rPr>
          <w:rFonts w:ascii="Arial" w:hAnsi="Arial" w:cs="Arial"/>
        </w:rPr>
        <w:t xml:space="preserve">by the end of FY 20/21, </w:t>
      </w:r>
      <w:bookmarkStart w:id="12" w:name="_Hlk508028375"/>
      <w:r w:rsidR="00CC518E" w:rsidRPr="007E20CF">
        <w:rPr>
          <w:rFonts w:ascii="Arial" w:hAnsi="Arial" w:cs="Arial"/>
        </w:rPr>
        <w:t xml:space="preserve">over and above </w:t>
      </w:r>
      <w:r w:rsidR="002374D7" w:rsidRPr="007E20CF">
        <w:rPr>
          <w:rFonts w:ascii="Arial" w:hAnsi="Arial" w:cs="Arial"/>
        </w:rPr>
        <w:t>what the business would have delivered without the plan</w:t>
      </w:r>
      <w:bookmarkEnd w:id="12"/>
      <w:r w:rsidR="002374D7" w:rsidRPr="007E20CF">
        <w:rPr>
          <w:rFonts w:ascii="Arial" w:hAnsi="Arial" w:cs="Arial"/>
        </w:rPr>
        <w:t xml:space="preserve">. </w:t>
      </w:r>
      <w:r w:rsidR="006751BD">
        <w:rPr>
          <w:rFonts w:ascii="Arial" w:hAnsi="Arial" w:cs="Arial"/>
        </w:rPr>
        <w:t>T</w:t>
      </w:r>
      <w:r w:rsidR="00337142" w:rsidRPr="00945E62">
        <w:rPr>
          <w:rFonts w:ascii="Arial" w:hAnsi="Arial" w:cs="Arial"/>
        </w:rPr>
        <w:t xml:space="preserve">he total expected cash cost of the transformation </w:t>
      </w:r>
      <w:r w:rsidR="00337142">
        <w:rPr>
          <w:rFonts w:ascii="Arial" w:hAnsi="Arial" w:cs="Arial"/>
        </w:rPr>
        <w:t xml:space="preserve">was </w:t>
      </w:r>
      <w:r w:rsidR="00337142" w:rsidRPr="00945E62">
        <w:rPr>
          <w:rFonts w:ascii="Arial" w:hAnsi="Arial" w:cs="Arial"/>
        </w:rPr>
        <w:t>£800m (P&amp;L, exceptional and capex).</w:t>
      </w:r>
    </w:p>
    <w:p w14:paraId="67354000" w14:textId="77777777" w:rsidR="008F0592" w:rsidRDefault="008F0592" w:rsidP="00716E6C">
      <w:pPr>
        <w:jc w:val="left"/>
        <w:rPr>
          <w:rFonts w:ascii="Arial" w:hAnsi="Arial" w:cs="Arial"/>
        </w:rPr>
      </w:pPr>
    </w:p>
    <w:p w14:paraId="4EE382D4" w14:textId="10BD99E8" w:rsidR="00C6423F" w:rsidRDefault="008F0592" w:rsidP="00DD63FD">
      <w:pPr>
        <w:jc w:val="left"/>
        <w:rPr>
          <w:rFonts w:ascii="Arial" w:hAnsi="Arial" w:cs="Arial"/>
        </w:rPr>
      </w:pPr>
      <w:r w:rsidRPr="00A151D1">
        <w:rPr>
          <w:rFonts w:ascii="Arial" w:hAnsi="Arial" w:cs="Arial"/>
        </w:rPr>
        <w:t xml:space="preserve">Three years into </w:t>
      </w:r>
      <w:r w:rsidR="00337142" w:rsidRPr="00A151D1">
        <w:rPr>
          <w:rFonts w:ascii="Arial" w:hAnsi="Arial" w:cs="Arial"/>
        </w:rPr>
        <w:t xml:space="preserve">the </w:t>
      </w:r>
      <w:r w:rsidRPr="00A151D1">
        <w:rPr>
          <w:rFonts w:ascii="Arial" w:hAnsi="Arial" w:cs="Arial"/>
        </w:rPr>
        <w:t>five</w:t>
      </w:r>
      <w:r w:rsidR="00337142" w:rsidRPr="00A151D1">
        <w:rPr>
          <w:rFonts w:ascii="Arial" w:hAnsi="Arial" w:cs="Arial"/>
        </w:rPr>
        <w:t>-</w:t>
      </w:r>
      <w:r w:rsidRPr="00A151D1">
        <w:rPr>
          <w:rFonts w:ascii="Arial" w:hAnsi="Arial" w:cs="Arial"/>
        </w:rPr>
        <w:t xml:space="preserve">year </w:t>
      </w:r>
      <w:r w:rsidR="00DD63FD" w:rsidRPr="00A151D1">
        <w:rPr>
          <w:rFonts w:ascii="Arial" w:hAnsi="Arial" w:cs="Arial"/>
        </w:rPr>
        <w:t>plan</w:t>
      </w:r>
      <w:r w:rsidR="00337142" w:rsidRPr="00A151D1">
        <w:rPr>
          <w:rFonts w:ascii="Arial" w:hAnsi="Arial" w:cs="Arial"/>
        </w:rPr>
        <w:t>,</w:t>
      </w:r>
      <w:r w:rsidR="00B17619" w:rsidRPr="00A151D1">
        <w:rPr>
          <w:rFonts w:ascii="Arial" w:hAnsi="Arial" w:cs="Arial"/>
        </w:rPr>
        <w:t xml:space="preserve"> we have </w:t>
      </w:r>
      <w:r w:rsidR="00337142" w:rsidRPr="00A151D1">
        <w:rPr>
          <w:rFonts w:ascii="Arial" w:hAnsi="Arial" w:cs="Arial"/>
        </w:rPr>
        <w:t>significant</w:t>
      </w:r>
      <w:r w:rsidR="00220496" w:rsidRPr="00A151D1">
        <w:rPr>
          <w:rFonts w:ascii="Arial" w:hAnsi="Arial" w:cs="Arial"/>
        </w:rPr>
        <w:t>ly</w:t>
      </w:r>
      <w:r w:rsidR="00337142" w:rsidRPr="00A151D1">
        <w:rPr>
          <w:rFonts w:ascii="Arial" w:hAnsi="Arial" w:cs="Arial"/>
        </w:rPr>
        <w:t xml:space="preserve"> </w:t>
      </w:r>
      <w:r w:rsidR="00B17619" w:rsidRPr="00A151D1">
        <w:rPr>
          <w:rFonts w:ascii="Arial" w:hAnsi="Arial" w:cs="Arial"/>
        </w:rPr>
        <w:t>reorganis</w:t>
      </w:r>
      <w:r w:rsidR="00220496" w:rsidRPr="00A151D1">
        <w:rPr>
          <w:rFonts w:ascii="Arial" w:hAnsi="Arial" w:cs="Arial"/>
        </w:rPr>
        <w:t>ed</w:t>
      </w:r>
      <w:r w:rsidR="00B17619" w:rsidRPr="00A151D1">
        <w:rPr>
          <w:rFonts w:ascii="Arial" w:hAnsi="Arial" w:cs="Arial"/>
        </w:rPr>
        <w:t xml:space="preserve"> </w:t>
      </w:r>
      <w:r w:rsidR="00220496" w:rsidRPr="00A151D1">
        <w:rPr>
          <w:rFonts w:ascii="Arial" w:hAnsi="Arial" w:cs="Arial"/>
        </w:rPr>
        <w:t>our</w:t>
      </w:r>
      <w:r w:rsidR="00B17619" w:rsidRPr="00A151D1">
        <w:rPr>
          <w:rFonts w:ascii="Arial" w:hAnsi="Arial" w:cs="Arial"/>
        </w:rPr>
        <w:t xml:space="preserve"> </w:t>
      </w:r>
      <w:r w:rsidR="00CF245B" w:rsidRPr="00A151D1">
        <w:rPr>
          <w:rFonts w:ascii="Arial" w:hAnsi="Arial" w:cs="Arial"/>
        </w:rPr>
        <w:t xml:space="preserve">business including </w:t>
      </w:r>
      <w:r w:rsidR="00220496" w:rsidRPr="00255A0D">
        <w:rPr>
          <w:rFonts w:ascii="Arial" w:hAnsi="Arial" w:cs="Arial"/>
        </w:rPr>
        <w:t xml:space="preserve">establishing </w:t>
      </w:r>
      <w:r w:rsidR="00C069A1">
        <w:rPr>
          <w:rFonts w:ascii="Arial" w:hAnsi="Arial" w:cs="Arial"/>
        </w:rPr>
        <w:t>a</w:t>
      </w:r>
      <w:r w:rsidR="00C069A1" w:rsidRPr="00220496">
        <w:rPr>
          <w:rFonts w:ascii="Arial" w:hAnsi="Arial" w:cs="Arial"/>
        </w:rPr>
        <w:t xml:space="preserve"> </w:t>
      </w:r>
      <w:r w:rsidR="00923D2B" w:rsidRPr="00220496">
        <w:rPr>
          <w:rFonts w:ascii="Arial" w:hAnsi="Arial" w:cs="Arial"/>
        </w:rPr>
        <w:t>single buying organisation</w:t>
      </w:r>
      <w:r w:rsidR="002D6205">
        <w:rPr>
          <w:rFonts w:ascii="Arial" w:hAnsi="Arial" w:cs="Arial"/>
        </w:rPr>
        <w:t>, which is leveraging the scale of the Group,</w:t>
      </w:r>
      <w:r w:rsidR="00220496">
        <w:rPr>
          <w:rFonts w:ascii="Arial" w:hAnsi="Arial" w:cs="Arial"/>
        </w:rPr>
        <w:t xml:space="preserve"> and </w:t>
      </w:r>
      <w:r w:rsidR="00BE48AC">
        <w:rPr>
          <w:rFonts w:ascii="Arial" w:hAnsi="Arial" w:cs="Arial"/>
        </w:rPr>
        <w:t>implementing a unified IT infrastructure</w:t>
      </w:r>
      <w:r w:rsidR="00923D2B" w:rsidRPr="00220496">
        <w:rPr>
          <w:rFonts w:ascii="Arial" w:hAnsi="Arial" w:cs="Arial"/>
        </w:rPr>
        <w:t xml:space="preserve">. </w:t>
      </w:r>
      <w:r w:rsidR="00CF245B" w:rsidRPr="00220496">
        <w:rPr>
          <w:rFonts w:ascii="Arial" w:hAnsi="Arial" w:cs="Arial"/>
        </w:rPr>
        <w:t>F</w:t>
      </w:r>
      <w:r w:rsidR="00B17619" w:rsidRPr="00220496">
        <w:rPr>
          <w:rFonts w:ascii="Arial" w:hAnsi="Arial" w:cs="Arial"/>
        </w:rPr>
        <w:t>or the third year in a row we have</w:t>
      </w:r>
      <w:r w:rsidR="00EF082F">
        <w:rPr>
          <w:rFonts w:ascii="Arial" w:hAnsi="Arial" w:cs="Arial"/>
        </w:rPr>
        <w:t xml:space="preserve"> substantially</w:t>
      </w:r>
      <w:r w:rsidR="00B17619" w:rsidRPr="00220496">
        <w:rPr>
          <w:rFonts w:ascii="Arial" w:hAnsi="Arial" w:cs="Arial"/>
        </w:rPr>
        <w:t xml:space="preserve"> delivered our </w:t>
      </w:r>
      <w:r w:rsidR="00B17619">
        <w:rPr>
          <w:rFonts w:ascii="Arial" w:hAnsi="Arial" w:cs="Arial"/>
        </w:rPr>
        <w:t>strategic milestones</w:t>
      </w:r>
      <w:r w:rsidR="001C21F6">
        <w:rPr>
          <w:rFonts w:ascii="Arial" w:hAnsi="Arial" w:cs="Arial"/>
        </w:rPr>
        <w:t xml:space="preserve">, </w:t>
      </w:r>
      <w:r w:rsidR="001C21F6" w:rsidRPr="00B078BF">
        <w:rPr>
          <w:rFonts w:ascii="Arial" w:hAnsi="Arial" w:cs="Arial"/>
        </w:rPr>
        <w:t xml:space="preserve">against the backdrop of profound changes in the retail </w:t>
      </w:r>
      <w:r w:rsidR="001C21F6" w:rsidRPr="001A1923">
        <w:rPr>
          <w:rFonts w:ascii="Arial" w:hAnsi="Arial" w:cs="Arial"/>
        </w:rPr>
        <w:t>landscape and an uncertain macroeconomic environment</w:t>
      </w:r>
      <w:r w:rsidR="00B17619" w:rsidRPr="001A1923">
        <w:rPr>
          <w:rFonts w:ascii="Arial" w:hAnsi="Arial" w:cs="Arial"/>
        </w:rPr>
        <w:t xml:space="preserve">. </w:t>
      </w:r>
      <w:r w:rsidRPr="001A1923">
        <w:rPr>
          <w:rFonts w:ascii="Arial" w:hAnsi="Arial" w:cs="Arial"/>
        </w:rPr>
        <w:t xml:space="preserve">We have unified </w:t>
      </w:r>
      <w:r w:rsidRPr="00C2187E">
        <w:rPr>
          <w:rFonts w:ascii="Arial" w:hAnsi="Arial" w:cs="Arial"/>
        </w:rPr>
        <w:t>4</w:t>
      </w:r>
      <w:r w:rsidR="001A1923" w:rsidRPr="00C2187E">
        <w:rPr>
          <w:rFonts w:ascii="Arial" w:hAnsi="Arial"/>
        </w:rPr>
        <w:t>4</w:t>
      </w:r>
      <w:r w:rsidRPr="001A1923">
        <w:rPr>
          <w:rFonts w:ascii="Arial" w:hAnsi="Arial" w:cs="Arial"/>
        </w:rPr>
        <w:t xml:space="preserve">% of our products (COGS) </w:t>
      </w:r>
      <w:r w:rsidR="00B17619" w:rsidRPr="001A1923">
        <w:rPr>
          <w:rFonts w:ascii="Arial" w:hAnsi="Arial" w:cs="Arial"/>
        </w:rPr>
        <w:t>(exit</w:t>
      </w:r>
      <w:r w:rsidR="00CF245B" w:rsidRPr="001A1923">
        <w:rPr>
          <w:rFonts w:ascii="Arial" w:hAnsi="Arial" w:cs="Arial"/>
        </w:rPr>
        <w:t xml:space="preserve">ing FY 18/19 at </w:t>
      </w:r>
      <w:r w:rsidR="00D931B4" w:rsidRPr="00C2187E">
        <w:rPr>
          <w:rFonts w:ascii="Arial" w:hAnsi="Arial" w:cs="Arial"/>
        </w:rPr>
        <w:t>50</w:t>
      </w:r>
      <w:r w:rsidR="00B17619" w:rsidRPr="001A1923">
        <w:rPr>
          <w:rFonts w:ascii="Arial" w:hAnsi="Arial" w:cs="Arial"/>
        </w:rPr>
        <w:t xml:space="preserve">%) </w:t>
      </w:r>
      <w:r w:rsidRPr="001A1923">
        <w:rPr>
          <w:rFonts w:ascii="Arial" w:hAnsi="Arial" w:cs="Arial"/>
        </w:rPr>
        <w:t xml:space="preserve">with </w:t>
      </w:r>
      <w:r w:rsidR="00CF245B" w:rsidRPr="001A1923">
        <w:rPr>
          <w:rFonts w:ascii="Arial" w:hAnsi="Arial" w:cs="Arial"/>
        </w:rPr>
        <w:t xml:space="preserve">the </w:t>
      </w:r>
      <w:r w:rsidRPr="001A1923">
        <w:rPr>
          <w:rFonts w:ascii="Arial" w:hAnsi="Arial" w:cs="Arial"/>
        </w:rPr>
        <w:t xml:space="preserve">sales and margin </w:t>
      </w:r>
      <w:r w:rsidR="00CF245B" w:rsidRPr="001A1923">
        <w:rPr>
          <w:rFonts w:ascii="Arial" w:hAnsi="Arial" w:cs="Arial"/>
        </w:rPr>
        <w:t xml:space="preserve">from unified </w:t>
      </w:r>
      <w:r w:rsidR="00A13A05">
        <w:rPr>
          <w:rFonts w:ascii="Arial" w:hAnsi="Arial" w:cs="Arial"/>
        </w:rPr>
        <w:t>&amp;</w:t>
      </w:r>
      <w:r w:rsidR="00A13A05" w:rsidRPr="001A1923">
        <w:rPr>
          <w:rFonts w:ascii="Arial" w:hAnsi="Arial" w:cs="Arial"/>
        </w:rPr>
        <w:t xml:space="preserve"> </w:t>
      </w:r>
      <w:r w:rsidR="00CF245B" w:rsidRPr="001A1923">
        <w:rPr>
          <w:rFonts w:ascii="Arial" w:hAnsi="Arial" w:cs="Arial"/>
        </w:rPr>
        <w:t>unique ranges</w:t>
      </w:r>
      <w:r w:rsidR="00BE48AC">
        <w:rPr>
          <w:rFonts w:ascii="Arial" w:hAnsi="Arial" w:cs="Arial"/>
        </w:rPr>
        <w:t xml:space="preserve"> continuing to</w:t>
      </w:r>
      <w:r w:rsidR="00CF245B">
        <w:rPr>
          <w:rFonts w:ascii="Arial" w:hAnsi="Arial" w:cs="Arial"/>
        </w:rPr>
        <w:t xml:space="preserve"> </w:t>
      </w:r>
      <w:r w:rsidRPr="00AB52F3">
        <w:rPr>
          <w:rFonts w:ascii="Arial" w:hAnsi="Arial" w:cs="Arial"/>
        </w:rPr>
        <w:t>grow</w:t>
      </w:r>
      <w:r w:rsidR="00BE48AC">
        <w:rPr>
          <w:rFonts w:ascii="Arial" w:hAnsi="Arial" w:cs="Arial"/>
        </w:rPr>
        <w:t xml:space="preserve"> and outperforming our non-unified ranges</w:t>
      </w:r>
      <w:r w:rsidRPr="00AB52F3">
        <w:rPr>
          <w:rFonts w:ascii="Arial" w:hAnsi="Arial" w:cs="Arial"/>
        </w:rPr>
        <w:t xml:space="preserve">. </w:t>
      </w:r>
      <w:r w:rsidR="00CF245B">
        <w:rPr>
          <w:rFonts w:ascii="Arial" w:hAnsi="Arial" w:cs="Arial"/>
        </w:rPr>
        <w:t xml:space="preserve">Our </w:t>
      </w:r>
      <w:r w:rsidRPr="00AB52F3">
        <w:rPr>
          <w:rFonts w:ascii="Arial" w:hAnsi="Arial" w:cs="Arial"/>
        </w:rPr>
        <w:t xml:space="preserve">unified IT platform </w:t>
      </w:r>
      <w:r w:rsidR="002D6205">
        <w:rPr>
          <w:rFonts w:ascii="Arial" w:hAnsi="Arial" w:cs="Arial"/>
        </w:rPr>
        <w:t>implementation</w:t>
      </w:r>
      <w:r w:rsidR="002D6205" w:rsidRPr="00AB52F3">
        <w:rPr>
          <w:rFonts w:ascii="Arial" w:hAnsi="Arial" w:cs="Arial"/>
        </w:rPr>
        <w:t xml:space="preserve"> </w:t>
      </w:r>
      <w:r w:rsidRPr="00AB52F3">
        <w:rPr>
          <w:rFonts w:ascii="Arial" w:hAnsi="Arial" w:cs="Arial"/>
        </w:rPr>
        <w:t xml:space="preserve">is </w:t>
      </w:r>
      <w:r w:rsidR="00E1060D">
        <w:rPr>
          <w:rFonts w:ascii="Arial" w:hAnsi="Arial" w:cs="Arial"/>
        </w:rPr>
        <w:t xml:space="preserve">substantially </w:t>
      </w:r>
      <w:proofErr w:type="gramStart"/>
      <w:r w:rsidR="00E1060D">
        <w:rPr>
          <w:rFonts w:ascii="Arial" w:hAnsi="Arial" w:cs="Arial"/>
        </w:rPr>
        <w:t>complete</w:t>
      </w:r>
      <w:proofErr w:type="gramEnd"/>
      <w:r w:rsidR="00E1060D">
        <w:rPr>
          <w:rFonts w:ascii="Arial" w:hAnsi="Arial" w:cs="Arial"/>
          <w:bCs/>
          <w:szCs w:val="24"/>
        </w:rPr>
        <w:t xml:space="preserve"> and</w:t>
      </w:r>
      <w:r w:rsidR="00CF245B" w:rsidRPr="001A1923">
        <w:rPr>
          <w:rFonts w:ascii="Arial" w:hAnsi="Arial" w:cs="Arial"/>
        </w:rPr>
        <w:t xml:space="preserve"> </w:t>
      </w:r>
      <w:r w:rsidR="00E1060D">
        <w:rPr>
          <w:rFonts w:ascii="Arial" w:hAnsi="Arial" w:cs="Arial"/>
        </w:rPr>
        <w:t>o</w:t>
      </w:r>
      <w:r w:rsidRPr="001A1923">
        <w:rPr>
          <w:rFonts w:ascii="Arial" w:hAnsi="Arial" w:cs="Arial"/>
        </w:rPr>
        <w:t xml:space="preserve">ur digital sales </w:t>
      </w:r>
      <w:r w:rsidRPr="00C2187E">
        <w:rPr>
          <w:rFonts w:ascii="Arial" w:hAnsi="Arial"/>
        </w:rPr>
        <w:t>continue to grow</w:t>
      </w:r>
      <w:r w:rsidRPr="001A1923">
        <w:rPr>
          <w:rFonts w:ascii="Arial" w:hAnsi="Arial" w:cs="Arial"/>
        </w:rPr>
        <w:t>, now</w:t>
      </w:r>
      <w:r w:rsidRPr="00EC4637">
        <w:rPr>
          <w:rFonts w:ascii="Arial" w:hAnsi="Arial" w:cs="Arial"/>
        </w:rPr>
        <w:t xml:space="preserve"> </w:t>
      </w:r>
      <w:r w:rsidRPr="001A1923">
        <w:rPr>
          <w:rFonts w:ascii="Arial" w:hAnsi="Arial" w:cs="Arial"/>
        </w:rPr>
        <w:t xml:space="preserve">reaching </w:t>
      </w:r>
      <w:r w:rsidRPr="00C2187E">
        <w:rPr>
          <w:rFonts w:ascii="Arial" w:hAnsi="Arial"/>
        </w:rPr>
        <w:t>6</w:t>
      </w:r>
      <w:r w:rsidRPr="001A1923">
        <w:rPr>
          <w:rFonts w:ascii="Arial" w:hAnsi="Arial" w:cs="Arial"/>
        </w:rPr>
        <w:t>% of the Group</w:t>
      </w:r>
      <w:r w:rsidR="00B17619" w:rsidRPr="001A1923">
        <w:rPr>
          <w:rFonts w:ascii="Arial" w:hAnsi="Arial" w:cs="Arial"/>
        </w:rPr>
        <w:t>.</w:t>
      </w:r>
      <w:r w:rsidRPr="001A1923">
        <w:rPr>
          <w:rFonts w:ascii="Arial" w:hAnsi="Arial" w:cs="Arial"/>
        </w:rPr>
        <w:t xml:space="preserve"> </w:t>
      </w:r>
      <w:r w:rsidR="002D2DA8" w:rsidRPr="001A1923">
        <w:rPr>
          <w:rFonts w:ascii="Arial" w:hAnsi="Arial" w:cs="Arial"/>
        </w:rPr>
        <w:t>And finally, o</w:t>
      </w:r>
      <w:r w:rsidRPr="001A1923">
        <w:rPr>
          <w:rFonts w:ascii="Arial" w:hAnsi="Arial" w:cs="Arial"/>
        </w:rPr>
        <w:t xml:space="preserve">ur </w:t>
      </w:r>
      <w:r w:rsidRPr="00A151D1">
        <w:rPr>
          <w:rFonts w:ascii="Arial" w:hAnsi="Arial" w:cs="Arial"/>
        </w:rPr>
        <w:t>operational efficiency initiatives have delivered £</w:t>
      </w:r>
      <w:r w:rsidR="00C069A1" w:rsidRPr="00A151D1">
        <w:rPr>
          <w:rFonts w:ascii="Arial" w:hAnsi="Arial" w:cs="Arial"/>
        </w:rPr>
        <w:t>100</w:t>
      </w:r>
      <w:r w:rsidRPr="00A151D1">
        <w:rPr>
          <w:rFonts w:ascii="Arial" w:hAnsi="Arial" w:cs="Arial"/>
        </w:rPr>
        <w:t>m of savings to date.</w:t>
      </w:r>
      <w:r>
        <w:rPr>
          <w:rFonts w:ascii="Arial" w:hAnsi="Arial" w:cs="Arial"/>
        </w:rPr>
        <w:t xml:space="preserve"> </w:t>
      </w:r>
    </w:p>
    <w:p w14:paraId="7F863A52" w14:textId="77777777" w:rsidR="00C6423F" w:rsidRDefault="00C6423F" w:rsidP="00DD63FD">
      <w:pPr>
        <w:jc w:val="left"/>
        <w:rPr>
          <w:rFonts w:ascii="Arial" w:hAnsi="Arial" w:cs="Arial"/>
        </w:rPr>
      </w:pPr>
    </w:p>
    <w:p w14:paraId="7BAEB79B" w14:textId="70D52010" w:rsidR="00716E6C" w:rsidRPr="00945E62" w:rsidRDefault="003E0C6A" w:rsidP="00716E6C">
      <w:pPr>
        <w:jc w:val="left"/>
        <w:rPr>
          <w:rFonts w:ascii="Arial" w:hAnsi="Arial" w:cs="Arial"/>
        </w:rPr>
      </w:pPr>
      <w:r w:rsidRPr="00B078BF">
        <w:rPr>
          <w:rFonts w:ascii="Arial" w:hAnsi="Arial" w:cs="Arial"/>
        </w:rPr>
        <w:t>T</w:t>
      </w:r>
      <w:r w:rsidR="00DD63FD" w:rsidRPr="00B078BF">
        <w:rPr>
          <w:rFonts w:ascii="Arial" w:hAnsi="Arial" w:cs="Arial"/>
        </w:rPr>
        <w:t xml:space="preserve">he </w:t>
      </w:r>
      <w:r w:rsidR="00FB2DAB" w:rsidRPr="00B078BF">
        <w:rPr>
          <w:rFonts w:ascii="Arial" w:hAnsi="Arial" w:cs="Arial"/>
        </w:rPr>
        <w:t xml:space="preserve">transformation </w:t>
      </w:r>
      <w:r w:rsidR="00DD63FD" w:rsidRPr="00B078BF">
        <w:rPr>
          <w:rFonts w:ascii="Arial" w:hAnsi="Arial" w:cs="Arial"/>
        </w:rPr>
        <w:t xml:space="preserve">plan </w:t>
      </w:r>
      <w:r w:rsidR="00EF082F">
        <w:rPr>
          <w:rFonts w:ascii="Arial" w:hAnsi="Arial" w:cs="Arial"/>
        </w:rPr>
        <w:t>is delivering</w:t>
      </w:r>
      <w:r w:rsidRPr="00B078BF">
        <w:rPr>
          <w:rFonts w:ascii="Arial" w:hAnsi="Arial" w:cs="Arial"/>
        </w:rPr>
        <w:t xml:space="preserve">. </w:t>
      </w:r>
      <w:r w:rsidR="0010059F" w:rsidRPr="00B078BF">
        <w:rPr>
          <w:rFonts w:ascii="Arial" w:hAnsi="Arial" w:cs="Arial"/>
        </w:rPr>
        <w:t xml:space="preserve">After </w:t>
      </w:r>
      <w:r w:rsidR="006D6070" w:rsidRPr="00B078BF">
        <w:rPr>
          <w:rFonts w:ascii="Arial" w:hAnsi="Arial" w:cs="Arial"/>
        </w:rPr>
        <w:t>the first</w:t>
      </w:r>
      <w:r w:rsidR="006D6070" w:rsidRPr="00AF307A">
        <w:rPr>
          <w:rFonts w:ascii="Arial" w:hAnsi="Arial" w:cs="Arial"/>
        </w:rPr>
        <w:t xml:space="preserve"> three years</w:t>
      </w:r>
      <w:r w:rsidR="00B14821">
        <w:rPr>
          <w:rFonts w:ascii="Arial" w:hAnsi="Arial" w:cs="Arial"/>
        </w:rPr>
        <w:t>,</w:t>
      </w:r>
      <w:r w:rsidR="006D6070" w:rsidRPr="00AF307A">
        <w:rPr>
          <w:rFonts w:ascii="Arial" w:hAnsi="Arial" w:cs="Arial"/>
        </w:rPr>
        <w:t xml:space="preserve"> </w:t>
      </w:r>
      <w:r>
        <w:rPr>
          <w:rFonts w:ascii="Arial" w:hAnsi="Arial" w:cs="Arial"/>
        </w:rPr>
        <w:t xml:space="preserve">the </w:t>
      </w:r>
      <w:r w:rsidR="00B14821">
        <w:rPr>
          <w:rFonts w:ascii="Arial" w:hAnsi="Arial" w:cs="Arial"/>
        </w:rPr>
        <w:t xml:space="preserve">benefits </w:t>
      </w:r>
      <w:r w:rsidR="0010059F">
        <w:rPr>
          <w:rFonts w:ascii="Arial" w:hAnsi="Arial" w:cs="Arial"/>
        </w:rPr>
        <w:t xml:space="preserve">from </w:t>
      </w:r>
      <w:r w:rsidR="00B078BF">
        <w:rPr>
          <w:rFonts w:ascii="Arial" w:hAnsi="Arial" w:cs="Arial"/>
        </w:rPr>
        <w:t xml:space="preserve">the </w:t>
      </w:r>
      <w:r w:rsidR="0010059F">
        <w:rPr>
          <w:rFonts w:ascii="Arial" w:hAnsi="Arial" w:cs="Arial"/>
        </w:rPr>
        <w:t xml:space="preserve">transformation </w:t>
      </w:r>
      <w:r w:rsidR="00B14821">
        <w:rPr>
          <w:rFonts w:ascii="Arial" w:hAnsi="Arial" w:cs="Arial"/>
        </w:rPr>
        <w:t>are</w:t>
      </w:r>
      <w:r>
        <w:rPr>
          <w:rFonts w:ascii="Arial" w:hAnsi="Arial" w:cs="Arial"/>
        </w:rPr>
        <w:t xml:space="preserve"> in line with our initial plan</w:t>
      </w:r>
      <w:r w:rsidR="00F826A6">
        <w:rPr>
          <w:rFonts w:ascii="Arial" w:hAnsi="Arial" w:cs="Arial"/>
        </w:rPr>
        <w:t>.</w:t>
      </w:r>
      <w:r>
        <w:rPr>
          <w:rFonts w:ascii="Arial" w:hAnsi="Arial" w:cs="Arial"/>
        </w:rPr>
        <w:t xml:space="preserve"> </w:t>
      </w:r>
      <w:r w:rsidR="00F826A6">
        <w:rPr>
          <w:rFonts w:ascii="Arial" w:hAnsi="Arial" w:cs="Arial"/>
        </w:rPr>
        <w:t xml:space="preserve">However, </w:t>
      </w:r>
      <w:r>
        <w:rPr>
          <w:rFonts w:ascii="Arial" w:hAnsi="Arial" w:cs="Arial"/>
        </w:rPr>
        <w:t>th</w:t>
      </w:r>
      <w:r w:rsidR="002D6205">
        <w:rPr>
          <w:rFonts w:ascii="Arial" w:hAnsi="Arial" w:cs="Arial"/>
        </w:rPr>
        <w:t>is has</w:t>
      </w:r>
      <w:r>
        <w:rPr>
          <w:rFonts w:ascii="Arial" w:hAnsi="Arial" w:cs="Arial"/>
        </w:rPr>
        <w:t xml:space="preserve"> been </w:t>
      </w:r>
      <w:r w:rsidR="00924104">
        <w:rPr>
          <w:rFonts w:ascii="Arial" w:hAnsi="Arial" w:cs="Arial"/>
        </w:rPr>
        <w:t>outweighed</w:t>
      </w:r>
      <w:r>
        <w:rPr>
          <w:rFonts w:ascii="Arial" w:hAnsi="Arial" w:cs="Arial"/>
        </w:rPr>
        <w:t xml:space="preserve"> by weakness in our base business, or ‘business as usual’ (BAU)</w:t>
      </w:r>
      <w:r w:rsidR="00F826A6">
        <w:rPr>
          <w:rFonts w:ascii="Arial" w:hAnsi="Arial" w:cs="Arial"/>
        </w:rPr>
        <w:t xml:space="preserve">, </w:t>
      </w:r>
      <w:r w:rsidR="00F826A6" w:rsidRPr="00F826A6">
        <w:rPr>
          <w:rFonts w:ascii="Arial" w:hAnsi="Arial" w:cs="Arial"/>
          <w:bCs/>
        </w:rPr>
        <w:t xml:space="preserve">due to a combination of </w:t>
      </w:r>
      <w:r w:rsidR="00F826A6">
        <w:rPr>
          <w:rFonts w:ascii="Arial" w:hAnsi="Arial" w:cs="Arial"/>
          <w:bCs/>
        </w:rPr>
        <w:t>‘</w:t>
      </w:r>
      <w:r w:rsidR="00F826A6" w:rsidRPr="00F826A6">
        <w:rPr>
          <w:rFonts w:ascii="Arial" w:hAnsi="Arial" w:cs="Arial"/>
        </w:rPr>
        <w:t>internal</w:t>
      </w:r>
      <w:r w:rsidR="00F826A6">
        <w:rPr>
          <w:rFonts w:ascii="Arial" w:hAnsi="Arial" w:cs="Arial"/>
        </w:rPr>
        <w:t>’</w:t>
      </w:r>
      <w:r w:rsidR="00F826A6" w:rsidRPr="00F826A6">
        <w:rPr>
          <w:rFonts w:ascii="Arial" w:hAnsi="Arial" w:cs="Arial"/>
        </w:rPr>
        <w:t xml:space="preserve"> </w:t>
      </w:r>
      <w:r w:rsidR="00F826A6">
        <w:rPr>
          <w:rFonts w:ascii="Arial" w:hAnsi="Arial" w:cs="Arial"/>
        </w:rPr>
        <w:t xml:space="preserve">factors </w:t>
      </w:r>
      <w:r w:rsidR="00F826A6" w:rsidRPr="00F826A6">
        <w:rPr>
          <w:rFonts w:ascii="Arial" w:hAnsi="Arial" w:cs="Arial"/>
        </w:rPr>
        <w:t xml:space="preserve">and </w:t>
      </w:r>
      <w:r w:rsidR="00A13A05">
        <w:rPr>
          <w:rFonts w:ascii="Arial" w:hAnsi="Arial" w:cs="Arial"/>
        </w:rPr>
        <w:t>‘</w:t>
      </w:r>
      <w:r w:rsidR="00F826A6" w:rsidRPr="00F826A6">
        <w:rPr>
          <w:rFonts w:ascii="Arial" w:hAnsi="Arial" w:cs="Arial"/>
        </w:rPr>
        <w:t>external</w:t>
      </w:r>
      <w:r w:rsidR="00A13A05">
        <w:rPr>
          <w:rFonts w:ascii="Arial" w:hAnsi="Arial" w:cs="Arial"/>
        </w:rPr>
        <w:t>’</w:t>
      </w:r>
      <w:r w:rsidR="00F826A6" w:rsidRPr="00F826A6">
        <w:rPr>
          <w:rFonts w:ascii="Arial" w:hAnsi="Arial" w:cs="Arial"/>
        </w:rPr>
        <w:t xml:space="preserve"> </w:t>
      </w:r>
      <w:r w:rsidR="00F826A6">
        <w:rPr>
          <w:rFonts w:ascii="Arial" w:hAnsi="Arial" w:cs="Arial"/>
        </w:rPr>
        <w:t>challenges</w:t>
      </w:r>
      <w:r w:rsidR="007E20CF" w:rsidRPr="00716E6C">
        <w:rPr>
          <w:rFonts w:ascii="Arial" w:hAnsi="Arial" w:cs="Arial"/>
        </w:rPr>
        <w:t xml:space="preserve">. </w:t>
      </w:r>
      <w:r w:rsidR="0010059F">
        <w:rPr>
          <w:rFonts w:ascii="Arial" w:hAnsi="Arial" w:cs="Arial"/>
        </w:rPr>
        <w:t xml:space="preserve">Over the same time, </w:t>
      </w:r>
      <w:r w:rsidR="00976491">
        <w:rPr>
          <w:rFonts w:ascii="Arial" w:hAnsi="Arial" w:cs="Arial"/>
        </w:rPr>
        <w:t xml:space="preserve">a significant proportion of </w:t>
      </w:r>
      <w:r w:rsidR="0010059F">
        <w:rPr>
          <w:rFonts w:ascii="Arial" w:hAnsi="Arial" w:cs="Arial"/>
        </w:rPr>
        <w:t>t</w:t>
      </w:r>
      <w:r w:rsidR="0042367B">
        <w:rPr>
          <w:rFonts w:ascii="Arial" w:hAnsi="Arial" w:cs="Arial"/>
        </w:rPr>
        <w:t xml:space="preserve">he costs to deliver </w:t>
      </w:r>
      <w:r w:rsidR="0010059F">
        <w:rPr>
          <w:rFonts w:ascii="Arial" w:hAnsi="Arial" w:cs="Arial"/>
        </w:rPr>
        <w:t xml:space="preserve">the transformation </w:t>
      </w:r>
      <w:r w:rsidR="00976491">
        <w:rPr>
          <w:rFonts w:ascii="Arial" w:hAnsi="Arial" w:cs="Arial"/>
        </w:rPr>
        <w:t>ha</w:t>
      </w:r>
      <w:r w:rsidR="003A2792">
        <w:rPr>
          <w:rFonts w:ascii="Arial" w:hAnsi="Arial" w:cs="Arial"/>
        </w:rPr>
        <w:t>s</w:t>
      </w:r>
      <w:r w:rsidR="00976491">
        <w:rPr>
          <w:rFonts w:ascii="Arial" w:hAnsi="Arial" w:cs="Arial"/>
        </w:rPr>
        <w:t xml:space="preserve"> already </w:t>
      </w:r>
      <w:r w:rsidR="0042367B">
        <w:rPr>
          <w:rFonts w:ascii="Arial" w:hAnsi="Arial" w:cs="Arial"/>
        </w:rPr>
        <w:t>been incurred</w:t>
      </w:r>
      <w:r w:rsidR="00976491">
        <w:rPr>
          <w:rFonts w:ascii="Arial" w:hAnsi="Arial" w:cs="Arial"/>
        </w:rPr>
        <w:t xml:space="preserve">, meaning that much of </w:t>
      </w:r>
      <w:r w:rsidR="00976491" w:rsidRPr="00910EED">
        <w:rPr>
          <w:rFonts w:ascii="Arial" w:hAnsi="Arial" w:cs="Arial"/>
        </w:rPr>
        <w:t>the ‘heavy lifting’</w:t>
      </w:r>
      <w:r w:rsidR="00976491">
        <w:rPr>
          <w:rFonts w:ascii="Arial" w:hAnsi="Arial" w:cs="Arial"/>
        </w:rPr>
        <w:t xml:space="preserve"> has been completed</w:t>
      </w:r>
      <w:r w:rsidR="0042367B">
        <w:rPr>
          <w:rFonts w:ascii="Arial" w:hAnsi="Arial" w:cs="Arial"/>
        </w:rPr>
        <w:t xml:space="preserve">. </w:t>
      </w:r>
      <w:r w:rsidR="00A13A05">
        <w:rPr>
          <w:rFonts w:ascii="Arial" w:hAnsi="Arial" w:cs="Arial"/>
        </w:rPr>
        <w:t xml:space="preserve">We are now well positioned to benefit from future sales growth and </w:t>
      </w:r>
      <w:r w:rsidR="00BE48AC">
        <w:rPr>
          <w:rFonts w:ascii="Arial" w:hAnsi="Arial" w:cs="Arial"/>
        </w:rPr>
        <w:t xml:space="preserve">will progressively start to see the benefits of operational leverage. </w:t>
      </w:r>
      <w:r w:rsidR="0042367B">
        <w:rPr>
          <w:rFonts w:ascii="Arial" w:hAnsi="Arial" w:cs="Arial"/>
        </w:rPr>
        <w:t>To date</w:t>
      </w:r>
      <w:r w:rsidR="00976491">
        <w:rPr>
          <w:rFonts w:ascii="Arial" w:hAnsi="Arial" w:cs="Arial"/>
        </w:rPr>
        <w:t>,</w:t>
      </w:r>
      <w:r w:rsidR="0042367B">
        <w:rPr>
          <w:rFonts w:ascii="Arial" w:hAnsi="Arial" w:cs="Arial"/>
        </w:rPr>
        <w:t xml:space="preserve"> transformation costs </w:t>
      </w:r>
      <w:r w:rsidR="0042367B" w:rsidRPr="00620721">
        <w:rPr>
          <w:rFonts w:ascii="Arial" w:hAnsi="Arial" w:cs="Arial"/>
        </w:rPr>
        <w:t>(P&amp;L, exceptional and capex)</w:t>
      </w:r>
      <w:r w:rsidR="0042367B">
        <w:rPr>
          <w:rFonts w:ascii="Arial" w:hAnsi="Arial" w:cs="Arial"/>
        </w:rPr>
        <w:t xml:space="preserve"> have </w:t>
      </w:r>
      <w:r w:rsidR="001C21F6">
        <w:rPr>
          <w:rFonts w:ascii="Arial" w:hAnsi="Arial" w:cs="Arial"/>
        </w:rPr>
        <w:t xml:space="preserve">totalled </w:t>
      </w:r>
      <w:r w:rsidR="0042367B" w:rsidRPr="00A151D1">
        <w:rPr>
          <w:rFonts w:ascii="Arial" w:hAnsi="Arial" w:cs="Arial"/>
        </w:rPr>
        <w:t>£</w:t>
      </w:r>
      <w:r w:rsidR="00220496" w:rsidRPr="0035009E">
        <w:rPr>
          <w:rFonts w:ascii="Arial" w:hAnsi="Arial" w:cs="Arial"/>
        </w:rPr>
        <w:t>490</w:t>
      </w:r>
      <w:r w:rsidR="0042367B" w:rsidRPr="00A151D1">
        <w:rPr>
          <w:rFonts w:ascii="Arial" w:hAnsi="Arial" w:cs="Arial"/>
        </w:rPr>
        <w:t>m</w:t>
      </w:r>
      <w:r w:rsidR="00976491" w:rsidRPr="00A151D1">
        <w:rPr>
          <w:rFonts w:ascii="Arial" w:hAnsi="Arial" w:cs="Arial"/>
        </w:rPr>
        <w:t>,</w:t>
      </w:r>
      <w:r w:rsidR="0042367B">
        <w:rPr>
          <w:rFonts w:ascii="Arial" w:hAnsi="Arial" w:cs="Arial"/>
        </w:rPr>
        <w:t xml:space="preserve"> and </w:t>
      </w:r>
      <w:r w:rsidR="003A2792">
        <w:rPr>
          <w:rFonts w:ascii="Arial" w:hAnsi="Arial" w:cs="Arial"/>
        </w:rPr>
        <w:t xml:space="preserve">we anticipate the total </w:t>
      </w:r>
      <w:r w:rsidR="00716E6C" w:rsidRPr="00AF307A">
        <w:rPr>
          <w:rFonts w:ascii="Arial" w:hAnsi="Arial" w:cs="Arial"/>
        </w:rPr>
        <w:t xml:space="preserve">cash cost of the transformation </w:t>
      </w:r>
      <w:r w:rsidR="00976491">
        <w:rPr>
          <w:rFonts w:ascii="Arial" w:hAnsi="Arial" w:cs="Arial"/>
        </w:rPr>
        <w:t xml:space="preserve">over the five-year period </w:t>
      </w:r>
      <w:r w:rsidR="00EF082F">
        <w:rPr>
          <w:rFonts w:ascii="Arial" w:hAnsi="Arial" w:cs="Arial"/>
        </w:rPr>
        <w:t xml:space="preserve">will </w:t>
      </w:r>
      <w:r w:rsidR="00220496">
        <w:rPr>
          <w:rFonts w:ascii="Arial" w:hAnsi="Arial" w:cs="Arial"/>
        </w:rPr>
        <w:t>be</w:t>
      </w:r>
      <w:r w:rsidR="003A2792">
        <w:rPr>
          <w:rFonts w:ascii="Arial" w:hAnsi="Arial" w:cs="Arial"/>
        </w:rPr>
        <w:t xml:space="preserve"> </w:t>
      </w:r>
      <w:r w:rsidR="00EF082F">
        <w:rPr>
          <w:rFonts w:ascii="Arial" w:hAnsi="Arial" w:cs="Arial"/>
        </w:rPr>
        <w:t xml:space="preserve">less than </w:t>
      </w:r>
      <w:r w:rsidR="00B17619">
        <w:rPr>
          <w:rFonts w:ascii="Arial" w:hAnsi="Arial" w:cs="Arial"/>
        </w:rPr>
        <w:t>the</w:t>
      </w:r>
      <w:r w:rsidR="009D7347">
        <w:rPr>
          <w:rFonts w:ascii="Arial" w:hAnsi="Arial" w:cs="Arial"/>
        </w:rPr>
        <w:t xml:space="preserve"> </w:t>
      </w:r>
      <w:r w:rsidR="00716E6C" w:rsidRPr="00716E6C">
        <w:rPr>
          <w:rFonts w:ascii="Arial" w:hAnsi="Arial" w:cs="Arial"/>
        </w:rPr>
        <w:t>£</w:t>
      </w:r>
      <w:r w:rsidR="00DD63FD">
        <w:rPr>
          <w:rFonts w:ascii="Arial" w:hAnsi="Arial" w:cs="Arial"/>
        </w:rPr>
        <w:t>800</w:t>
      </w:r>
      <w:r w:rsidR="00716E6C" w:rsidRPr="00716E6C">
        <w:rPr>
          <w:rFonts w:ascii="Arial" w:hAnsi="Arial" w:cs="Arial"/>
        </w:rPr>
        <w:t>m</w:t>
      </w:r>
      <w:r w:rsidR="00DD63FD">
        <w:rPr>
          <w:rFonts w:ascii="Arial" w:hAnsi="Arial" w:cs="Arial"/>
        </w:rPr>
        <w:t xml:space="preserve"> </w:t>
      </w:r>
      <w:r w:rsidR="003A2792">
        <w:rPr>
          <w:rFonts w:ascii="Arial" w:hAnsi="Arial" w:cs="Arial"/>
        </w:rPr>
        <w:t>guidance</w:t>
      </w:r>
      <w:r w:rsidR="00716E6C" w:rsidRPr="00716E6C">
        <w:rPr>
          <w:rFonts w:ascii="Arial" w:hAnsi="Arial" w:cs="Arial"/>
        </w:rPr>
        <w:t>.</w:t>
      </w:r>
      <w:r w:rsidR="00716E6C">
        <w:rPr>
          <w:rFonts w:ascii="Arial" w:hAnsi="Arial" w:cs="Arial"/>
        </w:rPr>
        <w:t xml:space="preserve"> </w:t>
      </w:r>
    </w:p>
    <w:p w14:paraId="73F2D5A4" w14:textId="77777777" w:rsidR="00B078BF" w:rsidRDefault="00B078BF" w:rsidP="00CC518E">
      <w:pPr>
        <w:jc w:val="left"/>
        <w:rPr>
          <w:rFonts w:ascii="Arial" w:hAnsi="Arial" w:cs="Arial"/>
        </w:rPr>
      </w:pPr>
    </w:p>
    <w:p w14:paraId="05B4BA14" w14:textId="33C9065C" w:rsidR="00433C43" w:rsidRDefault="00004FF8" w:rsidP="00004FF8">
      <w:pPr>
        <w:jc w:val="left"/>
        <w:rPr>
          <w:rFonts w:ascii="Arial" w:hAnsi="Arial" w:cs="Arial"/>
        </w:rPr>
      </w:pPr>
      <w:r>
        <w:rPr>
          <w:rFonts w:ascii="Arial" w:hAnsi="Arial" w:cs="Arial"/>
        </w:rPr>
        <w:t>‘External’ challenges have included weaker than expected</w:t>
      </w:r>
      <w:r w:rsidRPr="00AF307A">
        <w:rPr>
          <w:rFonts w:ascii="Arial" w:hAnsi="Arial" w:cs="Arial"/>
        </w:rPr>
        <w:t xml:space="preserve"> </w:t>
      </w:r>
      <w:r>
        <w:rPr>
          <w:rFonts w:ascii="Arial" w:hAnsi="Arial" w:cs="Arial"/>
        </w:rPr>
        <w:t>economic growth in the UK, significant cost price inflation (commodity prices and FX) and higher wage inflation</w:t>
      </w:r>
      <w:r w:rsidR="00E337D3">
        <w:rPr>
          <w:rFonts w:ascii="Arial" w:hAnsi="Arial" w:cs="Arial"/>
        </w:rPr>
        <w:t xml:space="preserve"> </w:t>
      </w:r>
      <w:r>
        <w:rPr>
          <w:rFonts w:ascii="Arial" w:hAnsi="Arial" w:cs="Arial"/>
        </w:rPr>
        <w:t>in the UK and Poland</w:t>
      </w:r>
      <w:r w:rsidRPr="00AF307A">
        <w:rPr>
          <w:rFonts w:ascii="Arial" w:hAnsi="Arial" w:cs="Arial"/>
        </w:rPr>
        <w:t>.</w:t>
      </w:r>
      <w:r>
        <w:rPr>
          <w:rFonts w:ascii="Arial" w:hAnsi="Arial" w:cs="Arial"/>
        </w:rPr>
        <w:t xml:space="preserve"> </w:t>
      </w:r>
      <w:proofErr w:type="gramStart"/>
      <w:r w:rsidR="00546A01">
        <w:rPr>
          <w:rFonts w:ascii="Arial" w:hAnsi="Arial" w:cs="Arial"/>
        </w:rPr>
        <w:t>‘Internal’ f</w:t>
      </w:r>
      <w:r w:rsidR="00976491">
        <w:rPr>
          <w:rFonts w:ascii="Arial" w:hAnsi="Arial" w:cs="Arial"/>
        </w:rPr>
        <w:t>actors</w:t>
      </w:r>
      <w:r w:rsidR="00C069A1">
        <w:rPr>
          <w:rFonts w:ascii="Arial" w:hAnsi="Arial" w:cs="Arial"/>
        </w:rPr>
        <w:t>,</w:t>
      </w:r>
      <w:proofErr w:type="gramEnd"/>
      <w:r w:rsidR="00976491">
        <w:rPr>
          <w:rFonts w:ascii="Arial" w:hAnsi="Arial" w:cs="Arial"/>
        </w:rPr>
        <w:t xml:space="preserve"> </w:t>
      </w:r>
      <w:r w:rsidR="00C069A1">
        <w:rPr>
          <w:rFonts w:ascii="Arial" w:hAnsi="Arial" w:cs="Arial"/>
        </w:rPr>
        <w:t>includ</w:t>
      </w:r>
      <w:r w:rsidR="00A13A05">
        <w:rPr>
          <w:rFonts w:ascii="Arial" w:hAnsi="Arial" w:cs="Arial"/>
        </w:rPr>
        <w:t>e</w:t>
      </w:r>
      <w:r w:rsidR="00C069A1">
        <w:rPr>
          <w:rFonts w:ascii="Arial" w:hAnsi="Arial" w:cs="Arial"/>
        </w:rPr>
        <w:t xml:space="preserve"> </w:t>
      </w:r>
      <w:r w:rsidR="00CC73FF">
        <w:rPr>
          <w:rFonts w:ascii="Arial" w:hAnsi="Arial" w:cs="Arial"/>
        </w:rPr>
        <w:t>transformation-related disruption</w:t>
      </w:r>
      <w:r w:rsidR="00546A01">
        <w:rPr>
          <w:rFonts w:ascii="Arial" w:hAnsi="Arial" w:cs="Arial"/>
        </w:rPr>
        <w:t xml:space="preserve"> and </w:t>
      </w:r>
      <w:r w:rsidR="008947F1">
        <w:rPr>
          <w:rFonts w:ascii="Arial" w:hAnsi="Arial" w:cs="Arial"/>
        </w:rPr>
        <w:t xml:space="preserve">the </w:t>
      </w:r>
      <w:r w:rsidR="00546A01">
        <w:rPr>
          <w:rFonts w:ascii="Arial" w:hAnsi="Arial" w:cs="Arial"/>
        </w:rPr>
        <w:t xml:space="preserve">underperformance </w:t>
      </w:r>
      <w:r w:rsidR="008947F1">
        <w:rPr>
          <w:rFonts w:ascii="Arial" w:hAnsi="Arial" w:cs="Arial"/>
        </w:rPr>
        <w:t xml:space="preserve">of </w:t>
      </w:r>
      <w:r w:rsidR="00546A01">
        <w:rPr>
          <w:rFonts w:ascii="Arial" w:hAnsi="Arial" w:cs="Arial"/>
        </w:rPr>
        <w:t>Castorama France.</w:t>
      </w:r>
      <w:r w:rsidR="00CC73FF">
        <w:rPr>
          <w:rFonts w:ascii="Arial" w:hAnsi="Arial" w:cs="Arial"/>
        </w:rPr>
        <w:t xml:space="preserve"> </w:t>
      </w:r>
      <w:r w:rsidRPr="00A151D1">
        <w:rPr>
          <w:rFonts w:ascii="Arial" w:hAnsi="Arial" w:cs="Arial"/>
        </w:rPr>
        <w:t>We have</w:t>
      </w:r>
      <w:r w:rsidRPr="009C6B7F">
        <w:rPr>
          <w:rFonts w:ascii="Arial" w:hAnsi="Arial" w:cs="Arial"/>
        </w:rPr>
        <w:t xml:space="preserve"> clear priorities for FY 19/20 and beyond, on which we provide </w:t>
      </w:r>
      <w:r w:rsidRPr="003D61AC">
        <w:rPr>
          <w:rFonts w:ascii="Arial" w:hAnsi="Arial" w:cs="Arial"/>
        </w:rPr>
        <w:t xml:space="preserve">more detail on </w:t>
      </w:r>
      <w:r w:rsidRPr="00D72F65">
        <w:rPr>
          <w:rFonts w:ascii="Arial" w:hAnsi="Arial"/>
        </w:rPr>
        <w:t xml:space="preserve">pages </w:t>
      </w:r>
      <w:r w:rsidR="00613DF2" w:rsidRPr="00D72F65">
        <w:rPr>
          <w:rFonts w:ascii="Arial" w:hAnsi="Arial" w:cs="Arial"/>
        </w:rPr>
        <w:t>7-8</w:t>
      </w:r>
      <w:r w:rsidRPr="003D61AC">
        <w:rPr>
          <w:rFonts w:ascii="Arial" w:hAnsi="Arial" w:cs="Arial"/>
        </w:rPr>
        <w:t>.</w:t>
      </w:r>
      <w:r>
        <w:rPr>
          <w:rFonts w:ascii="Arial" w:hAnsi="Arial" w:cs="Arial"/>
        </w:rPr>
        <w:t xml:space="preserve"> </w:t>
      </w:r>
    </w:p>
    <w:p w14:paraId="697C572E" w14:textId="07C85C1C" w:rsidR="00CC73FF" w:rsidRDefault="00CC73FF" w:rsidP="00CC518E">
      <w:pPr>
        <w:jc w:val="left"/>
        <w:rPr>
          <w:rFonts w:ascii="Arial" w:hAnsi="Arial" w:cs="Arial"/>
        </w:rPr>
      </w:pPr>
    </w:p>
    <w:p w14:paraId="619622D4" w14:textId="586BF6C1" w:rsidR="009C6B7F" w:rsidRDefault="001D4C19" w:rsidP="009C6B7F">
      <w:pPr>
        <w:jc w:val="left"/>
        <w:rPr>
          <w:rFonts w:ascii="Arial" w:hAnsi="Arial" w:cs="Arial"/>
        </w:rPr>
      </w:pPr>
      <w:r w:rsidRPr="00A151D1">
        <w:rPr>
          <w:rFonts w:ascii="Arial" w:hAnsi="Arial" w:cs="Arial"/>
        </w:rPr>
        <w:t xml:space="preserve">We continue to believe in the significant opportunity the transformation </w:t>
      </w:r>
      <w:r w:rsidR="00546A01" w:rsidRPr="00A151D1">
        <w:rPr>
          <w:rFonts w:ascii="Arial" w:hAnsi="Arial" w:cs="Arial"/>
        </w:rPr>
        <w:t>provides</w:t>
      </w:r>
      <w:r w:rsidRPr="00A151D1">
        <w:rPr>
          <w:rFonts w:ascii="Arial" w:hAnsi="Arial" w:cs="Arial"/>
        </w:rPr>
        <w:t xml:space="preserve"> to </w:t>
      </w:r>
      <w:r w:rsidR="007C2D33" w:rsidRPr="00A151D1">
        <w:rPr>
          <w:rFonts w:ascii="Arial" w:hAnsi="Arial" w:cs="Arial"/>
        </w:rPr>
        <w:t xml:space="preserve">grow </w:t>
      </w:r>
      <w:r w:rsidR="004206F1" w:rsidRPr="00A151D1">
        <w:rPr>
          <w:rFonts w:ascii="Arial" w:hAnsi="Arial" w:cs="Arial"/>
        </w:rPr>
        <w:t xml:space="preserve">sales, </w:t>
      </w:r>
      <w:r w:rsidR="004206F1" w:rsidRPr="00004FF8">
        <w:rPr>
          <w:rFonts w:ascii="Arial" w:hAnsi="Arial" w:cs="Arial"/>
        </w:rPr>
        <w:t>margin and returns</w:t>
      </w:r>
      <w:r w:rsidRPr="00004FF8">
        <w:rPr>
          <w:rFonts w:ascii="Arial" w:hAnsi="Arial" w:cs="Arial"/>
        </w:rPr>
        <w:t xml:space="preserve">. </w:t>
      </w:r>
      <w:r w:rsidR="00B14821" w:rsidRPr="00CC64E8">
        <w:rPr>
          <w:rFonts w:ascii="Arial" w:hAnsi="Arial" w:cs="Arial"/>
        </w:rPr>
        <w:t xml:space="preserve">However, </w:t>
      </w:r>
      <w:r w:rsidR="00B14821" w:rsidRPr="00E03B2B">
        <w:rPr>
          <w:rFonts w:ascii="Arial" w:hAnsi="Arial" w:cs="Arial"/>
        </w:rPr>
        <w:t>it is</w:t>
      </w:r>
      <w:r w:rsidR="00B14821" w:rsidRPr="00B14821">
        <w:rPr>
          <w:rFonts w:ascii="Arial" w:hAnsi="Arial" w:cs="Arial"/>
        </w:rPr>
        <w:t xml:space="preserve"> increasingly evident that separating transformation benefits</w:t>
      </w:r>
      <w:r w:rsidR="00E03B2B">
        <w:rPr>
          <w:rFonts w:ascii="Arial" w:hAnsi="Arial" w:cs="Arial"/>
        </w:rPr>
        <w:t xml:space="preserve"> (</w:t>
      </w:r>
      <w:r w:rsidR="00AB2850">
        <w:rPr>
          <w:rFonts w:ascii="Arial" w:hAnsi="Arial" w:cs="Arial"/>
        </w:rPr>
        <w:t>‘</w:t>
      </w:r>
      <w:r w:rsidR="00E03B2B">
        <w:rPr>
          <w:rFonts w:ascii="Arial" w:hAnsi="Arial" w:cs="Arial"/>
        </w:rPr>
        <w:t>£500m profit uplift in FY 20/21</w:t>
      </w:r>
      <w:r w:rsidR="00AB2850">
        <w:rPr>
          <w:rFonts w:ascii="Arial" w:hAnsi="Arial" w:cs="Arial"/>
        </w:rPr>
        <w:t>’</w:t>
      </w:r>
      <w:r w:rsidR="00E03B2B">
        <w:rPr>
          <w:rFonts w:ascii="Arial" w:hAnsi="Arial" w:cs="Arial"/>
        </w:rPr>
        <w:t>)</w:t>
      </w:r>
      <w:r w:rsidR="00B14821" w:rsidRPr="00B14821">
        <w:rPr>
          <w:rFonts w:ascii="Arial" w:hAnsi="Arial" w:cs="Arial"/>
        </w:rPr>
        <w:t xml:space="preserve"> from the rest of the business (</w:t>
      </w:r>
      <w:r w:rsidR="00AB2850">
        <w:rPr>
          <w:rFonts w:ascii="Arial" w:hAnsi="Arial" w:cs="Arial"/>
        </w:rPr>
        <w:t>‘</w:t>
      </w:r>
      <w:r w:rsidR="00B14821" w:rsidRPr="00B14821">
        <w:rPr>
          <w:rFonts w:ascii="Arial" w:hAnsi="Arial" w:cs="Arial"/>
        </w:rPr>
        <w:t>BAU</w:t>
      </w:r>
      <w:r w:rsidR="00AB2850">
        <w:rPr>
          <w:rFonts w:ascii="Arial" w:hAnsi="Arial" w:cs="Arial"/>
        </w:rPr>
        <w:t>’</w:t>
      </w:r>
      <w:r w:rsidR="00B14821" w:rsidRPr="00B14821">
        <w:rPr>
          <w:rFonts w:ascii="Arial" w:hAnsi="Arial" w:cs="Arial"/>
        </w:rPr>
        <w:t xml:space="preserve">) no longer </w:t>
      </w:r>
      <w:r w:rsidR="00AB2850">
        <w:rPr>
          <w:rFonts w:ascii="Arial" w:hAnsi="Arial" w:cs="Arial"/>
        </w:rPr>
        <w:t>reflects how we manage the business</w:t>
      </w:r>
      <w:r w:rsidR="00B14821" w:rsidRPr="00B14821">
        <w:rPr>
          <w:rFonts w:ascii="Arial" w:hAnsi="Arial" w:cs="Arial"/>
        </w:rPr>
        <w:t xml:space="preserve">. </w:t>
      </w:r>
      <w:r w:rsidR="00E03B2B">
        <w:rPr>
          <w:rFonts w:ascii="Arial" w:hAnsi="Arial" w:cs="Arial"/>
        </w:rPr>
        <w:t>H</w:t>
      </w:r>
      <w:r w:rsidR="00E03B2B" w:rsidRPr="00294F4C">
        <w:rPr>
          <w:rFonts w:ascii="Arial" w:hAnsi="Arial" w:cs="Arial"/>
        </w:rPr>
        <w:t xml:space="preserve">aving </w:t>
      </w:r>
      <w:r w:rsidR="00E03B2B">
        <w:rPr>
          <w:rFonts w:ascii="Arial" w:hAnsi="Arial" w:cs="Arial"/>
        </w:rPr>
        <w:t xml:space="preserve">established a </w:t>
      </w:r>
      <w:r w:rsidR="00E03B2B" w:rsidRPr="009C6B7F">
        <w:rPr>
          <w:rFonts w:ascii="Arial" w:hAnsi="Arial" w:cs="Arial"/>
        </w:rPr>
        <w:t>single buying organisatio</w:t>
      </w:r>
      <w:r w:rsidR="00E03B2B">
        <w:rPr>
          <w:rFonts w:ascii="Arial" w:hAnsi="Arial" w:cs="Arial"/>
        </w:rPr>
        <w:t>n</w:t>
      </w:r>
      <w:r w:rsidR="00E03B2B" w:rsidRPr="009C6B7F">
        <w:rPr>
          <w:rFonts w:ascii="Arial" w:hAnsi="Arial" w:cs="Arial"/>
        </w:rPr>
        <w:t xml:space="preserve">, </w:t>
      </w:r>
      <w:r w:rsidR="00E03B2B">
        <w:rPr>
          <w:rFonts w:ascii="Arial" w:hAnsi="Arial" w:cs="Arial"/>
        </w:rPr>
        <w:t xml:space="preserve">unified </w:t>
      </w:r>
      <w:r w:rsidR="00E03B2B" w:rsidRPr="009C6B7F">
        <w:rPr>
          <w:rFonts w:ascii="Arial" w:hAnsi="Arial" w:cs="Arial"/>
        </w:rPr>
        <w:t xml:space="preserve">half of our offer, and </w:t>
      </w:r>
      <w:r w:rsidR="00E03B2B">
        <w:rPr>
          <w:rFonts w:ascii="Arial" w:hAnsi="Arial" w:cs="Arial"/>
        </w:rPr>
        <w:t xml:space="preserve">substantially </w:t>
      </w:r>
      <w:r w:rsidR="00E03B2B" w:rsidRPr="009C6B7F">
        <w:rPr>
          <w:rFonts w:ascii="Arial" w:hAnsi="Arial" w:cs="Arial"/>
        </w:rPr>
        <w:t>implemented</w:t>
      </w:r>
      <w:r w:rsidR="00E03B2B">
        <w:rPr>
          <w:rFonts w:ascii="Arial" w:hAnsi="Arial" w:cs="Arial"/>
        </w:rPr>
        <w:t xml:space="preserve"> </w:t>
      </w:r>
      <w:r w:rsidR="00E03B2B" w:rsidRPr="009C6B7F">
        <w:rPr>
          <w:rFonts w:ascii="Arial" w:hAnsi="Arial" w:cs="Arial"/>
        </w:rPr>
        <w:t>our unified IT platform</w:t>
      </w:r>
      <w:r w:rsidR="00E03B2B">
        <w:rPr>
          <w:rFonts w:ascii="Arial" w:hAnsi="Arial" w:cs="Arial"/>
        </w:rPr>
        <w:t xml:space="preserve">, transformation </w:t>
      </w:r>
      <w:r w:rsidR="002C3D5D">
        <w:rPr>
          <w:rFonts w:ascii="Arial" w:hAnsi="Arial" w:cs="Arial"/>
        </w:rPr>
        <w:t xml:space="preserve">and </w:t>
      </w:r>
      <w:r w:rsidR="00E03B2B">
        <w:rPr>
          <w:rFonts w:ascii="Arial" w:hAnsi="Arial" w:cs="Arial"/>
        </w:rPr>
        <w:t>business as usual</w:t>
      </w:r>
      <w:r w:rsidR="002C3D5D">
        <w:rPr>
          <w:rFonts w:ascii="Arial" w:hAnsi="Arial" w:cs="Arial"/>
        </w:rPr>
        <w:t xml:space="preserve"> are increasingly indistinguishable</w:t>
      </w:r>
      <w:r w:rsidR="00E03B2B">
        <w:rPr>
          <w:rFonts w:ascii="Arial" w:hAnsi="Arial" w:cs="Arial"/>
        </w:rPr>
        <w:t>.</w:t>
      </w:r>
    </w:p>
    <w:p w14:paraId="094D7C80" w14:textId="7CADE68E" w:rsidR="00004FF8" w:rsidRDefault="00004FF8" w:rsidP="009C6B7F">
      <w:pPr>
        <w:jc w:val="left"/>
        <w:rPr>
          <w:rFonts w:ascii="Arial" w:hAnsi="Arial" w:cs="Arial"/>
        </w:rPr>
      </w:pPr>
    </w:p>
    <w:p w14:paraId="3672CE4C" w14:textId="6D61050F" w:rsidR="00004FF8" w:rsidRDefault="00004FF8" w:rsidP="009C6B7F">
      <w:pPr>
        <w:jc w:val="left"/>
        <w:rPr>
          <w:rFonts w:ascii="Arial" w:hAnsi="Arial" w:cs="Arial"/>
        </w:rPr>
      </w:pPr>
    </w:p>
    <w:p w14:paraId="3E0C0D48" w14:textId="6F664E4F" w:rsidR="00004FF8" w:rsidRDefault="00004FF8" w:rsidP="009C6B7F">
      <w:pPr>
        <w:jc w:val="left"/>
        <w:rPr>
          <w:rFonts w:ascii="Arial" w:hAnsi="Arial" w:cs="Arial"/>
        </w:rPr>
      </w:pPr>
    </w:p>
    <w:p w14:paraId="42D70DA8" w14:textId="4F33C1AB" w:rsidR="00004FF8" w:rsidRDefault="00004FF8" w:rsidP="009C6B7F">
      <w:pPr>
        <w:jc w:val="left"/>
        <w:rPr>
          <w:rFonts w:ascii="Arial" w:hAnsi="Arial" w:cs="Arial"/>
        </w:rPr>
      </w:pPr>
    </w:p>
    <w:p w14:paraId="0F999C95" w14:textId="1318C358" w:rsidR="00004FF8" w:rsidRDefault="00004FF8" w:rsidP="009C6B7F">
      <w:pPr>
        <w:jc w:val="left"/>
        <w:rPr>
          <w:rFonts w:ascii="Arial" w:hAnsi="Arial" w:cs="Arial"/>
        </w:rPr>
      </w:pPr>
    </w:p>
    <w:p w14:paraId="380AB7D3" w14:textId="77777777" w:rsidR="00004FF8" w:rsidRDefault="00004FF8" w:rsidP="009C6B7F">
      <w:pPr>
        <w:jc w:val="left"/>
        <w:rPr>
          <w:rFonts w:ascii="Arial" w:hAnsi="Arial" w:cs="Arial"/>
        </w:rPr>
      </w:pPr>
    </w:p>
    <w:p w14:paraId="424AEDF9" w14:textId="77777777" w:rsidR="00E03B2B" w:rsidRDefault="00E03B2B" w:rsidP="00CC518E">
      <w:pPr>
        <w:jc w:val="left"/>
        <w:rPr>
          <w:rFonts w:ascii="Arial" w:hAnsi="Arial" w:cs="Arial"/>
        </w:rPr>
      </w:pPr>
    </w:p>
    <w:p w14:paraId="11F000FC" w14:textId="0AED83E4" w:rsidR="00433C43" w:rsidRDefault="003D52A3" w:rsidP="00CC518E">
      <w:pPr>
        <w:jc w:val="left"/>
        <w:rPr>
          <w:rFonts w:ascii="Arial" w:hAnsi="Arial" w:cs="Arial"/>
        </w:rPr>
      </w:pPr>
      <w:r>
        <w:rPr>
          <w:rFonts w:ascii="Arial" w:hAnsi="Arial" w:cs="Arial"/>
        </w:rPr>
        <w:lastRenderedPageBreak/>
        <w:t>W</w:t>
      </w:r>
      <w:r w:rsidR="00716E6C">
        <w:rPr>
          <w:rFonts w:ascii="Arial" w:hAnsi="Arial" w:cs="Arial"/>
        </w:rPr>
        <w:t xml:space="preserve">e are </w:t>
      </w:r>
      <w:r>
        <w:rPr>
          <w:rFonts w:ascii="Arial" w:hAnsi="Arial" w:cs="Arial"/>
        </w:rPr>
        <w:t xml:space="preserve">therefore targeting </w:t>
      </w:r>
      <w:r w:rsidR="0079489B">
        <w:rPr>
          <w:rFonts w:ascii="Arial" w:hAnsi="Arial" w:cs="Arial"/>
        </w:rPr>
        <w:t>the following financial outcomes</w:t>
      </w:r>
      <w:r>
        <w:rPr>
          <w:rFonts w:ascii="Arial" w:hAnsi="Arial" w:cs="Arial"/>
        </w:rPr>
        <w:t xml:space="preserve"> </w:t>
      </w:r>
      <w:r w:rsidR="005F5E2B">
        <w:rPr>
          <w:rFonts w:ascii="Arial" w:hAnsi="Arial" w:cs="Arial"/>
        </w:rPr>
        <w:t xml:space="preserve">for the Group </w:t>
      </w:r>
      <w:r>
        <w:rPr>
          <w:rFonts w:ascii="Arial" w:hAnsi="Arial" w:cs="Arial"/>
        </w:rPr>
        <w:t xml:space="preserve">over the </w:t>
      </w:r>
      <w:r w:rsidR="005F5E2B">
        <w:rPr>
          <w:rFonts w:ascii="Arial" w:hAnsi="Arial"/>
        </w:rPr>
        <w:t xml:space="preserve">medium </w:t>
      </w:r>
      <w:r>
        <w:rPr>
          <w:rFonts w:ascii="Arial" w:hAnsi="Arial" w:cs="Arial"/>
        </w:rPr>
        <w:t>term</w:t>
      </w:r>
      <w:r w:rsidR="002C3D5D">
        <w:rPr>
          <w:rFonts w:ascii="Arial" w:hAnsi="Arial" w:cs="Arial"/>
        </w:rPr>
        <w:t xml:space="preserve">, </w:t>
      </w:r>
      <w:r w:rsidR="002C3D5D" w:rsidRPr="009C6B7F">
        <w:rPr>
          <w:rFonts w:ascii="Arial" w:hAnsi="Arial" w:cs="Arial"/>
        </w:rPr>
        <w:t xml:space="preserve">which combine market dynamics with our initiatives to drive </w:t>
      </w:r>
      <w:r w:rsidR="00004FF8">
        <w:rPr>
          <w:rFonts w:ascii="Arial" w:hAnsi="Arial" w:cs="Arial"/>
        </w:rPr>
        <w:t xml:space="preserve">profitable </w:t>
      </w:r>
      <w:r w:rsidR="002C3D5D" w:rsidRPr="009C6B7F">
        <w:rPr>
          <w:rFonts w:ascii="Arial" w:hAnsi="Arial" w:cs="Arial"/>
        </w:rPr>
        <w:t>growth</w:t>
      </w:r>
      <w:r w:rsidR="00AA7915">
        <w:rPr>
          <w:rFonts w:ascii="Arial" w:hAnsi="Arial" w:cs="Arial"/>
        </w:rPr>
        <w:t>:</w:t>
      </w:r>
      <w:r w:rsidR="00716E6C">
        <w:rPr>
          <w:rFonts w:ascii="Arial" w:hAnsi="Arial" w:cs="Arial"/>
        </w:rPr>
        <w:t xml:space="preserve">  </w:t>
      </w:r>
    </w:p>
    <w:p w14:paraId="3E4C408F" w14:textId="77777777" w:rsidR="00433C43" w:rsidRDefault="00433C43" w:rsidP="00CC518E">
      <w:pPr>
        <w:jc w:val="left"/>
        <w:rPr>
          <w:rFonts w:ascii="Arial" w:hAnsi="Arial" w:cs="Arial"/>
        </w:rPr>
      </w:pPr>
    </w:p>
    <w:p w14:paraId="4B91442F" w14:textId="3B384011" w:rsidR="00716E6C" w:rsidRPr="00910EED" w:rsidRDefault="00716E6C" w:rsidP="00946D9D">
      <w:pPr>
        <w:pStyle w:val="ListParagraph"/>
        <w:numPr>
          <w:ilvl w:val="0"/>
          <w:numId w:val="24"/>
        </w:numPr>
        <w:jc w:val="left"/>
        <w:rPr>
          <w:rFonts w:ascii="Arial" w:hAnsi="Arial" w:cs="Arial"/>
        </w:rPr>
      </w:pPr>
      <w:r w:rsidRPr="00910EED">
        <w:rPr>
          <w:rFonts w:ascii="Arial" w:hAnsi="Arial" w:cs="Arial"/>
        </w:rPr>
        <w:t>Growth in</w:t>
      </w:r>
      <w:r w:rsidR="00433C43" w:rsidRPr="00910EED">
        <w:rPr>
          <w:rFonts w:ascii="Arial" w:hAnsi="Arial" w:cs="Arial"/>
        </w:rPr>
        <w:t xml:space="preserve"> </w:t>
      </w:r>
      <w:r w:rsidR="00765266">
        <w:rPr>
          <w:rFonts w:ascii="Arial" w:hAnsi="Arial" w:cs="Arial"/>
        </w:rPr>
        <w:t xml:space="preserve">ongoing Group </w:t>
      </w:r>
      <w:r w:rsidR="00433C43" w:rsidRPr="00910EED">
        <w:rPr>
          <w:rFonts w:ascii="Arial" w:hAnsi="Arial" w:cs="Arial"/>
        </w:rPr>
        <w:t>sales</w:t>
      </w:r>
      <w:r w:rsidR="0016646E" w:rsidRPr="00910EED">
        <w:rPr>
          <w:rFonts w:ascii="Arial" w:hAnsi="Arial" w:cs="Arial"/>
        </w:rPr>
        <w:t xml:space="preserve"> </w:t>
      </w:r>
    </w:p>
    <w:p w14:paraId="115EEC65" w14:textId="77777777" w:rsidR="005F5E2B" w:rsidRPr="00910EED" w:rsidRDefault="00716E6C" w:rsidP="00946D9D">
      <w:pPr>
        <w:pStyle w:val="ListParagraph"/>
        <w:numPr>
          <w:ilvl w:val="0"/>
          <w:numId w:val="24"/>
        </w:numPr>
        <w:jc w:val="left"/>
        <w:rPr>
          <w:rFonts w:ascii="Arial" w:hAnsi="Arial" w:cs="Arial"/>
        </w:rPr>
      </w:pPr>
      <w:r w:rsidRPr="00910EED">
        <w:rPr>
          <w:rFonts w:ascii="Arial" w:hAnsi="Arial" w:cs="Arial"/>
        </w:rPr>
        <w:t>Higher gross margin</w:t>
      </w:r>
    </w:p>
    <w:p w14:paraId="05A8C997" w14:textId="7075D323" w:rsidR="00433C43" w:rsidRPr="00910EED" w:rsidRDefault="00716E6C" w:rsidP="00946D9D">
      <w:pPr>
        <w:pStyle w:val="ListParagraph"/>
        <w:numPr>
          <w:ilvl w:val="0"/>
          <w:numId w:val="24"/>
        </w:numPr>
        <w:jc w:val="left"/>
        <w:rPr>
          <w:rFonts w:ascii="Arial" w:hAnsi="Arial" w:cs="Arial"/>
        </w:rPr>
      </w:pPr>
      <w:r w:rsidRPr="00910EED">
        <w:rPr>
          <w:rFonts w:ascii="Arial" w:hAnsi="Arial" w:cs="Arial"/>
        </w:rPr>
        <w:t xml:space="preserve">Higher </w:t>
      </w:r>
      <w:r w:rsidR="00C45201" w:rsidRPr="00910EED">
        <w:rPr>
          <w:rFonts w:ascii="Arial" w:hAnsi="Arial" w:cs="Arial"/>
        </w:rPr>
        <w:t>retail profit</w:t>
      </w:r>
      <w:r w:rsidRPr="00910EED">
        <w:rPr>
          <w:rFonts w:ascii="Arial" w:hAnsi="Arial" w:cs="Arial"/>
        </w:rPr>
        <w:t xml:space="preserve"> </w:t>
      </w:r>
    </w:p>
    <w:p w14:paraId="00EC799A" w14:textId="46F181A7" w:rsidR="00716E6C" w:rsidRPr="00910EED" w:rsidRDefault="00716E6C" w:rsidP="00946D9D">
      <w:pPr>
        <w:pStyle w:val="ListParagraph"/>
        <w:numPr>
          <w:ilvl w:val="0"/>
          <w:numId w:val="24"/>
        </w:numPr>
        <w:jc w:val="left"/>
        <w:rPr>
          <w:rFonts w:ascii="Arial" w:hAnsi="Arial" w:cs="Arial"/>
        </w:rPr>
      </w:pPr>
      <w:r w:rsidRPr="00910EED">
        <w:rPr>
          <w:rFonts w:ascii="Arial" w:hAnsi="Arial" w:cs="Arial"/>
        </w:rPr>
        <w:t>Higher ROCE</w:t>
      </w:r>
    </w:p>
    <w:p w14:paraId="72AD8FF1" w14:textId="77777777" w:rsidR="00716E6C" w:rsidRPr="00945E62" w:rsidRDefault="00716E6C" w:rsidP="00CC518E">
      <w:pPr>
        <w:jc w:val="left"/>
        <w:rPr>
          <w:rFonts w:ascii="Arial" w:hAnsi="Arial" w:cs="Arial"/>
        </w:rPr>
      </w:pPr>
    </w:p>
    <w:p w14:paraId="1E468D0A" w14:textId="0973E972" w:rsidR="00032DA2" w:rsidRDefault="00433C43" w:rsidP="00433C43">
      <w:pPr>
        <w:jc w:val="left"/>
        <w:rPr>
          <w:rFonts w:ascii="Arial" w:hAnsi="Arial" w:cs="Arial"/>
        </w:rPr>
      </w:pPr>
      <w:r>
        <w:rPr>
          <w:rFonts w:ascii="Arial" w:hAnsi="Arial" w:cs="Arial"/>
        </w:rPr>
        <w:t xml:space="preserve">The following sections update on our progress </w:t>
      </w:r>
      <w:r w:rsidR="00CC518E" w:rsidRPr="00AF307A">
        <w:rPr>
          <w:rFonts w:ascii="Arial" w:hAnsi="Arial" w:cs="Arial"/>
          <w:bCs/>
        </w:rPr>
        <w:t>against our three key strategic pillars</w:t>
      </w:r>
      <w:r w:rsidR="00AF7666">
        <w:rPr>
          <w:rFonts w:ascii="Arial" w:hAnsi="Arial" w:cs="Arial"/>
          <w:bCs/>
        </w:rPr>
        <w:t xml:space="preserve"> for FY 18/19</w:t>
      </w:r>
      <w:r>
        <w:rPr>
          <w:rFonts w:ascii="Arial" w:hAnsi="Arial" w:cs="Arial"/>
          <w:bCs/>
        </w:rPr>
        <w:t>:</w:t>
      </w:r>
      <w:r w:rsidR="00CC518E" w:rsidRPr="00AF307A">
        <w:rPr>
          <w:rFonts w:ascii="Arial" w:hAnsi="Arial" w:cs="Arial"/>
        </w:rPr>
        <w:t xml:space="preserve"> </w:t>
      </w:r>
    </w:p>
    <w:p w14:paraId="54B4895C" w14:textId="77777777" w:rsidR="00B17619" w:rsidRDefault="00B17619" w:rsidP="00433C43">
      <w:pPr>
        <w:jc w:val="left"/>
        <w:rPr>
          <w:rFonts w:ascii="Arial" w:hAnsi="Arial" w:cs="Arial"/>
        </w:rPr>
      </w:pPr>
    </w:p>
    <w:p w14:paraId="1F932217" w14:textId="7362ECFC" w:rsidR="003A1476" w:rsidRPr="001908E1" w:rsidRDefault="003A1476" w:rsidP="00946D9D">
      <w:pPr>
        <w:pStyle w:val="ListParagraph"/>
        <w:numPr>
          <w:ilvl w:val="0"/>
          <w:numId w:val="22"/>
        </w:numPr>
        <w:jc w:val="left"/>
        <w:rPr>
          <w:rFonts w:ascii="Arial" w:hAnsi="Arial" w:cs="Arial"/>
          <w:b/>
          <w:u w:val="single"/>
        </w:rPr>
      </w:pPr>
      <w:bookmarkStart w:id="13" w:name="_Hlk508115591"/>
      <w:bookmarkStart w:id="14" w:name="_Hlk508101360"/>
      <w:r w:rsidRPr="001908E1">
        <w:rPr>
          <w:rFonts w:ascii="Arial" w:hAnsi="Arial" w:cs="Arial"/>
          <w:b/>
          <w:u w:val="single"/>
        </w:rPr>
        <w:t>Unified &amp; unique offer</w:t>
      </w:r>
    </w:p>
    <w:p w14:paraId="352A6274" w14:textId="46D4059A" w:rsidR="003A1476" w:rsidRDefault="003A1476">
      <w:pPr>
        <w:jc w:val="left"/>
        <w:rPr>
          <w:rFonts w:ascii="Arial" w:hAnsi="Arial" w:cs="Arial"/>
          <w:u w:val="single"/>
        </w:rPr>
      </w:pPr>
    </w:p>
    <w:p w14:paraId="31888B13" w14:textId="07FBC67D" w:rsidR="003A1476" w:rsidRPr="00C66741" w:rsidRDefault="003A1476" w:rsidP="003A1476">
      <w:pPr>
        <w:jc w:val="left"/>
        <w:rPr>
          <w:rFonts w:ascii="Arial" w:hAnsi="Arial" w:cs="Arial"/>
        </w:rPr>
      </w:pPr>
      <w:r w:rsidRPr="00C66741">
        <w:rPr>
          <w:rFonts w:ascii="Arial" w:hAnsi="Arial" w:cs="Arial"/>
        </w:rPr>
        <w:t xml:space="preserve">We are unifying our offer, with the same products, </w:t>
      </w:r>
      <w:r w:rsidR="002374D7">
        <w:rPr>
          <w:rFonts w:ascii="Arial" w:hAnsi="Arial" w:cs="Arial"/>
        </w:rPr>
        <w:t>available</w:t>
      </w:r>
      <w:r w:rsidRPr="00C66741">
        <w:rPr>
          <w:rFonts w:ascii="Arial" w:hAnsi="Arial" w:cs="Arial"/>
        </w:rPr>
        <w:t xml:space="preserve"> </w:t>
      </w:r>
      <w:r w:rsidR="002D6205">
        <w:rPr>
          <w:rFonts w:ascii="Arial" w:hAnsi="Arial" w:cs="Arial"/>
        </w:rPr>
        <w:t>to all our customers</w:t>
      </w:r>
      <w:r w:rsidRPr="00C66741">
        <w:rPr>
          <w:rFonts w:ascii="Arial" w:hAnsi="Arial" w:cs="Arial"/>
        </w:rPr>
        <w:t xml:space="preserve">. This </w:t>
      </w:r>
      <w:r w:rsidR="00AA7915">
        <w:rPr>
          <w:rFonts w:ascii="Arial" w:hAnsi="Arial" w:cs="Arial"/>
        </w:rPr>
        <w:t>is</w:t>
      </w:r>
      <w:r w:rsidR="00AA7915" w:rsidRPr="00C66741">
        <w:rPr>
          <w:rFonts w:ascii="Arial" w:hAnsi="Arial" w:cs="Arial"/>
        </w:rPr>
        <w:t xml:space="preserve"> </w:t>
      </w:r>
      <w:r w:rsidRPr="00C66741">
        <w:rPr>
          <w:rFonts w:ascii="Arial" w:hAnsi="Arial" w:cs="Arial"/>
        </w:rPr>
        <w:t>deliver</w:t>
      </w:r>
      <w:r w:rsidR="00AA7915">
        <w:rPr>
          <w:rFonts w:ascii="Arial" w:hAnsi="Arial" w:cs="Arial"/>
        </w:rPr>
        <w:t>ing</w:t>
      </w:r>
      <w:r w:rsidRPr="00C66741">
        <w:rPr>
          <w:rFonts w:ascii="Arial" w:hAnsi="Arial" w:cs="Arial"/>
        </w:rPr>
        <w:t xml:space="preserve"> customer benefits (newer products, higher quality, better sustainability, lower prices, simpler ranges, clearer merchandising and better packaging) alongside business benefits (higher sales, fewer SKUs*, fewer suppliers, cost price reduction (CPR</w:t>
      </w:r>
      <w:r w:rsidR="00C356EA">
        <w:rPr>
          <w:rFonts w:ascii="Arial" w:hAnsi="Arial" w:cs="Arial"/>
        </w:rPr>
        <w:t>*</w:t>
      </w:r>
      <w:r w:rsidRPr="00C66741">
        <w:rPr>
          <w:rFonts w:ascii="Arial" w:hAnsi="Arial" w:cs="Arial"/>
        </w:rPr>
        <w:t>) and improved processes).</w:t>
      </w:r>
    </w:p>
    <w:p w14:paraId="5E4C1D96" w14:textId="580E1D87" w:rsidR="003A1476" w:rsidRDefault="003A1476" w:rsidP="003A1476">
      <w:pPr>
        <w:jc w:val="left"/>
        <w:rPr>
          <w:rFonts w:ascii="Arial" w:hAnsi="Arial" w:cs="Arial"/>
        </w:rPr>
      </w:pPr>
    </w:p>
    <w:p w14:paraId="18D5DEC6" w14:textId="130CBE4D" w:rsidR="00854C6A" w:rsidRDefault="00C53CB0" w:rsidP="00E36C56">
      <w:pPr>
        <w:jc w:val="left"/>
        <w:rPr>
          <w:rFonts w:ascii="Arial" w:hAnsi="Arial" w:cs="Arial"/>
          <w:b/>
        </w:rPr>
      </w:pPr>
      <w:r w:rsidRPr="00C53CB0">
        <w:rPr>
          <w:rFonts w:ascii="Arial" w:hAnsi="Arial" w:cs="Arial"/>
          <w:b/>
        </w:rPr>
        <w:t xml:space="preserve">Unifying </w:t>
      </w:r>
      <w:r w:rsidRPr="00D978CF">
        <w:rPr>
          <w:rFonts w:ascii="Arial" w:hAnsi="Arial" w:cs="Arial"/>
        </w:rPr>
        <w:t>ranges means rationalising the number of global SKUs and suppliers whilst improving the quality and functionality for our customers and leveraging our scale. This generates cost price reduction and better prices for customers. Products are unified across the whole range</w:t>
      </w:r>
      <w:r w:rsidR="00FE7892">
        <w:rPr>
          <w:rFonts w:ascii="Arial" w:hAnsi="Arial" w:cs="Arial"/>
        </w:rPr>
        <w:t>;</w:t>
      </w:r>
      <w:r w:rsidRPr="00D978CF">
        <w:rPr>
          <w:rFonts w:ascii="Arial" w:hAnsi="Arial" w:cs="Arial"/>
        </w:rPr>
        <w:t xml:space="preserve"> from selling the same product in all our markets to having some customer driven market adaptions where needed. Unified </w:t>
      </w:r>
      <w:r w:rsidR="00C069A1">
        <w:rPr>
          <w:rFonts w:ascii="Arial" w:hAnsi="Arial" w:cs="Arial"/>
        </w:rPr>
        <w:t>includes</w:t>
      </w:r>
      <w:r w:rsidRPr="00D978CF">
        <w:rPr>
          <w:rFonts w:ascii="Arial" w:hAnsi="Arial" w:cs="Arial"/>
        </w:rPr>
        <w:t xml:space="preserve"> our own exclusive brands alongside international and national brands.</w:t>
      </w:r>
    </w:p>
    <w:p w14:paraId="52A02173" w14:textId="77777777" w:rsidR="00C53CB0" w:rsidRPr="00D978CF" w:rsidRDefault="00C53CB0" w:rsidP="00E36C56">
      <w:pPr>
        <w:jc w:val="left"/>
        <w:rPr>
          <w:rFonts w:ascii="Arial" w:hAnsi="Arial" w:cs="Arial"/>
          <w:highlight w:val="yellow"/>
        </w:rPr>
      </w:pPr>
    </w:p>
    <w:p w14:paraId="2E9FA32D" w14:textId="7FEFB9B9" w:rsidR="00F750B6" w:rsidRPr="00F750B6" w:rsidRDefault="00F750B6" w:rsidP="00F750B6">
      <w:pPr>
        <w:jc w:val="left"/>
        <w:rPr>
          <w:rFonts w:ascii="Arial" w:hAnsi="Arial" w:cs="Arial"/>
          <w:b/>
        </w:rPr>
      </w:pPr>
      <w:r w:rsidRPr="00F750B6">
        <w:rPr>
          <w:rFonts w:ascii="Arial" w:hAnsi="Arial" w:cs="Arial"/>
          <w:b/>
        </w:rPr>
        <w:t xml:space="preserve">Unique </w:t>
      </w:r>
      <w:r w:rsidRPr="00D978CF">
        <w:rPr>
          <w:rFonts w:ascii="Arial" w:hAnsi="Arial" w:cs="Arial"/>
        </w:rPr>
        <w:t>ranges relate to the develop</w:t>
      </w:r>
      <w:r>
        <w:rPr>
          <w:rFonts w:ascii="Arial" w:hAnsi="Arial" w:cs="Arial"/>
        </w:rPr>
        <w:t>ment</w:t>
      </w:r>
      <w:r w:rsidRPr="00D978CF">
        <w:rPr>
          <w:rFonts w:ascii="Arial" w:hAnsi="Arial" w:cs="Arial"/>
        </w:rPr>
        <w:t xml:space="preserve"> of our own product ranges </w:t>
      </w:r>
      <w:r w:rsidR="00686653">
        <w:rPr>
          <w:rFonts w:ascii="Arial" w:hAnsi="Arial" w:cs="Arial"/>
        </w:rPr>
        <w:t>to provide differentiation for</w:t>
      </w:r>
      <w:r w:rsidRPr="00D978CF">
        <w:rPr>
          <w:rFonts w:ascii="Arial" w:hAnsi="Arial" w:cs="Arial"/>
        </w:rPr>
        <w:t xml:space="preserve"> customers. These ranges are not available elsewhere and are always sold under our own exclusive brands. Instead of buying products off the shelf from suppliers, we are designing the ranges ourselves based on our deep customer insights.</w:t>
      </w:r>
    </w:p>
    <w:bookmarkEnd w:id="13"/>
    <w:p w14:paraId="15D91AF1" w14:textId="77777777" w:rsidR="00E36C56" w:rsidRDefault="00E36C56" w:rsidP="003A1476">
      <w:pPr>
        <w:jc w:val="left"/>
        <w:rPr>
          <w:rFonts w:ascii="Arial" w:hAnsi="Arial" w:cs="Arial"/>
        </w:rPr>
      </w:pPr>
    </w:p>
    <w:bookmarkEnd w:id="14"/>
    <w:p w14:paraId="2917DA7C" w14:textId="1FFF2272" w:rsidR="003A1476" w:rsidRPr="00C66741" w:rsidRDefault="008C2CA7" w:rsidP="003A1476">
      <w:pPr>
        <w:jc w:val="left"/>
        <w:rPr>
          <w:rFonts w:ascii="Arial" w:hAnsi="Arial" w:cs="Arial"/>
        </w:rPr>
      </w:pPr>
      <w:r>
        <w:rPr>
          <w:rFonts w:ascii="Arial" w:hAnsi="Arial" w:cs="Arial"/>
        </w:rPr>
        <w:t xml:space="preserve">Our </w:t>
      </w:r>
      <w:r w:rsidR="003A1476" w:rsidRPr="00C66741">
        <w:rPr>
          <w:rFonts w:ascii="Arial" w:hAnsi="Arial" w:cs="Arial"/>
        </w:rPr>
        <w:t>FY 1</w:t>
      </w:r>
      <w:r w:rsidR="00297B59">
        <w:rPr>
          <w:rFonts w:ascii="Arial" w:hAnsi="Arial" w:cs="Arial"/>
        </w:rPr>
        <w:t>8</w:t>
      </w:r>
      <w:r w:rsidR="003A1476" w:rsidRPr="00C66741">
        <w:rPr>
          <w:rFonts w:ascii="Arial" w:hAnsi="Arial" w:cs="Arial"/>
        </w:rPr>
        <w:t>/1</w:t>
      </w:r>
      <w:r w:rsidR="00297B59">
        <w:rPr>
          <w:rFonts w:ascii="Arial" w:hAnsi="Arial" w:cs="Arial"/>
        </w:rPr>
        <w:t>9</w:t>
      </w:r>
      <w:r w:rsidR="003A1476" w:rsidRPr="00C66741">
        <w:rPr>
          <w:rFonts w:ascii="Arial" w:hAnsi="Arial" w:cs="Arial"/>
        </w:rPr>
        <w:t xml:space="preserve"> strategic milestone</w:t>
      </w:r>
      <w:r w:rsidR="00D5072C">
        <w:rPr>
          <w:rFonts w:ascii="Arial" w:hAnsi="Arial" w:cs="Arial"/>
        </w:rPr>
        <w:t>s</w:t>
      </w:r>
      <w:r>
        <w:rPr>
          <w:rFonts w:ascii="Arial" w:hAnsi="Arial" w:cs="Arial"/>
        </w:rPr>
        <w:t xml:space="preserve"> were to</w:t>
      </w:r>
      <w:r w:rsidR="003A1476" w:rsidRPr="00C66741">
        <w:rPr>
          <w:rFonts w:ascii="Arial" w:hAnsi="Arial" w:cs="Arial"/>
        </w:rPr>
        <w:t>:</w:t>
      </w:r>
    </w:p>
    <w:p w14:paraId="13259C78" w14:textId="77777777" w:rsidR="003A1476" w:rsidRPr="00E630F1" w:rsidRDefault="003A1476" w:rsidP="003A1476">
      <w:pPr>
        <w:jc w:val="left"/>
        <w:rPr>
          <w:rFonts w:ascii="Arial" w:hAnsi="Arial" w:cs="Arial"/>
        </w:rPr>
      </w:pPr>
    </w:p>
    <w:p w14:paraId="7F66BBEB" w14:textId="6B7B1361" w:rsidR="00297B59" w:rsidRDefault="00297B59" w:rsidP="00946D9D">
      <w:pPr>
        <w:pStyle w:val="ListParagraph"/>
        <w:numPr>
          <w:ilvl w:val="0"/>
          <w:numId w:val="5"/>
        </w:numPr>
        <w:jc w:val="left"/>
        <w:rPr>
          <w:rFonts w:ascii="Arial" w:hAnsi="Arial" w:cs="Arial"/>
          <w:i/>
        </w:rPr>
      </w:pPr>
      <w:r w:rsidRPr="00297B59">
        <w:rPr>
          <w:rFonts w:ascii="Arial" w:hAnsi="Arial" w:cs="Arial"/>
          <w:i/>
        </w:rPr>
        <w:t>Deliver growth in unified &amp; unique sales and gross margin</w:t>
      </w:r>
    </w:p>
    <w:p w14:paraId="24F05DC5" w14:textId="0FB99B7F" w:rsidR="003A1476" w:rsidRPr="00C66741" w:rsidRDefault="006A63A4" w:rsidP="00946D9D">
      <w:pPr>
        <w:pStyle w:val="ListParagraph"/>
        <w:numPr>
          <w:ilvl w:val="0"/>
          <w:numId w:val="5"/>
        </w:numPr>
        <w:jc w:val="left"/>
        <w:rPr>
          <w:rFonts w:ascii="Arial" w:hAnsi="Arial" w:cs="Arial"/>
          <w:i/>
        </w:rPr>
      </w:pPr>
      <w:r>
        <w:rPr>
          <w:rFonts w:ascii="Arial" w:hAnsi="Arial" w:cs="Arial"/>
          <w:i/>
        </w:rPr>
        <w:t>Unify</w:t>
      </w:r>
      <w:r w:rsidR="003A1476" w:rsidRPr="00C66741">
        <w:rPr>
          <w:rFonts w:ascii="Arial" w:hAnsi="Arial" w:cs="Arial"/>
          <w:i/>
        </w:rPr>
        <w:t xml:space="preserve"> </w:t>
      </w:r>
      <w:r w:rsidR="00297B59">
        <w:rPr>
          <w:rFonts w:ascii="Arial" w:hAnsi="Arial" w:cs="Arial"/>
          <w:i/>
        </w:rPr>
        <w:t>4</w:t>
      </w:r>
      <w:r w:rsidR="003A1476" w:rsidRPr="00C66741">
        <w:rPr>
          <w:rFonts w:ascii="Arial" w:hAnsi="Arial" w:cs="Arial"/>
          <w:i/>
        </w:rPr>
        <w:t xml:space="preserve">0% </w:t>
      </w:r>
      <w:r>
        <w:rPr>
          <w:rFonts w:ascii="Arial" w:hAnsi="Arial" w:cs="Arial"/>
          <w:i/>
        </w:rPr>
        <w:t xml:space="preserve">of </w:t>
      </w:r>
      <w:r w:rsidR="002E0500">
        <w:rPr>
          <w:rFonts w:ascii="Arial" w:hAnsi="Arial" w:cs="Arial"/>
          <w:i/>
        </w:rPr>
        <w:t>product (</w:t>
      </w:r>
      <w:r w:rsidR="008C2CA7">
        <w:rPr>
          <w:rFonts w:ascii="Arial" w:hAnsi="Arial" w:cs="Arial"/>
          <w:i/>
        </w:rPr>
        <w:t>cost of goods sold (</w:t>
      </w:r>
      <w:r w:rsidR="003A1476" w:rsidRPr="00C66741">
        <w:rPr>
          <w:rFonts w:ascii="Arial" w:hAnsi="Arial" w:cs="Arial"/>
          <w:i/>
        </w:rPr>
        <w:t>COGS</w:t>
      </w:r>
      <w:r w:rsidR="008C2CA7">
        <w:rPr>
          <w:rFonts w:ascii="Arial" w:hAnsi="Arial" w:cs="Arial"/>
          <w:i/>
        </w:rPr>
        <w:t>)</w:t>
      </w:r>
      <w:r w:rsidR="002E0500">
        <w:rPr>
          <w:rFonts w:ascii="Arial" w:hAnsi="Arial" w:cs="Arial"/>
          <w:i/>
        </w:rPr>
        <w:t>)</w:t>
      </w:r>
    </w:p>
    <w:p w14:paraId="344A0E8E" w14:textId="77777777" w:rsidR="003A1476" w:rsidRPr="00E630F1" w:rsidRDefault="003A1476" w:rsidP="00E630F1">
      <w:pPr>
        <w:jc w:val="left"/>
        <w:rPr>
          <w:rFonts w:ascii="Arial" w:hAnsi="Arial" w:cs="Arial"/>
        </w:rPr>
      </w:pPr>
    </w:p>
    <w:p w14:paraId="181D3C13" w14:textId="70A7CC04" w:rsidR="003A1476" w:rsidRPr="00C66741" w:rsidRDefault="008C2CA7" w:rsidP="003A1476">
      <w:pPr>
        <w:jc w:val="left"/>
        <w:rPr>
          <w:rFonts w:ascii="Arial" w:hAnsi="Arial" w:cs="Arial"/>
        </w:rPr>
      </w:pPr>
      <w:r w:rsidRPr="001A1923">
        <w:rPr>
          <w:rFonts w:ascii="Arial" w:hAnsi="Arial" w:cs="Arial"/>
        </w:rPr>
        <w:t xml:space="preserve">In FY 18/19, we achieved unification of </w:t>
      </w:r>
      <w:r w:rsidR="00484329" w:rsidRPr="00C2187E">
        <w:rPr>
          <w:rFonts w:ascii="Arial" w:hAnsi="Arial" w:cs="Arial"/>
        </w:rPr>
        <w:t>4</w:t>
      </w:r>
      <w:r w:rsidR="001A1923" w:rsidRPr="00C2187E">
        <w:rPr>
          <w:rFonts w:ascii="Arial" w:hAnsi="Arial" w:cs="Arial"/>
        </w:rPr>
        <w:t>4</w:t>
      </w:r>
      <w:r w:rsidR="002E0500" w:rsidRPr="001A1923">
        <w:rPr>
          <w:rFonts w:ascii="Arial" w:hAnsi="Arial" w:cs="Arial"/>
        </w:rPr>
        <w:t>% of product (</w:t>
      </w:r>
      <w:r w:rsidR="00E564E1" w:rsidRPr="001A1923">
        <w:rPr>
          <w:rFonts w:ascii="Arial" w:hAnsi="Arial" w:cs="Arial"/>
        </w:rPr>
        <w:t>COGS</w:t>
      </w:r>
      <w:r w:rsidR="002E0500" w:rsidRPr="001A1923">
        <w:rPr>
          <w:rFonts w:ascii="Arial" w:hAnsi="Arial" w:cs="Arial"/>
        </w:rPr>
        <w:t>)</w:t>
      </w:r>
      <w:r w:rsidR="00E564E1" w:rsidRPr="001A1923">
        <w:rPr>
          <w:rFonts w:ascii="Arial" w:hAnsi="Arial" w:cs="Arial"/>
        </w:rPr>
        <w:t xml:space="preserve">, </w:t>
      </w:r>
      <w:r w:rsidR="007A2FE6" w:rsidRPr="001A1923">
        <w:rPr>
          <w:rFonts w:ascii="Arial" w:hAnsi="Arial" w:cs="Arial"/>
        </w:rPr>
        <w:t>ending the year</w:t>
      </w:r>
      <w:r w:rsidR="003A1476" w:rsidRPr="001A1923">
        <w:rPr>
          <w:rFonts w:ascii="Arial" w:hAnsi="Arial" w:cs="Arial"/>
        </w:rPr>
        <w:t xml:space="preserve"> </w:t>
      </w:r>
      <w:r w:rsidRPr="001A1923">
        <w:rPr>
          <w:rFonts w:ascii="Arial" w:hAnsi="Arial" w:cs="Arial"/>
        </w:rPr>
        <w:t xml:space="preserve">at the </w:t>
      </w:r>
      <w:r w:rsidR="003A1476" w:rsidRPr="001A1923">
        <w:rPr>
          <w:rFonts w:ascii="Arial" w:hAnsi="Arial" w:cs="Arial"/>
        </w:rPr>
        <w:t xml:space="preserve">rate of </w:t>
      </w:r>
      <w:r w:rsidR="00394C61" w:rsidRPr="00C2187E">
        <w:rPr>
          <w:rFonts w:ascii="Arial" w:hAnsi="Arial" w:cs="Arial"/>
        </w:rPr>
        <w:t>50</w:t>
      </w:r>
      <w:r w:rsidR="003A1476" w:rsidRPr="001A1923">
        <w:rPr>
          <w:rFonts w:ascii="Arial" w:hAnsi="Arial" w:cs="Arial"/>
        </w:rPr>
        <w:t>%</w:t>
      </w:r>
      <w:r>
        <w:rPr>
          <w:rFonts w:ascii="Arial" w:hAnsi="Arial" w:cs="Arial"/>
        </w:rPr>
        <w:t xml:space="preserve"> </w:t>
      </w:r>
      <w:r w:rsidRPr="00910EED">
        <w:rPr>
          <w:rFonts w:ascii="Arial" w:hAnsi="Arial" w:cs="Arial"/>
        </w:rPr>
        <w:t>unified</w:t>
      </w:r>
      <w:r w:rsidR="003A1476" w:rsidRPr="00910EED">
        <w:rPr>
          <w:rFonts w:ascii="Arial" w:hAnsi="Arial" w:cs="Arial"/>
        </w:rPr>
        <w:t xml:space="preserve">. We have significantly reduced the number of </w:t>
      </w:r>
      <w:r w:rsidRPr="00910EED">
        <w:rPr>
          <w:rFonts w:ascii="Arial" w:hAnsi="Arial" w:cs="Arial"/>
        </w:rPr>
        <w:t xml:space="preserve">our </w:t>
      </w:r>
      <w:r w:rsidR="003A1476" w:rsidRPr="00910EED">
        <w:rPr>
          <w:rFonts w:ascii="Arial" w:hAnsi="Arial" w:cs="Arial"/>
        </w:rPr>
        <w:t>global suppliers and SKUs</w:t>
      </w:r>
      <w:r w:rsidR="00E564E1" w:rsidRPr="00910EED">
        <w:rPr>
          <w:rFonts w:ascii="Arial" w:hAnsi="Arial" w:cs="Arial"/>
        </w:rPr>
        <w:t xml:space="preserve"> </w:t>
      </w:r>
      <w:r w:rsidR="00255191" w:rsidRPr="00910EED">
        <w:rPr>
          <w:rFonts w:ascii="Arial" w:hAnsi="Arial" w:cs="Arial"/>
        </w:rPr>
        <w:t xml:space="preserve">on ranges that have been unified to </w:t>
      </w:r>
      <w:proofErr w:type="gramStart"/>
      <w:r w:rsidR="00255191" w:rsidRPr="00910EED">
        <w:rPr>
          <w:rFonts w:ascii="Arial" w:hAnsi="Arial" w:cs="Arial"/>
        </w:rPr>
        <w:t>date</w:t>
      </w:r>
      <w:r w:rsidR="003A1476" w:rsidRPr="00910EED">
        <w:rPr>
          <w:rFonts w:ascii="Arial" w:hAnsi="Arial" w:cs="Arial"/>
        </w:rPr>
        <w:t>,</w:t>
      </w:r>
      <w:r w:rsidR="00D61784" w:rsidRPr="00910EED">
        <w:rPr>
          <w:rFonts w:ascii="Arial" w:hAnsi="Arial" w:cs="Arial"/>
        </w:rPr>
        <w:t xml:space="preserve"> </w:t>
      </w:r>
      <w:r w:rsidR="003A1476" w:rsidRPr="00910EED">
        <w:rPr>
          <w:rFonts w:ascii="Arial" w:hAnsi="Arial" w:cs="Arial"/>
        </w:rPr>
        <w:t>but</w:t>
      </w:r>
      <w:proofErr w:type="gramEnd"/>
      <w:r w:rsidR="003A1476" w:rsidRPr="00910EED">
        <w:rPr>
          <w:rFonts w:ascii="Arial" w:hAnsi="Arial" w:cs="Arial"/>
        </w:rPr>
        <w:t xml:space="preserve"> are still offering customers similar breadth of choice.</w:t>
      </w:r>
      <w:r w:rsidR="003A1476" w:rsidRPr="00C66741">
        <w:rPr>
          <w:rFonts w:ascii="Arial" w:hAnsi="Arial" w:cs="Arial"/>
        </w:rPr>
        <w:t xml:space="preserve"> </w:t>
      </w:r>
    </w:p>
    <w:p w14:paraId="34965A41" w14:textId="77777777" w:rsidR="003A1476" w:rsidRPr="00C66741" w:rsidRDefault="003A1476" w:rsidP="003A1476">
      <w:pPr>
        <w:jc w:val="left"/>
        <w:rPr>
          <w:rFonts w:ascii="Arial" w:hAnsi="Arial" w:cs="Arial"/>
        </w:rPr>
      </w:pPr>
    </w:p>
    <w:p w14:paraId="60B90F5B" w14:textId="40E629F2" w:rsidR="003F462F" w:rsidRPr="00255A0D" w:rsidRDefault="003F462F" w:rsidP="003F462F">
      <w:pPr>
        <w:jc w:val="left"/>
        <w:rPr>
          <w:rFonts w:ascii="Arial" w:hAnsi="Arial" w:cs="Arial"/>
        </w:rPr>
      </w:pPr>
      <w:r w:rsidRPr="00255191">
        <w:rPr>
          <w:rFonts w:ascii="Arial" w:hAnsi="Arial" w:cs="Arial"/>
        </w:rPr>
        <w:t xml:space="preserve">In FY 18/19 we continued to implement new ranges including </w:t>
      </w:r>
      <w:r w:rsidRPr="00255A0D">
        <w:rPr>
          <w:rFonts w:ascii="Arial" w:hAnsi="Arial" w:cs="Arial"/>
        </w:rPr>
        <w:t xml:space="preserve">additional outdoor </w:t>
      </w:r>
      <w:r w:rsidR="00A13A05">
        <w:rPr>
          <w:rFonts w:ascii="Arial" w:hAnsi="Arial" w:cs="Arial"/>
        </w:rPr>
        <w:t>products</w:t>
      </w:r>
      <w:r w:rsidRPr="00255A0D">
        <w:rPr>
          <w:rFonts w:ascii="Arial" w:hAnsi="Arial" w:cs="Arial"/>
        </w:rPr>
        <w:t>, doors,</w:t>
      </w:r>
    </w:p>
    <w:p w14:paraId="07112FAE" w14:textId="58E40EF7" w:rsidR="003A1476" w:rsidRPr="00C66741" w:rsidRDefault="003F462F" w:rsidP="003F462F">
      <w:pPr>
        <w:jc w:val="left"/>
        <w:rPr>
          <w:rFonts w:ascii="Arial" w:hAnsi="Arial" w:cs="Arial"/>
        </w:rPr>
      </w:pPr>
      <w:r w:rsidRPr="00255A0D">
        <w:rPr>
          <w:rFonts w:ascii="Arial" w:hAnsi="Arial" w:cs="Arial"/>
        </w:rPr>
        <w:t>indoor and outdoor lights, nails, bolts and screws and glues</w:t>
      </w:r>
      <w:r w:rsidRPr="00255191">
        <w:rPr>
          <w:rFonts w:ascii="Arial" w:hAnsi="Arial" w:cs="Arial"/>
        </w:rPr>
        <w:t xml:space="preserve">. Sales of our unified </w:t>
      </w:r>
      <w:r w:rsidR="00A13A05">
        <w:rPr>
          <w:rFonts w:ascii="Arial" w:hAnsi="Arial" w:cs="Arial"/>
        </w:rPr>
        <w:t>&amp;</w:t>
      </w:r>
      <w:r w:rsidR="00A13A05" w:rsidRPr="00255191">
        <w:rPr>
          <w:rFonts w:ascii="Arial" w:hAnsi="Arial" w:cs="Arial"/>
        </w:rPr>
        <w:t xml:space="preserve"> </w:t>
      </w:r>
      <w:r w:rsidRPr="00255191">
        <w:rPr>
          <w:rFonts w:ascii="Arial" w:hAnsi="Arial" w:cs="Arial"/>
        </w:rPr>
        <w:t>unique ranges continue to outperform non-unified ranges.</w:t>
      </w:r>
      <w:r w:rsidR="003A1476" w:rsidRPr="00255191">
        <w:rPr>
          <w:rFonts w:ascii="Arial" w:hAnsi="Arial" w:cs="Arial"/>
        </w:rPr>
        <w:t xml:space="preserve"> </w:t>
      </w:r>
      <w:r w:rsidR="007A2FE6" w:rsidRPr="00255191">
        <w:rPr>
          <w:rFonts w:ascii="Arial" w:hAnsi="Arial" w:cs="Arial"/>
        </w:rPr>
        <w:t>Sales of u</w:t>
      </w:r>
      <w:r w:rsidR="003A1476" w:rsidRPr="00255191">
        <w:rPr>
          <w:rFonts w:ascii="Arial" w:hAnsi="Arial" w:cs="Arial"/>
        </w:rPr>
        <w:t xml:space="preserve">nified </w:t>
      </w:r>
      <w:r w:rsidR="00D5072C" w:rsidRPr="00255191">
        <w:rPr>
          <w:rFonts w:ascii="Arial" w:hAnsi="Arial" w:cs="Arial"/>
        </w:rPr>
        <w:t xml:space="preserve">&amp; </w:t>
      </w:r>
      <w:r w:rsidR="003A1476" w:rsidRPr="00255191">
        <w:rPr>
          <w:rFonts w:ascii="Arial" w:hAnsi="Arial" w:cs="Arial"/>
        </w:rPr>
        <w:t xml:space="preserve">unique </w:t>
      </w:r>
      <w:r w:rsidR="007A2FE6" w:rsidRPr="00255191">
        <w:rPr>
          <w:rFonts w:ascii="Arial" w:hAnsi="Arial" w:cs="Arial"/>
        </w:rPr>
        <w:t>ranges</w:t>
      </w:r>
      <w:r w:rsidR="003A1476" w:rsidRPr="00255191">
        <w:rPr>
          <w:rFonts w:ascii="Arial" w:hAnsi="Arial" w:cs="Arial"/>
        </w:rPr>
        <w:t xml:space="preserve"> </w:t>
      </w:r>
      <w:r w:rsidRPr="00255191">
        <w:rPr>
          <w:rFonts w:ascii="Arial" w:hAnsi="Arial" w:cs="Arial"/>
        </w:rPr>
        <w:t>in</w:t>
      </w:r>
      <w:r w:rsidR="003A1476" w:rsidRPr="00255191">
        <w:rPr>
          <w:rFonts w:ascii="Arial" w:hAnsi="Arial" w:cs="Arial"/>
        </w:rPr>
        <w:t xml:space="preserve">cluding clearance, were up </w:t>
      </w:r>
      <w:r w:rsidR="00AA7915" w:rsidRPr="001B1EFA">
        <w:rPr>
          <w:rFonts w:ascii="Arial" w:hAnsi="Arial"/>
        </w:rPr>
        <w:t>1</w:t>
      </w:r>
      <w:r w:rsidRPr="001B1EFA">
        <w:rPr>
          <w:rFonts w:ascii="Arial" w:hAnsi="Arial"/>
        </w:rPr>
        <w:t>.</w:t>
      </w:r>
      <w:r w:rsidR="0022072C">
        <w:rPr>
          <w:rFonts w:ascii="Arial" w:hAnsi="Arial"/>
        </w:rPr>
        <w:t>3</w:t>
      </w:r>
      <w:proofErr w:type="gramStart"/>
      <w:r w:rsidR="003A1476" w:rsidRPr="00255191">
        <w:rPr>
          <w:rFonts w:ascii="Arial" w:hAnsi="Arial" w:cs="Arial"/>
        </w:rPr>
        <w:t>%</w:t>
      </w:r>
      <w:r w:rsidR="00D61784" w:rsidRPr="00C2187E">
        <w:rPr>
          <w:rFonts w:ascii="Arial" w:hAnsi="Arial" w:cs="Arial"/>
          <w:vertAlign w:val="superscript"/>
        </w:rPr>
        <w:t>(</w:t>
      </w:r>
      <w:proofErr w:type="gramEnd"/>
      <w:r w:rsidR="00D61784" w:rsidRPr="00C2187E">
        <w:rPr>
          <w:rFonts w:ascii="Arial" w:hAnsi="Arial" w:cs="Arial"/>
          <w:vertAlign w:val="superscript"/>
        </w:rPr>
        <w:t>1)</w:t>
      </w:r>
      <w:r w:rsidR="003A1476" w:rsidRPr="00255191">
        <w:rPr>
          <w:rFonts w:ascii="Arial" w:hAnsi="Arial" w:cs="Arial"/>
        </w:rPr>
        <w:t xml:space="preserve"> compared to last year</w:t>
      </w:r>
      <w:r w:rsidRPr="00255191">
        <w:rPr>
          <w:rFonts w:ascii="Arial" w:hAnsi="Arial" w:cs="Arial"/>
        </w:rPr>
        <w:t xml:space="preserve"> and sales of non-unified ranges were down </w:t>
      </w:r>
      <w:r w:rsidR="00690EF3" w:rsidRPr="001B1EFA">
        <w:rPr>
          <w:rFonts w:ascii="Arial" w:hAnsi="Arial"/>
        </w:rPr>
        <w:t>1</w:t>
      </w:r>
      <w:r w:rsidRPr="001B1EFA">
        <w:rPr>
          <w:rFonts w:ascii="Arial" w:hAnsi="Arial"/>
        </w:rPr>
        <w:t>.</w:t>
      </w:r>
      <w:r w:rsidR="00304B80">
        <w:rPr>
          <w:rFonts w:ascii="Arial" w:hAnsi="Arial"/>
        </w:rPr>
        <w:t>8</w:t>
      </w:r>
      <w:r w:rsidRPr="00255A0D">
        <w:rPr>
          <w:rFonts w:ascii="Arial" w:hAnsi="Arial" w:cs="Arial"/>
        </w:rPr>
        <w:t>%</w:t>
      </w:r>
      <w:r w:rsidR="00D61784" w:rsidRPr="00C2187E">
        <w:rPr>
          <w:rFonts w:ascii="Arial" w:hAnsi="Arial" w:cs="Arial"/>
          <w:vertAlign w:val="superscript"/>
        </w:rPr>
        <w:t>(1)</w:t>
      </w:r>
      <w:r w:rsidR="003A1476" w:rsidRPr="00255191">
        <w:rPr>
          <w:rFonts w:ascii="Arial" w:hAnsi="Arial" w:cs="Arial"/>
        </w:rPr>
        <w:t>.</w:t>
      </w:r>
      <w:r w:rsidR="003A1476" w:rsidRPr="00345B78">
        <w:rPr>
          <w:rFonts w:ascii="Arial" w:hAnsi="Arial" w:cs="Arial"/>
        </w:rPr>
        <w:t xml:space="preserve"> </w:t>
      </w:r>
    </w:p>
    <w:p w14:paraId="395EE54D" w14:textId="77777777" w:rsidR="003A1476" w:rsidRPr="00C66741" w:rsidRDefault="003A1476" w:rsidP="003A1476">
      <w:pPr>
        <w:jc w:val="left"/>
        <w:rPr>
          <w:rFonts w:ascii="Arial" w:hAnsi="Arial" w:cs="Arial"/>
        </w:rPr>
      </w:pPr>
    </w:p>
    <w:p w14:paraId="088F9291" w14:textId="2E6B1665" w:rsidR="003A1476" w:rsidRPr="00C66741" w:rsidRDefault="00D5072C" w:rsidP="003A1476">
      <w:pPr>
        <w:jc w:val="left"/>
        <w:rPr>
          <w:rFonts w:ascii="Arial" w:hAnsi="Arial" w:cs="Arial"/>
        </w:rPr>
      </w:pPr>
      <w:r>
        <w:rPr>
          <w:rFonts w:ascii="Arial" w:hAnsi="Arial" w:cs="Arial"/>
        </w:rPr>
        <w:t>D</w:t>
      </w:r>
      <w:r w:rsidRPr="00D72D34">
        <w:rPr>
          <w:rFonts w:ascii="Arial" w:hAnsi="Arial" w:cs="Arial"/>
        </w:rPr>
        <w:t>uring the year</w:t>
      </w:r>
      <w:r>
        <w:rPr>
          <w:rFonts w:ascii="Arial" w:hAnsi="Arial" w:cs="Arial"/>
        </w:rPr>
        <w:t>, for u</w:t>
      </w:r>
      <w:r w:rsidRPr="00C66741">
        <w:rPr>
          <w:rFonts w:ascii="Arial" w:hAnsi="Arial" w:cs="Arial"/>
        </w:rPr>
        <w:t>nified</w:t>
      </w:r>
      <w:r>
        <w:rPr>
          <w:rFonts w:ascii="Arial" w:hAnsi="Arial" w:cs="Arial"/>
        </w:rPr>
        <w:t xml:space="preserve"> &amp;</w:t>
      </w:r>
      <w:r w:rsidRPr="00C66741">
        <w:rPr>
          <w:rFonts w:ascii="Arial" w:hAnsi="Arial" w:cs="Arial"/>
        </w:rPr>
        <w:t xml:space="preserve"> unique </w:t>
      </w:r>
      <w:r>
        <w:rPr>
          <w:rFonts w:ascii="Arial" w:hAnsi="Arial" w:cs="Arial"/>
        </w:rPr>
        <w:t>ranges,</w:t>
      </w:r>
      <w:r w:rsidRPr="00C66741">
        <w:rPr>
          <w:rFonts w:ascii="Arial" w:hAnsi="Arial" w:cs="Arial"/>
        </w:rPr>
        <w:t xml:space="preserve"> </w:t>
      </w:r>
      <w:r>
        <w:rPr>
          <w:rFonts w:ascii="Arial" w:hAnsi="Arial" w:cs="Arial"/>
        </w:rPr>
        <w:t>w</w:t>
      </w:r>
      <w:r w:rsidRPr="00AF307A">
        <w:rPr>
          <w:rFonts w:ascii="Arial" w:hAnsi="Arial" w:cs="Arial"/>
        </w:rPr>
        <w:t xml:space="preserve">e achieved growth in four of the seven key categories and gross profit uplift </w:t>
      </w:r>
      <w:r w:rsidR="007E196C">
        <w:rPr>
          <w:rFonts w:ascii="Arial" w:hAnsi="Arial" w:cs="Arial"/>
        </w:rPr>
        <w:t>in all</w:t>
      </w:r>
      <w:r w:rsidRPr="00AF307A">
        <w:rPr>
          <w:rFonts w:ascii="Arial" w:hAnsi="Arial" w:cs="Arial"/>
        </w:rPr>
        <w:t xml:space="preserve"> seven</w:t>
      </w:r>
      <w:r w:rsidR="007E196C">
        <w:rPr>
          <w:rFonts w:ascii="Arial" w:hAnsi="Arial" w:cs="Arial"/>
        </w:rPr>
        <w:t xml:space="preserve"> (five at H1 18/19)</w:t>
      </w:r>
      <w:r w:rsidRPr="00AF307A">
        <w:rPr>
          <w:rFonts w:ascii="Arial" w:hAnsi="Arial" w:cs="Arial"/>
        </w:rPr>
        <w:t xml:space="preserve">. </w:t>
      </w:r>
      <w:r w:rsidR="003A1476" w:rsidRPr="00AF307A">
        <w:rPr>
          <w:rFonts w:ascii="Arial" w:hAnsi="Arial" w:cs="Arial"/>
        </w:rPr>
        <w:t xml:space="preserve">Growth in unique ranges, such as the new bathroom furniture and shower ranges, is ahead of unified ranges, however the mix of ranges implemented to date is weighted towards unified. For example, </w:t>
      </w:r>
      <w:r w:rsidR="007A2FE6" w:rsidRPr="00AF307A">
        <w:rPr>
          <w:rFonts w:ascii="Arial" w:hAnsi="Arial" w:cs="Arial"/>
        </w:rPr>
        <w:t xml:space="preserve">sales of </w:t>
      </w:r>
      <w:r w:rsidR="003A1476" w:rsidRPr="00AF307A">
        <w:rPr>
          <w:rFonts w:ascii="Arial" w:hAnsi="Arial" w:cs="Arial"/>
        </w:rPr>
        <w:t xml:space="preserve">unified </w:t>
      </w:r>
      <w:r w:rsidR="00440BB8">
        <w:rPr>
          <w:rFonts w:ascii="Arial" w:hAnsi="Arial" w:cs="Arial"/>
        </w:rPr>
        <w:t>&amp;</w:t>
      </w:r>
      <w:r w:rsidR="00440BB8" w:rsidRPr="00AF307A">
        <w:rPr>
          <w:rFonts w:ascii="Arial" w:hAnsi="Arial" w:cs="Arial"/>
        </w:rPr>
        <w:t xml:space="preserve"> </w:t>
      </w:r>
      <w:r w:rsidR="003A1476" w:rsidRPr="00AF307A">
        <w:rPr>
          <w:rFonts w:ascii="Arial" w:hAnsi="Arial" w:cs="Arial"/>
        </w:rPr>
        <w:t xml:space="preserve">unique bathroom &amp; </w:t>
      </w:r>
      <w:r w:rsidR="003A1476" w:rsidRPr="00440BB8">
        <w:rPr>
          <w:rFonts w:ascii="Arial" w:hAnsi="Arial" w:cs="Arial"/>
        </w:rPr>
        <w:t xml:space="preserve">storage increased by </w:t>
      </w:r>
      <w:r w:rsidR="00440BB8" w:rsidRPr="00C2187E">
        <w:rPr>
          <w:rFonts w:ascii="Arial" w:hAnsi="Arial"/>
        </w:rPr>
        <w:t>5.0</w:t>
      </w:r>
      <w:r w:rsidR="003A1476" w:rsidRPr="00440BB8">
        <w:rPr>
          <w:rFonts w:ascii="Arial" w:hAnsi="Arial" w:cs="Arial"/>
        </w:rPr>
        <w:t xml:space="preserve">% whereas total sales </w:t>
      </w:r>
      <w:r w:rsidR="00C069A1">
        <w:rPr>
          <w:rFonts w:ascii="Arial" w:hAnsi="Arial" w:cs="Arial"/>
        </w:rPr>
        <w:t xml:space="preserve">for this category </w:t>
      </w:r>
      <w:r w:rsidR="003A1476" w:rsidRPr="00440BB8">
        <w:rPr>
          <w:rFonts w:ascii="Arial" w:hAnsi="Arial" w:cs="Arial"/>
        </w:rPr>
        <w:t xml:space="preserve">were </w:t>
      </w:r>
      <w:r w:rsidR="00440BB8" w:rsidRPr="00440BB8">
        <w:rPr>
          <w:rFonts w:ascii="Arial" w:hAnsi="Arial"/>
        </w:rPr>
        <w:t>up 1.1</w:t>
      </w:r>
      <w:r w:rsidR="003F462F" w:rsidRPr="00440BB8">
        <w:rPr>
          <w:rFonts w:ascii="Arial" w:hAnsi="Arial" w:cs="Arial"/>
        </w:rPr>
        <w:t>%</w:t>
      </w:r>
      <w:r w:rsidR="003A1476" w:rsidRPr="00440BB8">
        <w:rPr>
          <w:rFonts w:ascii="Arial" w:hAnsi="Arial" w:cs="Arial"/>
        </w:rPr>
        <w:t>.</w:t>
      </w:r>
      <w:r w:rsidR="003A1476" w:rsidRPr="00AF307A">
        <w:rPr>
          <w:rFonts w:ascii="Arial" w:hAnsi="Arial" w:cs="Arial"/>
        </w:rPr>
        <w:t xml:space="preserve"> </w:t>
      </w:r>
    </w:p>
    <w:p w14:paraId="06F6851E" w14:textId="463CC01E" w:rsidR="003A1476" w:rsidRPr="00E630F1" w:rsidRDefault="003A1476" w:rsidP="003A1476">
      <w:pPr>
        <w:jc w:val="left"/>
        <w:rPr>
          <w:rFonts w:ascii="Arial" w:hAnsi="Arial" w:cs="Arial"/>
        </w:rPr>
      </w:pPr>
    </w:p>
    <w:p w14:paraId="3043A51F" w14:textId="4BBFB2A3" w:rsidR="00F3187E" w:rsidRPr="00E630F1" w:rsidRDefault="00C62CC9" w:rsidP="003F462F">
      <w:pPr>
        <w:jc w:val="left"/>
        <w:rPr>
          <w:rFonts w:ascii="Arial" w:hAnsi="Arial"/>
        </w:rPr>
      </w:pPr>
      <w:r w:rsidRPr="004B6AC6">
        <w:rPr>
          <w:rFonts w:ascii="Arial" w:hAnsi="Arial"/>
        </w:rPr>
        <w:t xml:space="preserve">Since the start of the plan, cumulative gross margin for unified &amp; unique has increased </w:t>
      </w:r>
      <w:r w:rsidRPr="00493601">
        <w:rPr>
          <w:rFonts w:ascii="Arial" w:hAnsi="Arial"/>
        </w:rPr>
        <w:t xml:space="preserve">by </w:t>
      </w:r>
      <w:r w:rsidR="007E196C" w:rsidRPr="0035009E">
        <w:rPr>
          <w:rFonts w:ascii="Arial" w:hAnsi="Arial"/>
        </w:rPr>
        <w:t>2</w:t>
      </w:r>
      <w:r w:rsidR="00BA5B62" w:rsidRPr="0035009E">
        <w:rPr>
          <w:rFonts w:ascii="Arial" w:hAnsi="Arial"/>
        </w:rPr>
        <w:t>3</w:t>
      </w:r>
      <w:r w:rsidR="007E196C" w:rsidRPr="0035009E">
        <w:rPr>
          <w:rFonts w:ascii="Arial" w:hAnsi="Arial"/>
        </w:rPr>
        <w:t>0</w:t>
      </w:r>
      <w:r w:rsidRPr="00493601">
        <w:rPr>
          <w:rFonts w:ascii="Arial" w:hAnsi="Arial"/>
        </w:rPr>
        <w:t>bps, a</w:t>
      </w:r>
      <w:r w:rsidRPr="00F12F4E">
        <w:rPr>
          <w:rFonts w:ascii="Arial" w:hAnsi="Arial"/>
        </w:rPr>
        <w:t>fter cost price inflation</w:t>
      </w:r>
      <w:r w:rsidRPr="00493601">
        <w:rPr>
          <w:rFonts w:ascii="Arial" w:hAnsi="Arial"/>
        </w:rPr>
        <w:t xml:space="preserve"> and price investment (before clearance and the impact of logistics and stock inefficiencies). In FY 18/19, g</w:t>
      </w:r>
      <w:r w:rsidR="00D81701" w:rsidRPr="00493601">
        <w:rPr>
          <w:rFonts w:ascii="Arial" w:hAnsi="Arial"/>
        </w:rPr>
        <w:t xml:space="preserve">ross margin for unified </w:t>
      </w:r>
      <w:r w:rsidRPr="00493601">
        <w:rPr>
          <w:rFonts w:ascii="Arial" w:hAnsi="Arial"/>
        </w:rPr>
        <w:t>&amp;</w:t>
      </w:r>
      <w:r w:rsidR="00D81701" w:rsidRPr="00493601">
        <w:rPr>
          <w:rFonts w:ascii="Arial" w:hAnsi="Arial"/>
        </w:rPr>
        <w:t xml:space="preserve"> unique ranges </w:t>
      </w:r>
      <w:r w:rsidRPr="00493601">
        <w:rPr>
          <w:rFonts w:ascii="Arial" w:hAnsi="Arial"/>
        </w:rPr>
        <w:t xml:space="preserve">increased by </w:t>
      </w:r>
      <w:r w:rsidR="007E196C" w:rsidRPr="0035009E">
        <w:rPr>
          <w:rFonts w:ascii="Arial" w:hAnsi="Arial"/>
        </w:rPr>
        <w:t>120</w:t>
      </w:r>
      <w:r w:rsidR="00D81701" w:rsidRPr="00493601">
        <w:rPr>
          <w:rFonts w:ascii="Arial" w:hAnsi="Arial"/>
        </w:rPr>
        <w:t xml:space="preserve">bps </w:t>
      </w:r>
      <w:r w:rsidRPr="00493601">
        <w:rPr>
          <w:rFonts w:ascii="Arial" w:hAnsi="Arial"/>
        </w:rPr>
        <w:t>year on year</w:t>
      </w:r>
      <w:r w:rsidR="003F462F" w:rsidRPr="00493601">
        <w:rPr>
          <w:rFonts w:ascii="Arial" w:hAnsi="Arial"/>
        </w:rPr>
        <w:t xml:space="preserve">. </w:t>
      </w:r>
      <w:r w:rsidR="00486555" w:rsidRPr="00493601">
        <w:rPr>
          <w:rFonts w:ascii="Arial" w:hAnsi="Arial"/>
        </w:rPr>
        <w:t xml:space="preserve">This </w:t>
      </w:r>
      <w:r w:rsidR="003F462F" w:rsidRPr="00493601">
        <w:rPr>
          <w:rFonts w:ascii="Arial" w:hAnsi="Arial"/>
        </w:rPr>
        <w:t xml:space="preserve">uplift was on the </w:t>
      </w:r>
      <w:r w:rsidR="003F462F" w:rsidRPr="00F12F4E">
        <w:rPr>
          <w:rFonts w:ascii="Arial" w:hAnsi="Arial"/>
        </w:rPr>
        <w:t>4</w:t>
      </w:r>
      <w:r w:rsidR="003C6881" w:rsidRPr="00493601">
        <w:rPr>
          <w:rFonts w:ascii="Arial" w:hAnsi="Arial"/>
        </w:rPr>
        <w:t>4</w:t>
      </w:r>
      <w:r w:rsidR="003F462F" w:rsidRPr="00493601">
        <w:rPr>
          <w:rFonts w:ascii="Arial" w:hAnsi="Arial"/>
        </w:rPr>
        <w:t>% of COGS that have been unified</w:t>
      </w:r>
      <w:r w:rsidR="00486555" w:rsidRPr="00493601">
        <w:rPr>
          <w:rFonts w:ascii="Arial" w:hAnsi="Arial"/>
        </w:rPr>
        <w:t>,</w:t>
      </w:r>
      <w:r w:rsidR="003F462F" w:rsidRPr="00493601">
        <w:rPr>
          <w:rFonts w:ascii="Arial" w:hAnsi="Arial"/>
        </w:rPr>
        <w:t xml:space="preserve"> </w:t>
      </w:r>
      <w:r w:rsidR="00D81701" w:rsidRPr="00493601">
        <w:rPr>
          <w:rFonts w:ascii="Arial" w:hAnsi="Arial"/>
        </w:rPr>
        <w:t>contribut</w:t>
      </w:r>
      <w:r w:rsidRPr="00493601">
        <w:rPr>
          <w:rFonts w:ascii="Arial" w:hAnsi="Arial"/>
        </w:rPr>
        <w:t>ing</w:t>
      </w:r>
      <w:r w:rsidR="00D81701" w:rsidRPr="00493601">
        <w:rPr>
          <w:rFonts w:ascii="Arial" w:hAnsi="Arial"/>
        </w:rPr>
        <w:t xml:space="preserve"> </w:t>
      </w:r>
      <w:r w:rsidR="00943DA4" w:rsidRPr="0035009E">
        <w:rPr>
          <w:rFonts w:ascii="Arial" w:hAnsi="Arial" w:cs="Arial"/>
        </w:rPr>
        <w:t>50</w:t>
      </w:r>
      <w:r w:rsidR="003F462F" w:rsidRPr="00493601">
        <w:rPr>
          <w:rFonts w:ascii="Arial" w:hAnsi="Arial"/>
        </w:rPr>
        <w:t xml:space="preserve">bps </w:t>
      </w:r>
      <w:r w:rsidR="00943DA4" w:rsidRPr="00493601">
        <w:rPr>
          <w:rFonts w:ascii="Arial" w:hAnsi="Arial"/>
        </w:rPr>
        <w:t>to the</w:t>
      </w:r>
      <w:r w:rsidR="00943DA4">
        <w:rPr>
          <w:rFonts w:ascii="Arial" w:hAnsi="Arial"/>
        </w:rPr>
        <w:t xml:space="preserve"> Group gross margin movement in FY 18/19</w:t>
      </w:r>
      <w:r w:rsidR="003F462F" w:rsidRPr="00E630F1">
        <w:rPr>
          <w:rFonts w:ascii="Arial" w:hAnsi="Arial"/>
        </w:rPr>
        <w:t>. Clearance costs were flat year o</w:t>
      </w:r>
      <w:r w:rsidR="00E94BC3" w:rsidRPr="00E630F1">
        <w:rPr>
          <w:rFonts w:ascii="Arial" w:hAnsi="Arial"/>
        </w:rPr>
        <w:t>n</w:t>
      </w:r>
      <w:r w:rsidR="003F462F" w:rsidRPr="00E630F1">
        <w:rPr>
          <w:rFonts w:ascii="Arial" w:hAnsi="Arial"/>
        </w:rPr>
        <w:t xml:space="preserve"> year. </w:t>
      </w:r>
    </w:p>
    <w:p w14:paraId="3F057B8D" w14:textId="77777777" w:rsidR="00D61784" w:rsidRDefault="00C62CC9" w:rsidP="00D61784">
      <w:pPr>
        <w:jc w:val="left"/>
        <w:rPr>
          <w:rFonts w:ascii="Arial" w:hAnsi="Arial"/>
        </w:rPr>
      </w:pPr>
      <w:r w:rsidRPr="00C62CC9" w:rsidDel="00C62CC9">
        <w:rPr>
          <w:rFonts w:ascii="Arial" w:hAnsi="Arial"/>
        </w:rPr>
        <w:t xml:space="preserve"> </w:t>
      </w:r>
    </w:p>
    <w:p w14:paraId="3EA99C56" w14:textId="231AB17D" w:rsidR="00EA1A01" w:rsidRPr="00C2187E" w:rsidRDefault="00D61784" w:rsidP="00C2187E">
      <w:pPr>
        <w:rPr>
          <w:rFonts w:ascii="Arial" w:hAnsi="Arial" w:cs="Arial"/>
          <w:bCs/>
          <w:sz w:val="18"/>
        </w:rPr>
      </w:pPr>
      <w:r w:rsidRPr="003A51DA">
        <w:rPr>
          <w:rFonts w:ascii="Arial" w:hAnsi="Arial" w:cs="Arial" w:hint="eastAsia"/>
          <w:bCs/>
          <w:sz w:val="18"/>
          <w:vertAlign w:val="superscript"/>
        </w:rPr>
        <w:t>(1)</w:t>
      </w:r>
      <w:r w:rsidRPr="003A51DA">
        <w:rPr>
          <w:rFonts w:ascii="Arial" w:hAnsi="Arial" w:cs="Arial" w:hint="eastAsia"/>
          <w:bCs/>
          <w:sz w:val="18"/>
        </w:rPr>
        <w:t xml:space="preserve"> </w:t>
      </w:r>
      <w:r>
        <w:rPr>
          <w:rFonts w:ascii="Arial" w:hAnsi="Arial" w:cs="Arial"/>
          <w:bCs/>
          <w:sz w:val="18"/>
        </w:rPr>
        <w:t xml:space="preserve"> </w:t>
      </w:r>
      <w:r w:rsidRPr="00C2187E">
        <w:rPr>
          <w:rFonts w:ascii="Arial" w:hAnsi="Arial" w:cs="Arial"/>
          <w:sz w:val="18"/>
        </w:rPr>
        <w:t>In constant currency including clearance, excluding Praktiker Romania, Screwfix Germany, Portugal and services</w:t>
      </w:r>
    </w:p>
    <w:p w14:paraId="387E7108" w14:textId="5217D031" w:rsidR="00EA1A01" w:rsidRDefault="00EA1A01" w:rsidP="00D61784">
      <w:pPr>
        <w:jc w:val="left"/>
        <w:rPr>
          <w:rFonts w:ascii="Arial" w:hAnsi="Arial"/>
        </w:rPr>
      </w:pPr>
    </w:p>
    <w:p w14:paraId="769AC216" w14:textId="0437D5BE" w:rsidR="00D61784" w:rsidRDefault="00D61784" w:rsidP="00D61784">
      <w:pPr>
        <w:jc w:val="left"/>
        <w:rPr>
          <w:rFonts w:ascii="Arial" w:hAnsi="Arial"/>
        </w:rPr>
      </w:pPr>
    </w:p>
    <w:p w14:paraId="6D0F97E9" w14:textId="77777777" w:rsidR="009275D1" w:rsidRDefault="009275D1" w:rsidP="00D61784">
      <w:pPr>
        <w:jc w:val="left"/>
        <w:rPr>
          <w:rFonts w:ascii="Arial" w:hAnsi="Arial"/>
        </w:rPr>
      </w:pPr>
    </w:p>
    <w:p w14:paraId="45D7EDDB" w14:textId="759E18B3" w:rsidR="003A1476" w:rsidRPr="00767FA6" w:rsidRDefault="003A1476" w:rsidP="00946D9D">
      <w:pPr>
        <w:pStyle w:val="ListParagraph"/>
        <w:numPr>
          <w:ilvl w:val="0"/>
          <w:numId w:val="22"/>
        </w:numPr>
        <w:jc w:val="left"/>
        <w:rPr>
          <w:rFonts w:ascii="Arial" w:hAnsi="Arial" w:cs="Arial"/>
          <w:b/>
        </w:rPr>
      </w:pPr>
      <w:r w:rsidRPr="00767FA6">
        <w:rPr>
          <w:rFonts w:ascii="Arial" w:hAnsi="Arial" w:cs="Arial"/>
          <w:b/>
          <w:u w:val="single"/>
        </w:rPr>
        <w:lastRenderedPageBreak/>
        <w:t xml:space="preserve">Digital </w:t>
      </w:r>
    </w:p>
    <w:p w14:paraId="4C5ABF24" w14:textId="07CCCF7E" w:rsidR="00CC7DA4" w:rsidRPr="00F3187E" w:rsidRDefault="00CC7DA4" w:rsidP="001908E1">
      <w:pPr>
        <w:pStyle w:val="ListParagraph"/>
      </w:pPr>
    </w:p>
    <w:p w14:paraId="1C623723" w14:textId="29E583C5" w:rsidR="003A1476" w:rsidRPr="001908E1" w:rsidRDefault="003A1476" w:rsidP="001908E1">
      <w:pPr>
        <w:jc w:val="left"/>
        <w:rPr>
          <w:rFonts w:ascii="Arial" w:hAnsi="Arial" w:cs="Arial"/>
          <w:i/>
        </w:rPr>
      </w:pPr>
      <w:r w:rsidRPr="001908E1">
        <w:rPr>
          <w:rFonts w:ascii="Arial" w:hAnsi="Arial" w:cs="Arial"/>
        </w:rPr>
        <w:t xml:space="preserve">Implementation of a </w:t>
      </w:r>
      <w:r w:rsidR="00F411D0">
        <w:rPr>
          <w:rFonts w:ascii="Arial" w:hAnsi="Arial" w:cs="Arial"/>
        </w:rPr>
        <w:t xml:space="preserve">new </w:t>
      </w:r>
      <w:r w:rsidRPr="001908E1">
        <w:rPr>
          <w:rFonts w:ascii="Arial" w:hAnsi="Arial" w:cs="Arial"/>
        </w:rPr>
        <w:t xml:space="preserve">unified IT system is a key enabler of our </w:t>
      </w:r>
      <w:r w:rsidR="0044533E">
        <w:rPr>
          <w:rFonts w:ascii="Arial" w:hAnsi="Arial" w:cs="Arial"/>
        </w:rPr>
        <w:t xml:space="preserve">transformation </w:t>
      </w:r>
      <w:r w:rsidRPr="001908E1">
        <w:rPr>
          <w:rFonts w:ascii="Arial" w:hAnsi="Arial" w:cs="Arial"/>
        </w:rPr>
        <w:t xml:space="preserve">plan. It </w:t>
      </w:r>
      <w:r w:rsidR="00B7038E">
        <w:rPr>
          <w:rFonts w:ascii="Arial" w:hAnsi="Arial" w:cs="Arial"/>
        </w:rPr>
        <w:t xml:space="preserve">is </w:t>
      </w:r>
      <w:r w:rsidRPr="0029201B">
        <w:rPr>
          <w:rFonts w:ascii="Arial" w:hAnsi="Arial" w:cs="Arial"/>
        </w:rPr>
        <w:t>provid</w:t>
      </w:r>
      <w:r w:rsidR="00B7038E">
        <w:rPr>
          <w:rFonts w:ascii="Arial" w:hAnsi="Arial" w:cs="Arial"/>
        </w:rPr>
        <w:t xml:space="preserve">ing </w:t>
      </w:r>
      <w:r w:rsidR="00CC64E8">
        <w:rPr>
          <w:rFonts w:ascii="Arial" w:hAnsi="Arial" w:cs="Arial"/>
        </w:rPr>
        <w:t xml:space="preserve">the foundation to deliver a </w:t>
      </w:r>
      <w:r w:rsidRPr="009366ED">
        <w:rPr>
          <w:rFonts w:ascii="Arial" w:hAnsi="Arial" w:cs="Arial"/>
        </w:rPr>
        <w:t xml:space="preserve">seamless and stronger digital offer for our customers, </w:t>
      </w:r>
      <w:r w:rsidR="00CC64E8">
        <w:rPr>
          <w:rFonts w:ascii="Arial" w:hAnsi="Arial" w:cs="Arial"/>
        </w:rPr>
        <w:t xml:space="preserve">and </w:t>
      </w:r>
      <w:r w:rsidRPr="009366ED">
        <w:rPr>
          <w:rFonts w:ascii="Arial" w:hAnsi="Arial" w:cs="Arial"/>
        </w:rPr>
        <w:t xml:space="preserve">to increase sales and digital penetration. </w:t>
      </w:r>
    </w:p>
    <w:p w14:paraId="7EE9EACA" w14:textId="77777777" w:rsidR="003A1476" w:rsidRPr="0035009E" w:rsidRDefault="003A1476" w:rsidP="003A1476">
      <w:pPr>
        <w:jc w:val="left"/>
        <w:rPr>
          <w:rFonts w:ascii="Arial" w:hAnsi="Arial" w:cs="Arial"/>
          <w:highlight w:val="yellow"/>
        </w:rPr>
      </w:pPr>
    </w:p>
    <w:p w14:paraId="6EE1469C" w14:textId="26194FE8" w:rsidR="003A1476" w:rsidRPr="006B2843" w:rsidRDefault="007B1B18" w:rsidP="003A1476">
      <w:pPr>
        <w:jc w:val="left"/>
        <w:rPr>
          <w:rFonts w:ascii="Arial" w:hAnsi="Arial" w:cs="Arial"/>
        </w:rPr>
      </w:pPr>
      <w:r>
        <w:rPr>
          <w:rFonts w:ascii="Arial" w:hAnsi="Arial" w:cs="Arial"/>
        </w:rPr>
        <w:t xml:space="preserve">Our </w:t>
      </w:r>
      <w:r w:rsidR="003A1476" w:rsidRPr="00C66741">
        <w:rPr>
          <w:rFonts w:ascii="Arial" w:hAnsi="Arial" w:cs="Arial"/>
        </w:rPr>
        <w:t>FY 1</w:t>
      </w:r>
      <w:r w:rsidR="008D65D5">
        <w:rPr>
          <w:rFonts w:ascii="Arial" w:hAnsi="Arial" w:cs="Arial"/>
        </w:rPr>
        <w:t>8</w:t>
      </w:r>
      <w:r w:rsidR="003A1476" w:rsidRPr="00C66741">
        <w:rPr>
          <w:rFonts w:ascii="Arial" w:hAnsi="Arial" w:cs="Arial"/>
        </w:rPr>
        <w:t>/1</w:t>
      </w:r>
      <w:r w:rsidR="008D65D5">
        <w:rPr>
          <w:rFonts w:ascii="Arial" w:hAnsi="Arial" w:cs="Arial"/>
        </w:rPr>
        <w:t>9</w:t>
      </w:r>
      <w:r w:rsidR="003A1476" w:rsidRPr="00C66741">
        <w:rPr>
          <w:rFonts w:ascii="Arial" w:hAnsi="Arial" w:cs="Arial"/>
        </w:rPr>
        <w:t xml:space="preserve"> strategic milestone</w:t>
      </w:r>
      <w:r w:rsidR="008D65D5">
        <w:rPr>
          <w:rFonts w:ascii="Arial" w:hAnsi="Arial" w:cs="Arial"/>
        </w:rPr>
        <w:t>s</w:t>
      </w:r>
      <w:r>
        <w:rPr>
          <w:rFonts w:ascii="Arial" w:hAnsi="Arial" w:cs="Arial"/>
        </w:rPr>
        <w:t xml:space="preserve"> were</w:t>
      </w:r>
      <w:r w:rsidR="00135DCE">
        <w:rPr>
          <w:rFonts w:ascii="Arial" w:hAnsi="Arial" w:cs="Arial"/>
        </w:rPr>
        <w:t xml:space="preserve"> to</w:t>
      </w:r>
      <w:r w:rsidR="003A1476" w:rsidRPr="00C66741">
        <w:rPr>
          <w:rFonts w:ascii="Arial" w:hAnsi="Arial" w:cs="Arial"/>
        </w:rPr>
        <w:t>:</w:t>
      </w:r>
    </w:p>
    <w:p w14:paraId="535EB8FF" w14:textId="77777777" w:rsidR="003A1476" w:rsidRPr="006B2843" w:rsidRDefault="003A1476" w:rsidP="003A1476">
      <w:pPr>
        <w:jc w:val="left"/>
        <w:rPr>
          <w:rFonts w:ascii="Arial" w:hAnsi="Arial" w:cs="Arial"/>
          <w:highlight w:val="yellow"/>
        </w:rPr>
      </w:pPr>
    </w:p>
    <w:p w14:paraId="66333489" w14:textId="5D4C9F2E" w:rsidR="008D65D5" w:rsidRPr="008D65D5" w:rsidRDefault="008D65D5" w:rsidP="00946D9D">
      <w:pPr>
        <w:pStyle w:val="ListParagraph"/>
        <w:numPr>
          <w:ilvl w:val="0"/>
          <w:numId w:val="6"/>
        </w:numPr>
        <w:jc w:val="left"/>
        <w:rPr>
          <w:rFonts w:ascii="Arial" w:hAnsi="Arial" w:cs="Arial"/>
          <w:i/>
        </w:rPr>
      </w:pPr>
      <w:r w:rsidRPr="008D65D5">
        <w:rPr>
          <w:rFonts w:ascii="Arial" w:hAnsi="Arial" w:cs="Arial"/>
          <w:i/>
        </w:rPr>
        <w:t xml:space="preserve">Complete </w:t>
      </w:r>
      <w:r w:rsidR="00135DCE">
        <w:rPr>
          <w:rFonts w:ascii="Arial" w:hAnsi="Arial" w:cs="Arial"/>
          <w:i/>
        </w:rPr>
        <w:t xml:space="preserve">the </w:t>
      </w:r>
      <w:r w:rsidRPr="008D65D5">
        <w:rPr>
          <w:rFonts w:ascii="Arial" w:hAnsi="Arial" w:cs="Arial"/>
          <w:i/>
        </w:rPr>
        <w:t xml:space="preserve">final year of unified IT platform rollout </w:t>
      </w:r>
    </w:p>
    <w:p w14:paraId="55736C45" w14:textId="5F839DB9" w:rsidR="008D65D5" w:rsidRPr="008D65D5" w:rsidRDefault="008D65D5" w:rsidP="00946D9D">
      <w:pPr>
        <w:pStyle w:val="ListParagraph"/>
        <w:numPr>
          <w:ilvl w:val="0"/>
          <w:numId w:val="6"/>
        </w:numPr>
        <w:jc w:val="left"/>
        <w:rPr>
          <w:rFonts w:ascii="Arial" w:hAnsi="Arial" w:cs="Arial"/>
          <w:i/>
        </w:rPr>
      </w:pPr>
      <w:r w:rsidRPr="008D65D5">
        <w:rPr>
          <w:rFonts w:ascii="Arial" w:hAnsi="Arial" w:cs="Arial"/>
          <w:i/>
        </w:rPr>
        <w:t>Complete ecommerce rollout in France &amp; Poland</w:t>
      </w:r>
    </w:p>
    <w:p w14:paraId="18BE2919" w14:textId="7A58D226" w:rsidR="008D65D5" w:rsidRPr="006B2843" w:rsidRDefault="008D65D5" w:rsidP="00946D9D">
      <w:pPr>
        <w:pStyle w:val="ListParagraph"/>
        <w:numPr>
          <w:ilvl w:val="0"/>
          <w:numId w:val="6"/>
        </w:numPr>
        <w:jc w:val="left"/>
        <w:rPr>
          <w:rFonts w:ascii="Arial" w:hAnsi="Arial" w:cs="Arial"/>
          <w:i/>
        </w:rPr>
      </w:pPr>
      <w:r w:rsidRPr="008D65D5">
        <w:rPr>
          <w:rFonts w:ascii="Arial" w:hAnsi="Arial" w:cs="Arial"/>
          <w:i/>
        </w:rPr>
        <w:t>Market launch of first home improvement services in UK &amp; France</w:t>
      </w:r>
    </w:p>
    <w:p w14:paraId="3AD2728C" w14:textId="77777777" w:rsidR="003A1476" w:rsidRPr="009877EE" w:rsidRDefault="003A1476" w:rsidP="009877EE">
      <w:pPr>
        <w:jc w:val="left"/>
        <w:rPr>
          <w:rFonts w:ascii="Arial" w:hAnsi="Arial" w:cs="Arial"/>
          <w:i/>
          <w:highlight w:val="yellow"/>
        </w:rPr>
      </w:pPr>
    </w:p>
    <w:p w14:paraId="368134CF" w14:textId="28A2C907" w:rsidR="003A1476" w:rsidRPr="006B2843" w:rsidRDefault="003A1476" w:rsidP="003A1476">
      <w:pPr>
        <w:spacing w:after="200"/>
        <w:contextualSpacing/>
        <w:jc w:val="left"/>
        <w:rPr>
          <w:rFonts w:ascii="Arial" w:hAnsi="Arial" w:cs="Arial"/>
        </w:rPr>
      </w:pPr>
      <w:r w:rsidRPr="00C66741">
        <w:rPr>
          <w:rFonts w:ascii="Arial" w:hAnsi="Arial" w:cs="Arial"/>
        </w:rPr>
        <w:t xml:space="preserve">This involves </w:t>
      </w:r>
      <w:r w:rsidR="00135DCE">
        <w:rPr>
          <w:rFonts w:ascii="Arial" w:hAnsi="Arial" w:cs="Arial"/>
        </w:rPr>
        <w:t xml:space="preserve">continuing to </w:t>
      </w:r>
      <w:r w:rsidRPr="00C66741">
        <w:rPr>
          <w:rFonts w:ascii="Arial" w:hAnsi="Arial" w:cs="Arial"/>
        </w:rPr>
        <w:t>invest in our core ecommerce platforms, enabled by the new unified IT infrastructure, and leveraging our Screwfix best-in-class capability</w:t>
      </w:r>
      <w:r w:rsidR="00474B6E">
        <w:rPr>
          <w:rFonts w:ascii="Arial" w:hAnsi="Arial" w:cs="Arial"/>
        </w:rPr>
        <w:t xml:space="preserve">. This includes </w:t>
      </w:r>
      <w:r w:rsidRPr="00C66741">
        <w:rPr>
          <w:rFonts w:ascii="Arial" w:hAnsi="Arial" w:cs="Arial"/>
        </w:rPr>
        <w:t xml:space="preserve">upweighted digital marketing, improved site search, new checkout and launching new mobile sites. </w:t>
      </w:r>
    </w:p>
    <w:p w14:paraId="15D3BBC6" w14:textId="11E24A64" w:rsidR="003A1476" w:rsidRDefault="003A1476" w:rsidP="003A1476">
      <w:pPr>
        <w:jc w:val="left"/>
        <w:rPr>
          <w:rFonts w:ascii="Arial" w:hAnsi="Arial" w:cs="Arial"/>
          <w:highlight w:val="yellow"/>
        </w:rPr>
      </w:pPr>
    </w:p>
    <w:p w14:paraId="14D53B2C" w14:textId="3D06709C" w:rsidR="00647FF1" w:rsidRDefault="00C62CC9" w:rsidP="00647FF1">
      <w:pPr>
        <w:spacing w:after="200"/>
        <w:contextualSpacing/>
        <w:rPr>
          <w:rFonts w:ascii="Arial" w:hAnsi="Arial" w:cs="Arial"/>
        </w:rPr>
      </w:pPr>
      <w:bookmarkStart w:id="15" w:name="_Hlk2872482"/>
      <w:r>
        <w:rPr>
          <w:rFonts w:ascii="Arial" w:hAnsi="Arial" w:cs="Arial"/>
        </w:rPr>
        <w:t xml:space="preserve">Our </w:t>
      </w:r>
      <w:r w:rsidRPr="00AB52F3">
        <w:rPr>
          <w:rFonts w:ascii="Arial" w:hAnsi="Arial" w:cs="Arial"/>
        </w:rPr>
        <w:t xml:space="preserve">unified IT platform rollout is </w:t>
      </w:r>
      <w:r w:rsidR="00E1060D">
        <w:rPr>
          <w:rFonts w:ascii="Arial" w:hAnsi="Arial" w:cs="Arial"/>
        </w:rPr>
        <w:t xml:space="preserve">substantially </w:t>
      </w:r>
      <w:proofErr w:type="gramStart"/>
      <w:r w:rsidR="00E1060D">
        <w:rPr>
          <w:rFonts w:ascii="Arial" w:hAnsi="Arial" w:cs="Arial"/>
        </w:rPr>
        <w:t>complete</w:t>
      </w:r>
      <w:proofErr w:type="gramEnd"/>
      <w:r w:rsidR="00E1060D">
        <w:rPr>
          <w:rFonts w:ascii="Arial" w:hAnsi="Arial" w:cs="Arial"/>
        </w:rPr>
        <w:t xml:space="preserve"> and </w:t>
      </w:r>
      <w:bookmarkEnd w:id="15"/>
      <w:r w:rsidR="00E1060D">
        <w:rPr>
          <w:rFonts w:ascii="Arial" w:hAnsi="Arial" w:cs="Arial"/>
        </w:rPr>
        <w:t>o</w:t>
      </w:r>
      <w:r w:rsidR="008D65D5" w:rsidRPr="008D65D5">
        <w:rPr>
          <w:rFonts w:ascii="Arial" w:hAnsi="Arial" w:cs="Arial"/>
        </w:rPr>
        <w:t xml:space="preserve">ur ecommerce initiatives continue to make good progress. Digital sales </w:t>
      </w:r>
      <w:r w:rsidR="00021C44">
        <w:rPr>
          <w:rFonts w:ascii="Arial" w:hAnsi="Arial" w:cs="Arial"/>
        </w:rPr>
        <w:t xml:space="preserve">grew by 17% and </w:t>
      </w:r>
      <w:r w:rsidR="00CE350A">
        <w:rPr>
          <w:rFonts w:ascii="Arial" w:hAnsi="Arial" w:cs="Arial"/>
        </w:rPr>
        <w:t xml:space="preserve">now </w:t>
      </w:r>
      <w:r w:rsidR="008D65D5" w:rsidRPr="008D65D5">
        <w:rPr>
          <w:rFonts w:ascii="Arial" w:hAnsi="Arial" w:cs="Arial"/>
        </w:rPr>
        <w:t xml:space="preserve">account for </w:t>
      </w:r>
      <w:r w:rsidR="0042286E">
        <w:rPr>
          <w:rFonts w:ascii="Arial" w:hAnsi="Arial" w:cs="Arial"/>
        </w:rPr>
        <w:t>6</w:t>
      </w:r>
      <w:r w:rsidR="008D65D5" w:rsidRPr="008D65D5">
        <w:rPr>
          <w:rFonts w:ascii="Arial" w:hAnsi="Arial" w:cs="Arial"/>
        </w:rPr>
        <w:t>% of the</w:t>
      </w:r>
      <w:r w:rsidR="008D65D5">
        <w:rPr>
          <w:rFonts w:ascii="Arial" w:hAnsi="Arial" w:cs="Arial"/>
        </w:rPr>
        <w:t xml:space="preserve"> </w:t>
      </w:r>
      <w:r w:rsidR="008D65D5" w:rsidRPr="008D65D5">
        <w:rPr>
          <w:rFonts w:ascii="Arial" w:hAnsi="Arial" w:cs="Arial"/>
        </w:rPr>
        <w:t>Group</w:t>
      </w:r>
      <w:r w:rsidR="00647FF1">
        <w:rPr>
          <w:rFonts w:ascii="Arial" w:hAnsi="Arial" w:cs="Arial"/>
        </w:rPr>
        <w:t xml:space="preserve"> sales</w:t>
      </w:r>
      <w:r w:rsidR="008D65D5" w:rsidRPr="008D65D5">
        <w:rPr>
          <w:rFonts w:ascii="Arial" w:hAnsi="Arial" w:cs="Arial"/>
        </w:rPr>
        <w:t xml:space="preserve">, </w:t>
      </w:r>
      <w:r w:rsidR="005F44FD">
        <w:rPr>
          <w:rFonts w:ascii="Arial" w:hAnsi="Arial" w:cs="Arial"/>
        </w:rPr>
        <w:t>double the level at</w:t>
      </w:r>
      <w:r w:rsidR="0042286E">
        <w:rPr>
          <w:rFonts w:ascii="Arial" w:hAnsi="Arial" w:cs="Arial"/>
        </w:rPr>
        <w:t xml:space="preserve"> </w:t>
      </w:r>
      <w:r w:rsidR="005F44FD">
        <w:rPr>
          <w:rFonts w:ascii="Arial" w:hAnsi="Arial" w:cs="Arial"/>
        </w:rPr>
        <w:t xml:space="preserve">the start of the </w:t>
      </w:r>
      <w:r w:rsidR="00135DCE">
        <w:rPr>
          <w:rFonts w:ascii="Arial" w:hAnsi="Arial" w:cs="Arial"/>
        </w:rPr>
        <w:t xml:space="preserve">transformation </w:t>
      </w:r>
      <w:r w:rsidR="005F44FD">
        <w:rPr>
          <w:rFonts w:ascii="Arial" w:hAnsi="Arial" w:cs="Arial"/>
        </w:rPr>
        <w:t>plan</w:t>
      </w:r>
      <w:r w:rsidR="008D65D5" w:rsidRPr="008D65D5">
        <w:rPr>
          <w:rFonts w:ascii="Arial" w:hAnsi="Arial" w:cs="Arial"/>
        </w:rPr>
        <w:t xml:space="preserve">. </w:t>
      </w:r>
      <w:r w:rsidR="00135DCE">
        <w:rPr>
          <w:rFonts w:ascii="Arial" w:hAnsi="Arial" w:cs="Arial"/>
        </w:rPr>
        <w:t>‘</w:t>
      </w:r>
      <w:r w:rsidR="001A5C6F">
        <w:rPr>
          <w:rFonts w:ascii="Arial" w:hAnsi="Arial" w:cs="Arial"/>
        </w:rPr>
        <w:t>C</w:t>
      </w:r>
      <w:r w:rsidR="008D65D5" w:rsidRPr="008D65D5">
        <w:rPr>
          <w:rFonts w:ascii="Arial" w:hAnsi="Arial" w:cs="Arial"/>
        </w:rPr>
        <w:t xml:space="preserve">lick &amp; </w:t>
      </w:r>
      <w:r w:rsidR="00135DCE">
        <w:rPr>
          <w:rFonts w:ascii="Arial" w:hAnsi="Arial" w:cs="Arial"/>
        </w:rPr>
        <w:t>c</w:t>
      </w:r>
      <w:r w:rsidR="008D65D5" w:rsidRPr="008D65D5">
        <w:rPr>
          <w:rFonts w:ascii="Arial" w:hAnsi="Arial" w:cs="Arial"/>
        </w:rPr>
        <w:t>ollect</w:t>
      </w:r>
      <w:r w:rsidR="00135DCE">
        <w:rPr>
          <w:rFonts w:ascii="Arial" w:hAnsi="Arial" w:cs="Arial"/>
        </w:rPr>
        <w:t>’</w:t>
      </w:r>
      <w:r w:rsidR="008D65D5" w:rsidRPr="008D65D5">
        <w:rPr>
          <w:rFonts w:ascii="Arial" w:hAnsi="Arial" w:cs="Arial"/>
        </w:rPr>
        <w:t xml:space="preserve"> </w:t>
      </w:r>
      <w:r w:rsidR="001A5C6F">
        <w:rPr>
          <w:rFonts w:ascii="Arial" w:hAnsi="Arial" w:cs="Arial"/>
        </w:rPr>
        <w:t>sales</w:t>
      </w:r>
      <w:r w:rsidR="001A5C6F" w:rsidRPr="008D65D5">
        <w:rPr>
          <w:rFonts w:ascii="Arial" w:hAnsi="Arial" w:cs="Arial"/>
        </w:rPr>
        <w:t xml:space="preserve"> </w:t>
      </w:r>
      <w:r w:rsidR="008D65D5" w:rsidRPr="008D65D5">
        <w:rPr>
          <w:rFonts w:ascii="Arial" w:hAnsi="Arial" w:cs="Arial"/>
        </w:rPr>
        <w:t xml:space="preserve">at B&amp;Q grew by </w:t>
      </w:r>
      <w:r w:rsidR="0042286E">
        <w:rPr>
          <w:rFonts w:ascii="Arial" w:hAnsi="Arial" w:cs="Arial"/>
        </w:rPr>
        <w:t>42</w:t>
      </w:r>
      <w:r w:rsidR="008D65D5" w:rsidRPr="008D65D5">
        <w:rPr>
          <w:rFonts w:ascii="Arial" w:hAnsi="Arial" w:cs="Arial"/>
        </w:rPr>
        <w:t xml:space="preserve">% </w:t>
      </w:r>
      <w:r w:rsidR="00FA2647">
        <w:rPr>
          <w:rFonts w:ascii="Arial" w:hAnsi="Arial" w:cs="Arial"/>
        </w:rPr>
        <w:t xml:space="preserve">year </w:t>
      </w:r>
      <w:r w:rsidR="00097C02">
        <w:rPr>
          <w:rFonts w:ascii="Arial" w:hAnsi="Arial" w:cs="Arial"/>
        </w:rPr>
        <w:t xml:space="preserve">on </w:t>
      </w:r>
      <w:r w:rsidR="008D65D5" w:rsidRPr="008D65D5">
        <w:rPr>
          <w:rFonts w:ascii="Arial" w:hAnsi="Arial" w:cs="Arial"/>
        </w:rPr>
        <w:t>year, mainly driven by the rollout of the one</w:t>
      </w:r>
      <w:r w:rsidR="00135DCE">
        <w:rPr>
          <w:rFonts w:ascii="Arial" w:hAnsi="Arial" w:cs="Arial"/>
        </w:rPr>
        <w:t>-</w:t>
      </w:r>
      <w:r w:rsidR="008D65D5" w:rsidRPr="008D65D5">
        <w:rPr>
          <w:rFonts w:ascii="Arial" w:hAnsi="Arial" w:cs="Arial"/>
        </w:rPr>
        <w:t xml:space="preserve">hour click &amp; collect service which went live in </w:t>
      </w:r>
      <w:r w:rsidR="00767FA6">
        <w:rPr>
          <w:rFonts w:ascii="Arial" w:hAnsi="Arial" w:cs="Arial"/>
        </w:rPr>
        <w:t xml:space="preserve">the second half of FY </w:t>
      </w:r>
      <w:r w:rsidR="008D65D5" w:rsidRPr="008D65D5">
        <w:rPr>
          <w:rFonts w:ascii="Arial" w:hAnsi="Arial" w:cs="Arial"/>
        </w:rPr>
        <w:t xml:space="preserve">17/18. </w:t>
      </w:r>
    </w:p>
    <w:p w14:paraId="1D4DFABF" w14:textId="77777777" w:rsidR="00647FF1" w:rsidRDefault="00647FF1" w:rsidP="00647FF1">
      <w:pPr>
        <w:spacing w:after="200"/>
        <w:contextualSpacing/>
        <w:rPr>
          <w:rFonts w:ascii="Arial" w:hAnsi="Arial" w:cs="Arial"/>
        </w:rPr>
      </w:pPr>
    </w:p>
    <w:p w14:paraId="09EAFD4A" w14:textId="6EAE5ECF" w:rsidR="008D65D5" w:rsidRPr="008D65D5" w:rsidRDefault="00647FF1" w:rsidP="0035009E">
      <w:pPr>
        <w:spacing w:after="200"/>
        <w:contextualSpacing/>
        <w:rPr>
          <w:rFonts w:ascii="Arial" w:hAnsi="Arial" w:cs="Arial"/>
        </w:rPr>
      </w:pPr>
      <w:r w:rsidRPr="0035009E">
        <w:rPr>
          <w:rFonts w:ascii="Arial" w:hAnsi="Arial" w:cs="Arial"/>
        </w:rPr>
        <w:t xml:space="preserve">We continued to invest in our core ecommerce platforms, enabled by the new unified IT infrastructure. </w:t>
      </w:r>
      <w:r w:rsidRPr="0035009E">
        <w:rPr>
          <w:rFonts w:ascii="Arial" w:hAnsi="Arial" w:cs="Arial"/>
          <w:color w:val="000000"/>
        </w:rPr>
        <w:t xml:space="preserve">This included </w:t>
      </w:r>
      <w:r w:rsidR="00CF594F">
        <w:rPr>
          <w:rFonts w:ascii="Arial" w:hAnsi="Arial" w:cs="Arial"/>
          <w:color w:val="000000"/>
        </w:rPr>
        <w:t>in B&amp;Q, the first phase</w:t>
      </w:r>
      <w:r w:rsidRPr="0035009E">
        <w:rPr>
          <w:rFonts w:ascii="Arial" w:hAnsi="Arial" w:cs="Arial"/>
          <w:color w:val="000000"/>
        </w:rPr>
        <w:t xml:space="preserve"> of the ‘next generation’ ecommerce platform</w:t>
      </w:r>
      <w:r w:rsidR="00CF594F">
        <w:rPr>
          <w:rFonts w:ascii="Arial" w:hAnsi="Arial" w:cs="Arial"/>
        </w:rPr>
        <w:t>,</w:t>
      </w:r>
      <w:r w:rsidRPr="0035009E">
        <w:rPr>
          <w:rFonts w:ascii="Arial" w:hAnsi="Arial" w:cs="Arial"/>
        </w:rPr>
        <w:t xml:space="preserve"> improved site search</w:t>
      </w:r>
      <w:r w:rsidR="00CF594F">
        <w:rPr>
          <w:rFonts w:ascii="Arial" w:hAnsi="Arial" w:cs="Arial"/>
        </w:rPr>
        <w:t>,</w:t>
      </w:r>
      <w:r w:rsidRPr="0035009E">
        <w:rPr>
          <w:rFonts w:ascii="Arial" w:hAnsi="Arial" w:cs="Arial"/>
        </w:rPr>
        <w:t xml:space="preserve"> </w:t>
      </w:r>
      <w:r w:rsidR="00CF594F">
        <w:rPr>
          <w:rFonts w:ascii="Arial" w:hAnsi="Arial" w:cs="Arial"/>
        </w:rPr>
        <w:t>new checkout, as well as launching</w:t>
      </w:r>
      <w:r w:rsidRPr="0035009E">
        <w:rPr>
          <w:rFonts w:ascii="Arial" w:hAnsi="Arial" w:cs="Arial"/>
        </w:rPr>
        <w:t>, new mobile sites</w:t>
      </w:r>
      <w:r w:rsidRPr="0035009E">
        <w:rPr>
          <w:rFonts w:ascii="Arial" w:hAnsi="Arial" w:cs="Arial"/>
          <w:color w:val="000000"/>
        </w:rPr>
        <w:t xml:space="preserve"> and</w:t>
      </w:r>
      <w:r w:rsidRPr="0035009E">
        <w:rPr>
          <w:rFonts w:ascii="Arial" w:hAnsi="Arial" w:cs="Arial"/>
        </w:rPr>
        <w:t xml:space="preserve"> </w:t>
      </w:r>
      <w:r w:rsidR="00CF594F" w:rsidRPr="0035009E">
        <w:rPr>
          <w:rFonts w:ascii="Arial" w:hAnsi="Arial" w:cs="Arial"/>
        </w:rPr>
        <w:t>upweight</w:t>
      </w:r>
      <w:r w:rsidR="00CF594F">
        <w:rPr>
          <w:rFonts w:ascii="Arial" w:hAnsi="Arial" w:cs="Arial"/>
        </w:rPr>
        <w:t>ed</w:t>
      </w:r>
      <w:r w:rsidR="00CF594F" w:rsidRPr="0035009E">
        <w:rPr>
          <w:rFonts w:ascii="Arial" w:hAnsi="Arial" w:cs="Arial"/>
        </w:rPr>
        <w:t xml:space="preserve"> </w:t>
      </w:r>
      <w:r w:rsidRPr="0035009E">
        <w:rPr>
          <w:rFonts w:ascii="Arial" w:hAnsi="Arial" w:cs="Arial"/>
        </w:rPr>
        <w:t>digital marketing.</w:t>
      </w:r>
      <w:r>
        <w:rPr>
          <w:rFonts w:ascii="Arial" w:hAnsi="Arial" w:cs="Arial"/>
        </w:rPr>
        <w:t xml:space="preserve"> </w:t>
      </w:r>
      <w:r w:rsidR="008D65D5" w:rsidRPr="008D65D5">
        <w:rPr>
          <w:rFonts w:ascii="Arial" w:hAnsi="Arial" w:cs="Arial"/>
        </w:rPr>
        <w:t xml:space="preserve">In France, we launched </w:t>
      </w:r>
      <w:r w:rsidR="00CC64E8">
        <w:rPr>
          <w:rFonts w:ascii="Arial" w:hAnsi="Arial" w:cs="Arial"/>
        </w:rPr>
        <w:t>a</w:t>
      </w:r>
      <w:r w:rsidR="00CC64E8" w:rsidRPr="008D65D5">
        <w:rPr>
          <w:rFonts w:ascii="Arial" w:hAnsi="Arial" w:cs="Arial"/>
        </w:rPr>
        <w:t xml:space="preserve"> </w:t>
      </w:r>
      <w:r w:rsidR="008D65D5" w:rsidRPr="008D65D5">
        <w:rPr>
          <w:rFonts w:ascii="Arial" w:hAnsi="Arial" w:cs="Arial"/>
        </w:rPr>
        <w:t>new castorama.fr website in January</w:t>
      </w:r>
      <w:r w:rsidR="00767FA6">
        <w:rPr>
          <w:rFonts w:ascii="Arial" w:hAnsi="Arial" w:cs="Arial"/>
        </w:rPr>
        <w:t xml:space="preserve"> 2018</w:t>
      </w:r>
      <w:r w:rsidR="008D65D5" w:rsidRPr="008D65D5">
        <w:rPr>
          <w:rFonts w:ascii="Arial" w:hAnsi="Arial" w:cs="Arial"/>
        </w:rPr>
        <w:t>. We are</w:t>
      </w:r>
      <w:r w:rsidR="008D65D5">
        <w:rPr>
          <w:rFonts w:ascii="Arial" w:hAnsi="Arial" w:cs="Arial"/>
        </w:rPr>
        <w:t xml:space="preserve"> </w:t>
      </w:r>
      <w:r w:rsidR="008D65D5" w:rsidRPr="008D65D5">
        <w:rPr>
          <w:rFonts w:ascii="Arial" w:hAnsi="Arial" w:cs="Arial"/>
        </w:rPr>
        <w:t xml:space="preserve">encouraged by the increase in conversion seen to date and </w:t>
      </w:r>
      <w:r w:rsidR="008B2A2E">
        <w:rPr>
          <w:rFonts w:ascii="Arial" w:hAnsi="Arial" w:cs="Arial"/>
        </w:rPr>
        <w:t xml:space="preserve">continue to </w:t>
      </w:r>
      <w:r w:rsidR="008D65D5" w:rsidRPr="00AF307A">
        <w:rPr>
          <w:rFonts w:ascii="Arial" w:hAnsi="Arial" w:cs="Arial"/>
        </w:rPr>
        <w:t>work on further content</w:t>
      </w:r>
      <w:r w:rsidR="0042286E" w:rsidRPr="00AF307A">
        <w:rPr>
          <w:rFonts w:ascii="Arial" w:hAnsi="Arial" w:cs="Arial"/>
        </w:rPr>
        <w:t xml:space="preserve"> </w:t>
      </w:r>
      <w:r w:rsidR="008D65D5" w:rsidRPr="00AF307A">
        <w:rPr>
          <w:rFonts w:ascii="Arial" w:hAnsi="Arial" w:cs="Arial"/>
        </w:rPr>
        <w:t xml:space="preserve">development to </w:t>
      </w:r>
      <w:r w:rsidR="00767FA6">
        <w:rPr>
          <w:rFonts w:ascii="Arial" w:hAnsi="Arial" w:cs="Arial"/>
        </w:rPr>
        <w:t xml:space="preserve">enhance </w:t>
      </w:r>
      <w:r w:rsidR="008D65D5" w:rsidRPr="00AF307A">
        <w:rPr>
          <w:rFonts w:ascii="Arial" w:hAnsi="Arial" w:cs="Arial"/>
        </w:rPr>
        <w:t>the overall customer proposition</w:t>
      </w:r>
      <w:r w:rsidR="005F44FD" w:rsidRPr="005F44FD">
        <w:rPr>
          <w:rFonts w:ascii="Arial" w:hAnsi="Arial" w:cs="Arial"/>
        </w:rPr>
        <w:t>.</w:t>
      </w:r>
    </w:p>
    <w:p w14:paraId="367695A0" w14:textId="29466485" w:rsidR="008D65D5" w:rsidRDefault="008D65D5" w:rsidP="008D65D5">
      <w:pPr>
        <w:jc w:val="left"/>
        <w:rPr>
          <w:rFonts w:ascii="Arial" w:hAnsi="Arial" w:cs="Arial"/>
        </w:rPr>
      </w:pPr>
    </w:p>
    <w:p w14:paraId="1703C69E" w14:textId="53992D67" w:rsidR="008D65D5" w:rsidRPr="008D65D5" w:rsidRDefault="008D65D5" w:rsidP="008D65D5">
      <w:pPr>
        <w:jc w:val="left"/>
        <w:rPr>
          <w:rFonts w:ascii="Arial" w:hAnsi="Arial" w:cs="Arial"/>
        </w:rPr>
      </w:pPr>
      <w:r w:rsidRPr="001A5C6F">
        <w:rPr>
          <w:rFonts w:ascii="Arial" w:hAnsi="Arial" w:cs="Arial"/>
        </w:rPr>
        <w:t xml:space="preserve">We also </w:t>
      </w:r>
      <w:r w:rsidRPr="00AF307A">
        <w:rPr>
          <w:rFonts w:ascii="Arial" w:hAnsi="Arial" w:cs="Arial"/>
        </w:rPr>
        <w:t>continue</w:t>
      </w:r>
      <w:r w:rsidR="00647FF1">
        <w:rPr>
          <w:rFonts w:ascii="Arial" w:hAnsi="Arial" w:cs="Arial"/>
        </w:rPr>
        <w:t>d</w:t>
      </w:r>
      <w:r w:rsidRPr="00AF307A">
        <w:rPr>
          <w:rFonts w:ascii="Arial" w:hAnsi="Arial" w:cs="Arial"/>
        </w:rPr>
        <w:t xml:space="preserve"> to develop</w:t>
      </w:r>
      <w:r w:rsidRPr="001A5C6F">
        <w:rPr>
          <w:rFonts w:ascii="Arial" w:hAnsi="Arial" w:cs="Arial"/>
        </w:rPr>
        <w:t xml:space="preserve"> our digital home improvement services tools including the bathroom</w:t>
      </w:r>
    </w:p>
    <w:p w14:paraId="314CAC54" w14:textId="327811DA" w:rsidR="008D65D5" w:rsidRDefault="008D65D5" w:rsidP="008D65D5">
      <w:pPr>
        <w:jc w:val="left"/>
        <w:rPr>
          <w:rFonts w:ascii="Arial" w:hAnsi="Arial" w:cs="Arial"/>
        </w:rPr>
      </w:pPr>
      <w:r w:rsidRPr="008D65D5">
        <w:rPr>
          <w:rFonts w:ascii="Arial" w:hAnsi="Arial" w:cs="Arial"/>
        </w:rPr>
        <w:t>planner tool, which is integrated into the B&amp;Q website. Since launch</w:t>
      </w:r>
      <w:r>
        <w:rPr>
          <w:rFonts w:ascii="Arial" w:hAnsi="Arial" w:cs="Arial"/>
        </w:rPr>
        <w:t xml:space="preserve"> </w:t>
      </w:r>
      <w:r w:rsidRPr="008D65D5">
        <w:rPr>
          <w:rFonts w:ascii="Arial" w:hAnsi="Arial" w:cs="Arial"/>
        </w:rPr>
        <w:t xml:space="preserve">it has </w:t>
      </w:r>
      <w:r w:rsidRPr="00C56D06">
        <w:rPr>
          <w:rFonts w:ascii="Arial" w:hAnsi="Arial" w:cs="Arial"/>
        </w:rPr>
        <w:t xml:space="preserve">attracted </w:t>
      </w:r>
      <w:r w:rsidR="00CC64E8" w:rsidRPr="00C2187E">
        <w:rPr>
          <w:rFonts w:ascii="Arial" w:hAnsi="Arial" w:cs="Arial"/>
        </w:rPr>
        <w:t>2</w:t>
      </w:r>
      <w:r w:rsidR="00CC64E8">
        <w:rPr>
          <w:rFonts w:ascii="Arial" w:hAnsi="Arial" w:cs="Arial"/>
        </w:rPr>
        <w:t>55</w:t>
      </w:r>
      <w:r w:rsidRPr="00C2187E">
        <w:rPr>
          <w:rFonts w:ascii="Arial" w:hAnsi="Arial" w:cs="Arial"/>
        </w:rPr>
        <w:t>,</w:t>
      </w:r>
      <w:r w:rsidRPr="00C2187E">
        <w:rPr>
          <w:rFonts w:ascii="Arial" w:hAnsi="Arial"/>
        </w:rPr>
        <w:t>000</w:t>
      </w:r>
      <w:r w:rsidRPr="00C56D06">
        <w:rPr>
          <w:rFonts w:ascii="Arial" w:hAnsi="Arial" w:cs="Arial"/>
        </w:rPr>
        <w:t xml:space="preserve"> unique</w:t>
      </w:r>
      <w:r w:rsidRPr="008D65D5">
        <w:rPr>
          <w:rFonts w:ascii="Arial" w:hAnsi="Arial" w:cs="Arial"/>
        </w:rPr>
        <w:t xml:space="preserve"> users. </w:t>
      </w:r>
      <w:r w:rsidR="00FA2647">
        <w:rPr>
          <w:rFonts w:ascii="Arial" w:hAnsi="Arial" w:cs="Arial"/>
        </w:rPr>
        <w:t>T</w:t>
      </w:r>
      <w:r w:rsidRPr="008D65D5">
        <w:rPr>
          <w:rFonts w:ascii="Arial" w:hAnsi="Arial" w:cs="Arial"/>
        </w:rPr>
        <w:t xml:space="preserve">he bathroom planner tool </w:t>
      </w:r>
      <w:r w:rsidR="00FA2647">
        <w:rPr>
          <w:rFonts w:ascii="Arial" w:hAnsi="Arial" w:cs="Arial"/>
        </w:rPr>
        <w:t xml:space="preserve">was also launched in France and </w:t>
      </w:r>
      <w:r w:rsidR="00FA2647" w:rsidRPr="00AF307A">
        <w:rPr>
          <w:rFonts w:ascii="Arial" w:hAnsi="Arial" w:cs="Arial"/>
        </w:rPr>
        <w:t xml:space="preserve">is </w:t>
      </w:r>
      <w:r w:rsidR="008A765F">
        <w:rPr>
          <w:rFonts w:ascii="Arial" w:hAnsi="Arial" w:cs="Arial"/>
        </w:rPr>
        <w:t xml:space="preserve">now </w:t>
      </w:r>
      <w:r w:rsidR="00FA2647" w:rsidRPr="00AF307A">
        <w:rPr>
          <w:rFonts w:ascii="Arial" w:hAnsi="Arial" w:cs="Arial"/>
        </w:rPr>
        <w:t xml:space="preserve">integrated into the </w:t>
      </w:r>
      <w:r w:rsidR="00AB2850">
        <w:rPr>
          <w:rFonts w:ascii="Arial" w:hAnsi="Arial" w:cs="Arial"/>
        </w:rPr>
        <w:t>c</w:t>
      </w:r>
      <w:r w:rsidR="00FA2647" w:rsidRPr="00AF307A">
        <w:rPr>
          <w:rFonts w:ascii="Arial" w:hAnsi="Arial" w:cs="Arial"/>
        </w:rPr>
        <w:t>astorama.fr website</w:t>
      </w:r>
      <w:r w:rsidRPr="001A5C6F">
        <w:rPr>
          <w:rFonts w:ascii="Arial" w:hAnsi="Arial" w:cs="Arial"/>
        </w:rPr>
        <w:t>.</w:t>
      </w:r>
      <w:r w:rsidR="00FA2647">
        <w:rPr>
          <w:rFonts w:ascii="Arial" w:hAnsi="Arial" w:cs="Arial"/>
        </w:rPr>
        <w:t xml:space="preserve"> </w:t>
      </w:r>
    </w:p>
    <w:p w14:paraId="5740BB96" w14:textId="0C8B1651" w:rsidR="003A1476" w:rsidRPr="001B1EFA" w:rsidRDefault="003A1476" w:rsidP="001B1EFA">
      <w:pPr>
        <w:jc w:val="left"/>
        <w:rPr>
          <w:rFonts w:ascii="Arial" w:hAnsi="Arial"/>
        </w:rPr>
      </w:pPr>
    </w:p>
    <w:p w14:paraId="06CD1F9B" w14:textId="2A58032C" w:rsidR="003A1476" w:rsidRPr="001908E1" w:rsidRDefault="003A1476" w:rsidP="00946D9D">
      <w:pPr>
        <w:pStyle w:val="ListParagraph"/>
        <w:numPr>
          <w:ilvl w:val="0"/>
          <w:numId w:val="22"/>
        </w:numPr>
        <w:jc w:val="left"/>
        <w:rPr>
          <w:rFonts w:ascii="Arial" w:hAnsi="Arial" w:cs="Arial"/>
          <w:b/>
          <w:u w:val="single"/>
        </w:rPr>
      </w:pPr>
      <w:r w:rsidRPr="001908E1">
        <w:rPr>
          <w:rFonts w:ascii="Arial" w:hAnsi="Arial" w:cs="Arial"/>
          <w:b/>
          <w:u w:val="single"/>
        </w:rPr>
        <w:t>Operational efficiency</w:t>
      </w:r>
    </w:p>
    <w:p w14:paraId="3ABC866A" w14:textId="06DA99DC" w:rsidR="00A52F6C" w:rsidRPr="001B1EFA" w:rsidRDefault="00A52F6C" w:rsidP="00CC518E">
      <w:pPr>
        <w:jc w:val="left"/>
        <w:rPr>
          <w:rFonts w:ascii="Arial" w:hAnsi="Arial"/>
        </w:rPr>
      </w:pPr>
    </w:p>
    <w:p w14:paraId="6125C4F6" w14:textId="1BB77340" w:rsidR="003A1476" w:rsidRPr="006B2843" w:rsidRDefault="006A15AC" w:rsidP="003A1476">
      <w:pPr>
        <w:autoSpaceDE w:val="0"/>
        <w:autoSpaceDN w:val="0"/>
        <w:adjustRightInd w:val="0"/>
        <w:jc w:val="left"/>
        <w:rPr>
          <w:rFonts w:ascii="Arial" w:hAnsi="Arial" w:cs="Arial"/>
        </w:rPr>
      </w:pPr>
      <w:bookmarkStart w:id="16" w:name="_Hlk2061501"/>
      <w:r>
        <w:rPr>
          <w:rFonts w:ascii="Arial" w:hAnsi="Arial" w:cs="Arial"/>
          <w:color w:val="000000"/>
        </w:rPr>
        <w:t>We are delivering operational efficiency benefits</w:t>
      </w:r>
      <w:bookmarkEnd w:id="16"/>
      <w:r>
        <w:rPr>
          <w:rFonts w:ascii="Arial" w:hAnsi="Arial" w:cs="Arial"/>
          <w:color w:val="000000"/>
        </w:rPr>
        <w:t xml:space="preserve"> </w:t>
      </w:r>
      <w:r w:rsidR="00767FA6">
        <w:rPr>
          <w:rFonts w:ascii="Arial" w:hAnsi="Arial" w:cs="Arial"/>
          <w:color w:val="000000"/>
        </w:rPr>
        <w:t xml:space="preserve">through several initiatives including </w:t>
      </w:r>
      <w:r w:rsidR="00A93B56">
        <w:rPr>
          <w:rFonts w:ascii="Arial" w:hAnsi="Arial" w:cs="Arial"/>
          <w:color w:val="000000"/>
        </w:rPr>
        <w:t xml:space="preserve">unifying </w:t>
      </w:r>
      <w:r>
        <w:rPr>
          <w:rFonts w:ascii="Arial" w:hAnsi="Arial" w:cs="Arial"/>
          <w:color w:val="000000"/>
        </w:rPr>
        <w:t>ou</w:t>
      </w:r>
      <w:r w:rsidR="002D6205">
        <w:rPr>
          <w:rFonts w:ascii="Arial" w:hAnsi="Arial" w:cs="Arial"/>
          <w:color w:val="000000"/>
        </w:rPr>
        <w:t>r</w:t>
      </w:r>
      <w:r w:rsidR="003A1476" w:rsidRPr="00C66741">
        <w:rPr>
          <w:rFonts w:ascii="Arial" w:hAnsi="Arial" w:cs="Arial"/>
          <w:color w:val="000000"/>
        </w:rPr>
        <w:t xml:space="preserve"> annual spend on GNFR</w:t>
      </w:r>
      <w:r w:rsidR="005D537B">
        <w:rPr>
          <w:rFonts w:ascii="Arial" w:hAnsi="Arial" w:cs="Arial"/>
          <w:color w:val="000000"/>
        </w:rPr>
        <w:t>*</w:t>
      </w:r>
      <w:r w:rsidR="003A1476" w:rsidRPr="00C66741">
        <w:rPr>
          <w:rFonts w:ascii="Arial" w:hAnsi="Arial" w:cs="Arial"/>
          <w:color w:val="000000"/>
        </w:rPr>
        <w:t xml:space="preserve">. </w:t>
      </w:r>
      <w:r w:rsidR="003A1476" w:rsidRPr="00C66741">
        <w:rPr>
          <w:rFonts w:ascii="Arial" w:hAnsi="Arial" w:cs="Arial"/>
        </w:rPr>
        <w:t xml:space="preserve">This programme is a combination of cost savings </w:t>
      </w:r>
      <w:r w:rsidR="00A93B56">
        <w:rPr>
          <w:rFonts w:ascii="Arial" w:hAnsi="Arial" w:cs="Arial"/>
        </w:rPr>
        <w:t xml:space="preserve">together with </w:t>
      </w:r>
      <w:r w:rsidR="003A1476" w:rsidRPr="00C66741">
        <w:rPr>
          <w:rFonts w:ascii="Arial" w:hAnsi="Arial" w:cs="Arial"/>
        </w:rPr>
        <w:t>an opportunity to work in a simpler and more effective way across the business</w:t>
      </w:r>
      <w:r>
        <w:rPr>
          <w:rFonts w:ascii="Arial" w:hAnsi="Arial" w:cs="Arial"/>
        </w:rPr>
        <w:t>.</w:t>
      </w:r>
    </w:p>
    <w:p w14:paraId="0101F626" w14:textId="77777777" w:rsidR="003A1476" w:rsidRPr="001B1EFA" w:rsidRDefault="003A1476" w:rsidP="001B1EFA">
      <w:pPr>
        <w:jc w:val="left"/>
        <w:rPr>
          <w:rFonts w:ascii="Arial" w:hAnsi="Arial"/>
        </w:rPr>
      </w:pPr>
    </w:p>
    <w:p w14:paraId="434CCF0B" w14:textId="57D72A8D" w:rsidR="003A1476" w:rsidRPr="006B2843" w:rsidRDefault="00A93B56" w:rsidP="003A1476">
      <w:pPr>
        <w:jc w:val="left"/>
        <w:rPr>
          <w:rFonts w:ascii="Arial" w:hAnsi="Arial" w:cs="Arial"/>
        </w:rPr>
      </w:pPr>
      <w:r>
        <w:rPr>
          <w:rFonts w:ascii="Arial" w:hAnsi="Arial" w:cs="Arial"/>
        </w:rPr>
        <w:t xml:space="preserve">Our </w:t>
      </w:r>
      <w:r w:rsidR="003A1476" w:rsidRPr="00C66741">
        <w:rPr>
          <w:rFonts w:ascii="Arial" w:hAnsi="Arial" w:cs="Arial"/>
        </w:rPr>
        <w:t>FY 1</w:t>
      </w:r>
      <w:r w:rsidR="005D537B">
        <w:rPr>
          <w:rFonts w:ascii="Arial" w:hAnsi="Arial" w:cs="Arial"/>
        </w:rPr>
        <w:t>8</w:t>
      </w:r>
      <w:r w:rsidR="003A1476" w:rsidRPr="00C66741">
        <w:rPr>
          <w:rFonts w:ascii="Arial" w:hAnsi="Arial" w:cs="Arial"/>
        </w:rPr>
        <w:t>/1</w:t>
      </w:r>
      <w:r w:rsidR="005D537B">
        <w:rPr>
          <w:rFonts w:ascii="Arial" w:hAnsi="Arial" w:cs="Arial"/>
        </w:rPr>
        <w:t>9</w:t>
      </w:r>
      <w:r w:rsidR="003A1476" w:rsidRPr="00C66741">
        <w:rPr>
          <w:rFonts w:ascii="Arial" w:hAnsi="Arial" w:cs="Arial"/>
        </w:rPr>
        <w:t xml:space="preserve"> strategic milestone</w:t>
      </w:r>
      <w:r w:rsidR="005D537B">
        <w:rPr>
          <w:rFonts w:ascii="Arial" w:hAnsi="Arial" w:cs="Arial"/>
        </w:rPr>
        <w:t>s</w:t>
      </w:r>
      <w:r>
        <w:rPr>
          <w:rFonts w:ascii="Arial" w:hAnsi="Arial" w:cs="Arial"/>
        </w:rPr>
        <w:t xml:space="preserve"> were to</w:t>
      </w:r>
      <w:r w:rsidR="003A1476" w:rsidRPr="00C66741">
        <w:rPr>
          <w:rFonts w:ascii="Arial" w:hAnsi="Arial" w:cs="Arial"/>
        </w:rPr>
        <w:t>:</w:t>
      </w:r>
    </w:p>
    <w:p w14:paraId="74AFBE86" w14:textId="77777777" w:rsidR="003A1476" w:rsidRPr="001B1EFA" w:rsidRDefault="003A1476" w:rsidP="003A1476">
      <w:pPr>
        <w:jc w:val="left"/>
        <w:rPr>
          <w:rFonts w:ascii="Arial" w:hAnsi="Arial"/>
        </w:rPr>
      </w:pPr>
    </w:p>
    <w:p w14:paraId="0B88D6C0" w14:textId="4F6A0643" w:rsidR="005D537B" w:rsidRPr="005D537B" w:rsidRDefault="005D537B" w:rsidP="00946D9D">
      <w:pPr>
        <w:pStyle w:val="ListParagraph"/>
        <w:numPr>
          <w:ilvl w:val="0"/>
          <w:numId w:val="6"/>
        </w:numPr>
        <w:jc w:val="left"/>
        <w:rPr>
          <w:rFonts w:ascii="Arial" w:hAnsi="Arial" w:cs="Arial"/>
          <w:i/>
        </w:rPr>
      </w:pPr>
      <w:r w:rsidRPr="005D537B">
        <w:rPr>
          <w:rFonts w:ascii="Arial" w:hAnsi="Arial" w:cs="Arial"/>
          <w:i/>
        </w:rPr>
        <w:t xml:space="preserve">Implement finance shared services in at least two </w:t>
      </w:r>
      <w:r w:rsidR="00A36294">
        <w:rPr>
          <w:rFonts w:ascii="Arial" w:hAnsi="Arial" w:cs="Arial"/>
          <w:i/>
        </w:rPr>
        <w:t>operating companies</w:t>
      </w:r>
    </w:p>
    <w:p w14:paraId="475D9AD1" w14:textId="720D2CF1" w:rsidR="005D537B" w:rsidRPr="006B2843" w:rsidRDefault="005D537B" w:rsidP="00946D9D">
      <w:pPr>
        <w:pStyle w:val="ListParagraph"/>
        <w:numPr>
          <w:ilvl w:val="0"/>
          <w:numId w:val="6"/>
        </w:numPr>
        <w:jc w:val="left"/>
        <w:rPr>
          <w:rFonts w:ascii="Arial" w:hAnsi="Arial" w:cs="Arial"/>
          <w:i/>
        </w:rPr>
      </w:pPr>
      <w:r w:rsidRPr="005D537B">
        <w:rPr>
          <w:rFonts w:ascii="Arial" w:hAnsi="Arial" w:cs="Arial"/>
          <w:i/>
        </w:rPr>
        <w:t xml:space="preserve">Deliver £30m </w:t>
      </w:r>
      <w:r w:rsidR="00A93B56">
        <w:rPr>
          <w:rFonts w:ascii="Arial" w:hAnsi="Arial" w:cs="Arial"/>
          <w:i/>
        </w:rPr>
        <w:t xml:space="preserve">of </w:t>
      </w:r>
      <w:r w:rsidRPr="005D537B">
        <w:rPr>
          <w:rFonts w:ascii="Arial" w:hAnsi="Arial" w:cs="Arial"/>
          <w:i/>
        </w:rPr>
        <w:t xml:space="preserve">benefits (from </w:t>
      </w:r>
      <w:r w:rsidR="00A93B56">
        <w:rPr>
          <w:rFonts w:ascii="Arial" w:hAnsi="Arial" w:cs="Arial"/>
          <w:i/>
        </w:rPr>
        <w:t xml:space="preserve">the </w:t>
      </w:r>
      <w:r w:rsidRPr="005D537B">
        <w:rPr>
          <w:rFonts w:ascii="Arial" w:hAnsi="Arial" w:cs="Arial"/>
          <w:i/>
        </w:rPr>
        <w:t>unified GNFR programme and other efficiencies)</w:t>
      </w:r>
    </w:p>
    <w:p w14:paraId="7B1A4820" w14:textId="7390D6E4" w:rsidR="003A1476" w:rsidRPr="001B1EFA" w:rsidRDefault="003A1476" w:rsidP="001B1EFA">
      <w:pPr>
        <w:jc w:val="left"/>
        <w:rPr>
          <w:rFonts w:ascii="Arial" w:hAnsi="Arial"/>
        </w:rPr>
      </w:pPr>
    </w:p>
    <w:p w14:paraId="5B29BA1F" w14:textId="69CE0F16" w:rsidR="00A36294" w:rsidRPr="00C069A1" w:rsidRDefault="003A1476" w:rsidP="006A15AC">
      <w:pPr>
        <w:autoSpaceDE w:val="0"/>
        <w:autoSpaceDN w:val="0"/>
        <w:adjustRightInd w:val="0"/>
        <w:jc w:val="left"/>
        <w:rPr>
          <w:rFonts w:ascii="Arial" w:hAnsi="Arial" w:cs="Arial"/>
        </w:rPr>
      </w:pPr>
      <w:r w:rsidRPr="00C66741">
        <w:rPr>
          <w:rFonts w:ascii="Arial" w:hAnsi="Arial" w:cs="Arial"/>
        </w:rPr>
        <w:t>In FY 1</w:t>
      </w:r>
      <w:r w:rsidR="005D537B">
        <w:rPr>
          <w:rFonts w:ascii="Arial" w:hAnsi="Arial" w:cs="Arial"/>
        </w:rPr>
        <w:t>8</w:t>
      </w:r>
      <w:r w:rsidRPr="00C66741">
        <w:rPr>
          <w:rFonts w:ascii="Arial" w:hAnsi="Arial" w:cs="Arial"/>
        </w:rPr>
        <w:t>/1</w:t>
      </w:r>
      <w:r w:rsidR="005D537B">
        <w:rPr>
          <w:rFonts w:ascii="Arial" w:hAnsi="Arial" w:cs="Arial"/>
        </w:rPr>
        <w:t>9</w:t>
      </w:r>
      <w:r w:rsidRPr="00C66741">
        <w:rPr>
          <w:rFonts w:ascii="Arial" w:hAnsi="Arial" w:cs="Arial"/>
        </w:rPr>
        <w:t xml:space="preserve"> we delivered a further </w:t>
      </w:r>
      <w:r w:rsidRPr="006F5BE9">
        <w:rPr>
          <w:rFonts w:ascii="Arial" w:hAnsi="Arial" w:cs="Arial"/>
        </w:rPr>
        <w:t>£</w:t>
      </w:r>
      <w:r w:rsidR="009776C7" w:rsidRPr="0035009E">
        <w:rPr>
          <w:rFonts w:ascii="Arial" w:hAnsi="Arial" w:cs="Arial"/>
        </w:rPr>
        <w:t>4</w:t>
      </w:r>
      <w:r w:rsidR="00C069A1" w:rsidRPr="0035009E">
        <w:rPr>
          <w:rFonts w:ascii="Arial" w:hAnsi="Arial" w:cs="Arial"/>
        </w:rPr>
        <w:t>2</w:t>
      </w:r>
      <w:r w:rsidRPr="006F5BE9">
        <w:rPr>
          <w:rFonts w:ascii="Arial" w:hAnsi="Arial" w:cs="Arial"/>
        </w:rPr>
        <w:t xml:space="preserve">m of </w:t>
      </w:r>
      <w:r w:rsidR="005D537B" w:rsidRPr="006F5BE9">
        <w:rPr>
          <w:rFonts w:ascii="Arial" w:hAnsi="Arial" w:cs="Arial"/>
        </w:rPr>
        <w:t xml:space="preserve">operational efficiency </w:t>
      </w:r>
      <w:r w:rsidR="007A2FE6" w:rsidRPr="006F5BE9">
        <w:rPr>
          <w:rFonts w:ascii="Arial" w:hAnsi="Arial" w:cs="Arial"/>
        </w:rPr>
        <w:t>benefits</w:t>
      </w:r>
      <w:r w:rsidR="00083ACA" w:rsidRPr="006F5BE9">
        <w:rPr>
          <w:rFonts w:ascii="Arial" w:hAnsi="Arial" w:cs="Arial"/>
        </w:rPr>
        <w:t>,</w:t>
      </w:r>
      <w:r w:rsidRPr="00C069A1">
        <w:rPr>
          <w:rFonts w:ascii="Arial" w:hAnsi="Arial" w:cs="Arial"/>
        </w:rPr>
        <w:t xml:space="preserve"> </w:t>
      </w:r>
      <w:r w:rsidR="00A35B4D" w:rsidRPr="00C069A1">
        <w:rPr>
          <w:rFonts w:ascii="Arial" w:hAnsi="Arial" w:cs="Arial"/>
        </w:rPr>
        <w:t xml:space="preserve">of which </w:t>
      </w:r>
      <w:r w:rsidR="008944E2" w:rsidRPr="00C069A1">
        <w:rPr>
          <w:rFonts w:ascii="Arial" w:hAnsi="Arial" w:cs="Arial"/>
        </w:rPr>
        <w:t>£</w:t>
      </w:r>
      <w:r w:rsidR="00AC7708" w:rsidRPr="0035009E">
        <w:rPr>
          <w:rFonts w:ascii="Arial" w:hAnsi="Arial"/>
        </w:rPr>
        <w:t>28</w:t>
      </w:r>
      <w:r w:rsidR="008944E2" w:rsidRPr="006F5BE9">
        <w:rPr>
          <w:rFonts w:ascii="Arial" w:hAnsi="Arial" w:cs="Arial"/>
        </w:rPr>
        <w:t xml:space="preserve">m resulted from our GNFR programme including categories such as </w:t>
      </w:r>
      <w:r w:rsidR="005D537B" w:rsidRPr="006F5BE9">
        <w:rPr>
          <w:rFonts w:ascii="Arial" w:hAnsi="Arial" w:cs="Arial"/>
        </w:rPr>
        <w:t xml:space="preserve">building services, professional services </w:t>
      </w:r>
      <w:r w:rsidR="006A15AC" w:rsidRPr="006F5BE9">
        <w:rPr>
          <w:rFonts w:ascii="Arial" w:hAnsi="Arial" w:cs="Arial"/>
        </w:rPr>
        <w:t xml:space="preserve">and </w:t>
      </w:r>
      <w:r w:rsidR="00AC7708" w:rsidRPr="006F5BE9">
        <w:rPr>
          <w:rFonts w:ascii="Arial" w:hAnsi="Arial" w:cs="Arial"/>
        </w:rPr>
        <w:t>energy consumption</w:t>
      </w:r>
      <w:r w:rsidR="00083ACA" w:rsidRPr="00C069A1">
        <w:rPr>
          <w:rFonts w:ascii="Arial" w:hAnsi="Arial" w:cs="Arial"/>
        </w:rPr>
        <w:t>. The remaining £</w:t>
      </w:r>
      <w:r w:rsidR="009776C7" w:rsidRPr="0035009E">
        <w:rPr>
          <w:rFonts w:ascii="Arial" w:hAnsi="Arial" w:cs="Arial"/>
        </w:rPr>
        <w:t>1</w:t>
      </w:r>
      <w:r w:rsidR="00C069A1">
        <w:rPr>
          <w:rFonts w:ascii="Arial" w:hAnsi="Arial" w:cs="Arial"/>
        </w:rPr>
        <w:t>4m</w:t>
      </w:r>
      <w:r w:rsidR="00083ACA" w:rsidRPr="006F5BE9">
        <w:rPr>
          <w:rFonts w:ascii="Arial" w:hAnsi="Arial" w:cs="Arial"/>
        </w:rPr>
        <w:t xml:space="preserve"> of benefits </w:t>
      </w:r>
      <w:r w:rsidR="00A35B4D" w:rsidRPr="006F5BE9">
        <w:rPr>
          <w:rFonts w:ascii="Arial" w:hAnsi="Arial" w:cs="Arial"/>
        </w:rPr>
        <w:t xml:space="preserve">arose from </w:t>
      </w:r>
      <w:r w:rsidR="00083ACA" w:rsidRPr="006F5BE9">
        <w:rPr>
          <w:rFonts w:ascii="Arial" w:hAnsi="Arial" w:cs="Arial"/>
        </w:rPr>
        <w:t>restructuring activity at</w:t>
      </w:r>
      <w:r w:rsidRPr="00C069A1">
        <w:rPr>
          <w:rFonts w:ascii="Arial" w:hAnsi="Arial" w:cs="Arial"/>
        </w:rPr>
        <w:t xml:space="preserve"> </w:t>
      </w:r>
      <w:r w:rsidR="00083ACA" w:rsidRPr="00C069A1">
        <w:rPr>
          <w:rFonts w:ascii="Arial" w:hAnsi="Arial" w:cs="Arial"/>
        </w:rPr>
        <w:t xml:space="preserve">B&amp;Q and </w:t>
      </w:r>
      <w:r w:rsidR="00083ACA" w:rsidRPr="00C069A1">
        <w:rPr>
          <w:rFonts w:ascii="Arial" w:hAnsi="Arial"/>
        </w:rPr>
        <w:t>France</w:t>
      </w:r>
      <w:r w:rsidR="00083ACA" w:rsidRPr="00C069A1">
        <w:rPr>
          <w:rFonts w:ascii="Arial" w:hAnsi="Arial" w:cs="Arial"/>
        </w:rPr>
        <w:t xml:space="preserve">. </w:t>
      </w:r>
      <w:r w:rsidR="00A36294" w:rsidRPr="00C069A1">
        <w:rPr>
          <w:rFonts w:ascii="Arial" w:hAnsi="Arial" w:cs="Arial"/>
        </w:rPr>
        <w:t xml:space="preserve">We implemented finance shared services in three operating companies </w:t>
      </w:r>
      <w:r w:rsidR="0083600A" w:rsidRPr="00C069A1">
        <w:rPr>
          <w:rFonts w:ascii="Arial" w:hAnsi="Arial" w:cs="Arial"/>
        </w:rPr>
        <w:t>(B&amp;Q, Castorama France and Brico</w:t>
      </w:r>
      <w:r w:rsidR="006631A5" w:rsidRPr="00C069A1">
        <w:rPr>
          <w:rFonts w:ascii="Arial" w:hAnsi="Arial" w:cs="Arial"/>
        </w:rPr>
        <w:t xml:space="preserve"> </w:t>
      </w:r>
      <w:r w:rsidR="006631A5" w:rsidRPr="00C069A1">
        <w:rPr>
          <w:rFonts w:ascii="Arial" w:hAnsi="Arial" w:cs="Arial"/>
          <w:bCs/>
        </w:rPr>
        <w:t>Dépôt</w:t>
      </w:r>
      <w:r w:rsidR="002B3129">
        <w:rPr>
          <w:rFonts w:ascii="Arial" w:hAnsi="Arial" w:cs="Arial"/>
          <w:bCs/>
        </w:rPr>
        <w:t xml:space="preserve"> France</w:t>
      </w:r>
      <w:r w:rsidR="006631A5" w:rsidRPr="00C069A1">
        <w:rPr>
          <w:rFonts w:ascii="Arial" w:hAnsi="Arial" w:cs="Arial"/>
          <w:bCs/>
        </w:rPr>
        <w:t>)</w:t>
      </w:r>
      <w:r w:rsidR="0083600A" w:rsidRPr="00C069A1">
        <w:rPr>
          <w:rFonts w:ascii="Arial" w:hAnsi="Arial" w:cs="Arial"/>
        </w:rPr>
        <w:t xml:space="preserve"> </w:t>
      </w:r>
      <w:r w:rsidR="00A36294" w:rsidRPr="00C069A1">
        <w:rPr>
          <w:rFonts w:ascii="Arial" w:hAnsi="Arial" w:cs="Arial"/>
        </w:rPr>
        <w:t>using our shared services centre in Krakow, Poland.</w:t>
      </w:r>
    </w:p>
    <w:p w14:paraId="3329AF4C" w14:textId="77777777" w:rsidR="00A36294" w:rsidRPr="00C069A1" w:rsidRDefault="00A36294" w:rsidP="001B1EFA">
      <w:pPr>
        <w:jc w:val="left"/>
        <w:rPr>
          <w:rFonts w:ascii="Arial" w:hAnsi="Arial" w:cs="Arial"/>
        </w:rPr>
      </w:pPr>
    </w:p>
    <w:p w14:paraId="6E3874A9" w14:textId="197EA372" w:rsidR="006A15AC" w:rsidRPr="006B2843" w:rsidRDefault="00083ACA" w:rsidP="006A15AC">
      <w:pPr>
        <w:autoSpaceDE w:val="0"/>
        <w:autoSpaceDN w:val="0"/>
        <w:adjustRightInd w:val="0"/>
        <w:jc w:val="left"/>
        <w:rPr>
          <w:rFonts w:ascii="Arial" w:hAnsi="Arial" w:cs="Arial"/>
        </w:rPr>
      </w:pPr>
      <w:r w:rsidRPr="00C069A1">
        <w:rPr>
          <w:rFonts w:ascii="Arial" w:hAnsi="Arial" w:cs="Arial"/>
        </w:rPr>
        <w:t>Cumulatively</w:t>
      </w:r>
      <w:r w:rsidR="00A35B4D" w:rsidRPr="00C069A1">
        <w:rPr>
          <w:rFonts w:ascii="Arial" w:hAnsi="Arial" w:cs="Arial"/>
        </w:rPr>
        <w:t>,</w:t>
      </w:r>
      <w:r w:rsidRPr="00C069A1">
        <w:rPr>
          <w:rFonts w:ascii="Arial" w:hAnsi="Arial" w:cs="Arial"/>
        </w:rPr>
        <w:t xml:space="preserve"> we have delivered benefits of £</w:t>
      </w:r>
      <w:r w:rsidR="00C069A1">
        <w:rPr>
          <w:rFonts w:ascii="Arial" w:hAnsi="Arial" w:cs="Arial"/>
        </w:rPr>
        <w:t>100</w:t>
      </w:r>
      <w:r w:rsidRPr="006F5BE9">
        <w:rPr>
          <w:rFonts w:ascii="Arial" w:hAnsi="Arial" w:cs="Arial"/>
        </w:rPr>
        <w:t>m, of which £</w:t>
      </w:r>
      <w:r w:rsidR="00AC7708" w:rsidRPr="0035009E">
        <w:rPr>
          <w:rFonts w:ascii="Arial" w:hAnsi="Arial" w:cs="Arial"/>
        </w:rPr>
        <w:t>86</w:t>
      </w:r>
      <w:r w:rsidRPr="006F5BE9">
        <w:rPr>
          <w:rFonts w:ascii="Arial" w:hAnsi="Arial" w:cs="Arial"/>
        </w:rPr>
        <w:t xml:space="preserve">m </w:t>
      </w:r>
      <w:r w:rsidR="00A35B4D" w:rsidRPr="006F5BE9">
        <w:rPr>
          <w:rFonts w:ascii="Arial" w:hAnsi="Arial" w:cs="Arial"/>
        </w:rPr>
        <w:t xml:space="preserve">resulted from our </w:t>
      </w:r>
      <w:r w:rsidRPr="006F5BE9">
        <w:rPr>
          <w:rFonts w:ascii="Arial" w:hAnsi="Arial" w:cs="Arial"/>
        </w:rPr>
        <w:t xml:space="preserve">GNFR </w:t>
      </w:r>
      <w:r w:rsidR="00A35B4D" w:rsidRPr="00C069A1">
        <w:rPr>
          <w:rFonts w:ascii="Arial" w:hAnsi="Arial" w:cs="Arial"/>
        </w:rPr>
        <w:t>programme</w:t>
      </w:r>
      <w:r w:rsidR="006A15AC" w:rsidRPr="00C069A1">
        <w:rPr>
          <w:rFonts w:ascii="Arial" w:hAnsi="Arial" w:cs="Arial"/>
        </w:rPr>
        <w:t>.</w:t>
      </w:r>
    </w:p>
    <w:p w14:paraId="6E587B2A" w14:textId="33B38FBE" w:rsidR="005D455E" w:rsidRPr="00726D11" w:rsidRDefault="005D455E">
      <w:pPr>
        <w:jc w:val="left"/>
        <w:rPr>
          <w:rFonts w:ascii="Arial" w:hAnsi="Arial" w:cs="Arial"/>
        </w:rPr>
      </w:pPr>
    </w:p>
    <w:p w14:paraId="5953F441" w14:textId="77777777" w:rsidR="00EA1A01" w:rsidRDefault="00EA1A01">
      <w:pPr>
        <w:jc w:val="left"/>
        <w:rPr>
          <w:rFonts w:ascii="Arial" w:hAnsi="Arial" w:cs="Arial"/>
          <w:b/>
        </w:rPr>
      </w:pPr>
      <w:r>
        <w:rPr>
          <w:rFonts w:ascii="Arial" w:hAnsi="Arial" w:cs="Arial"/>
          <w:b/>
        </w:rPr>
        <w:br w:type="page"/>
      </w:r>
    </w:p>
    <w:p w14:paraId="4ABA8A6D" w14:textId="179C1164" w:rsidR="001317AC" w:rsidRPr="00726D11" w:rsidRDefault="001317AC" w:rsidP="001317AC">
      <w:pPr>
        <w:jc w:val="left"/>
        <w:rPr>
          <w:rFonts w:ascii="Arial" w:hAnsi="Arial" w:cs="Arial"/>
          <w:b/>
        </w:rPr>
      </w:pPr>
      <w:r w:rsidRPr="00726D11">
        <w:rPr>
          <w:rFonts w:ascii="Arial" w:hAnsi="Arial" w:cs="Arial"/>
          <w:b/>
        </w:rPr>
        <w:lastRenderedPageBreak/>
        <w:t xml:space="preserve">Clear priorities for FY 19/20 and beyond </w:t>
      </w:r>
    </w:p>
    <w:p w14:paraId="715D5900" w14:textId="77777777" w:rsidR="001317AC" w:rsidRPr="00726D11" w:rsidRDefault="001317AC" w:rsidP="001317AC">
      <w:pPr>
        <w:jc w:val="left"/>
        <w:rPr>
          <w:rFonts w:ascii="Arial" w:hAnsi="Arial" w:cs="Arial"/>
        </w:rPr>
      </w:pPr>
    </w:p>
    <w:p w14:paraId="70B5575E" w14:textId="77777777" w:rsidR="00BA5B62" w:rsidRPr="00C2187E" w:rsidRDefault="00BA5B62" w:rsidP="00C2187E">
      <w:pPr>
        <w:pStyle w:val="ListParagraph"/>
        <w:numPr>
          <w:ilvl w:val="0"/>
          <w:numId w:val="80"/>
        </w:numPr>
        <w:jc w:val="left"/>
        <w:rPr>
          <w:rFonts w:ascii="Arial" w:hAnsi="Arial" w:cs="Arial"/>
          <w:b/>
        </w:rPr>
      </w:pPr>
      <w:r w:rsidRPr="00C2187E">
        <w:rPr>
          <w:rFonts w:ascii="Arial" w:hAnsi="Arial" w:cs="Arial"/>
          <w:b/>
        </w:rPr>
        <w:t>Address underperformance of Castorama France and other parts of the business</w:t>
      </w:r>
    </w:p>
    <w:p w14:paraId="63E8476A" w14:textId="77777777" w:rsidR="001317AC" w:rsidRPr="001B1EFA" w:rsidRDefault="001317AC" w:rsidP="001B1EFA">
      <w:pPr>
        <w:jc w:val="left"/>
        <w:rPr>
          <w:rFonts w:ascii="Arial" w:hAnsi="Arial"/>
        </w:rPr>
      </w:pPr>
    </w:p>
    <w:p w14:paraId="7A083BCD" w14:textId="4351AC57" w:rsidR="00434537" w:rsidRDefault="001317AC" w:rsidP="00434537">
      <w:pPr>
        <w:jc w:val="left"/>
        <w:rPr>
          <w:rFonts w:ascii="Arial" w:hAnsi="Arial" w:cs="Arial"/>
        </w:rPr>
      </w:pPr>
      <w:r w:rsidRPr="008F3A34">
        <w:rPr>
          <w:rFonts w:ascii="Arial" w:hAnsi="Arial" w:cs="Arial"/>
          <w:b/>
        </w:rPr>
        <w:t>Castorama France:</w:t>
      </w:r>
      <w:r w:rsidRPr="008F3A34">
        <w:rPr>
          <w:rFonts w:ascii="Arial" w:hAnsi="Arial" w:cs="Arial"/>
        </w:rPr>
        <w:t xml:space="preserve"> In France, </w:t>
      </w:r>
      <w:r w:rsidRPr="00AF307A">
        <w:rPr>
          <w:rFonts w:ascii="Arial" w:hAnsi="Arial" w:cs="Arial"/>
        </w:rPr>
        <w:t>whilst</w:t>
      </w:r>
      <w:r w:rsidRPr="008F3A34">
        <w:rPr>
          <w:rFonts w:ascii="Arial" w:hAnsi="Arial" w:cs="Arial"/>
        </w:rPr>
        <w:t xml:space="preserve"> Brico </w:t>
      </w:r>
      <w:r w:rsidRPr="008F3A34">
        <w:rPr>
          <w:rFonts w:ascii="Arial" w:hAnsi="Arial" w:cs="Arial"/>
          <w:bCs/>
        </w:rPr>
        <w:t>Dépôt</w:t>
      </w:r>
      <w:r w:rsidRPr="008F3A34">
        <w:rPr>
          <w:rFonts w:ascii="Arial" w:hAnsi="Arial" w:cs="Arial"/>
        </w:rPr>
        <w:t>’s sales</w:t>
      </w:r>
      <w:r w:rsidR="00032987">
        <w:rPr>
          <w:rFonts w:ascii="Arial" w:hAnsi="Arial" w:cs="Arial"/>
        </w:rPr>
        <w:t xml:space="preserve"> and gross margin</w:t>
      </w:r>
      <w:r w:rsidRPr="008F3A34">
        <w:rPr>
          <w:rFonts w:ascii="Arial" w:hAnsi="Arial" w:cs="Arial"/>
        </w:rPr>
        <w:t xml:space="preserve"> improved, </w:t>
      </w:r>
      <w:r w:rsidR="00032987">
        <w:rPr>
          <w:rFonts w:ascii="Arial" w:hAnsi="Arial" w:cs="Arial"/>
        </w:rPr>
        <w:t xml:space="preserve">with clear benefits from the transformation plan, </w:t>
      </w:r>
      <w:r w:rsidRPr="008F3A34">
        <w:rPr>
          <w:rFonts w:ascii="Arial" w:hAnsi="Arial" w:cs="Arial"/>
        </w:rPr>
        <w:t xml:space="preserve">Castorama’s performance </w:t>
      </w:r>
      <w:r w:rsidRPr="00AF307A">
        <w:rPr>
          <w:rFonts w:ascii="Arial" w:hAnsi="Arial" w:cs="Arial"/>
        </w:rPr>
        <w:t>has been</w:t>
      </w:r>
      <w:r w:rsidR="00032987">
        <w:rPr>
          <w:rFonts w:ascii="Arial" w:hAnsi="Arial" w:cs="Arial"/>
        </w:rPr>
        <w:t xml:space="preserve"> </w:t>
      </w:r>
      <w:r w:rsidRPr="00AF307A">
        <w:rPr>
          <w:rFonts w:ascii="Arial" w:hAnsi="Arial" w:cs="Arial"/>
        </w:rPr>
        <w:t>weak</w:t>
      </w:r>
      <w:r w:rsidR="00032987">
        <w:rPr>
          <w:rFonts w:ascii="Arial" w:hAnsi="Arial" w:cs="Arial"/>
        </w:rPr>
        <w:t xml:space="preserve">, </w:t>
      </w:r>
      <w:r w:rsidR="00A1636C">
        <w:rPr>
          <w:rFonts w:ascii="Arial" w:hAnsi="Arial" w:cs="Arial"/>
        </w:rPr>
        <w:t>due</w:t>
      </w:r>
      <w:r w:rsidR="00032987">
        <w:rPr>
          <w:rFonts w:ascii="Arial" w:hAnsi="Arial" w:cs="Arial"/>
        </w:rPr>
        <w:t xml:space="preserve"> to lower footfall, price repositioning and transformation-related activity</w:t>
      </w:r>
      <w:r w:rsidR="008F285D">
        <w:rPr>
          <w:rFonts w:ascii="Arial" w:hAnsi="Arial" w:cs="Arial"/>
        </w:rPr>
        <w:t xml:space="preserve"> (including logistics &amp; stock inefficiencies)</w:t>
      </w:r>
      <w:r w:rsidRPr="008F3A34">
        <w:rPr>
          <w:rFonts w:ascii="Arial" w:hAnsi="Arial" w:cs="Arial"/>
        </w:rPr>
        <w:t xml:space="preserve">. </w:t>
      </w:r>
      <w:r w:rsidR="00860B1E">
        <w:rPr>
          <w:rFonts w:ascii="Arial" w:hAnsi="Arial" w:cs="Arial"/>
        </w:rPr>
        <w:t>W</w:t>
      </w:r>
      <w:r w:rsidR="00032987">
        <w:rPr>
          <w:rFonts w:ascii="Arial" w:hAnsi="Arial" w:cs="Arial"/>
        </w:rPr>
        <w:t xml:space="preserve">hile </w:t>
      </w:r>
      <w:r w:rsidR="0016646E" w:rsidRPr="00AF307A">
        <w:rPr>
          <w:rFonts w:ascii="Arial" w:hAnsi="Arial" w:cs="Arial"/>
        </w:rPr>
        <w:t xml:space="preserve">there is no </w:t>
      </w:r>
      <w:r w:rsidR="0016646E" w:rsidRPr="009776C7">
        <w:rPr>
          <w:rFonts w:ascii="Arial" w:hAnsi="Arial" w:cs="Arial"/>
        </w:rPr>
        <w:t>quick fix</w:t>
      </w:r>
      <w:r w:rsidR="00C069A1">
        <w:rPr>
          <w:rFonts w:ascii="Arial" w:hAnsi="Arial" w:cs="Arial"/>
        </w:rPr>
        <w:t>,</w:t>
      </w:r>
      <w:r w:rsidR="006145AF">
        <w:rPr>
          <w:rFonts w:ascii="Arial" w:hAnsi="Arial" w:cs="Arial"/>
        </w:rPr>
        <w:t xml:space="preserve"> the new management team</w:t>
      </w:r>
      <w:r w:rsidR="00434537">
        <w:rPr>
          <w:rFonts w:ascii="Arial" w:hAnsi="Arial" w:cs="Arial"/>
        </w:rPr>
        <w:t xml:space="preserve"> has</w:t>
      </w:r>
      <w:r w:rsidR="006145AF">
        <w:rPr>
          <w:rFonts w:ascii="Arial" w:hAnsi="Arial" w:cs="Arial"/>
        </w:rPr>
        <w:t xml:space="preserve"> implement</w:t>
      </w:r>
      <w:r w:rsidR="00434537">
        <w:rPr>
          <w:rFonts w:ascii="Arial" w:hAnsi="Arial" w:cs="Arial"/>
        </w:rPr>
        <w:t>ed</w:t>
      </w:r>
      <w:r w:rsidR="006145AF">
        <w:rPr>
          <w:rFonts w:ascii="Arial" w:hAnsi="Arial" w:cs="Arial"/>
        </w:rPr>
        <w:t xml:space="preserve"> a recovery plan</w:t>
      </w:r>
      <w:r w:rsidR="00434537" w:rsidRPr="00AF307A">
        <w:rPr>
          <w:rFonts w:ascii="Arial" w:hAnsi="Arial" w:cs="Arial"/>
        </w:rPr>
        <w:t xml:space="preserve"> </w:t>
      </w:r>
      <w:r w:rsidR="00434537">
        <w:rPr>
          <w:rFonts w:ascii="Arial" w:hAnsi="Arial" w:cs="Arial"/>
        </w:rPr>
        <w:t xml:space="preserve">that we expect to </w:t>
      </w:r>
      <w:r w:rsidR="00434537" w:rsidRPr="00AF307A">
        <w:rPr>
          <w:rFonts w:ascii="Arial" w:hAnsi="Arial" w:cs="Arial"/>
        </w:rPr>
        <w:t>deliver a sustainably improved performance</w:t>
      </w:r>
      <w:r w:rsidR="00434537">
        <w:rPr>
          <w:rFonts w:ascii="Arial" w:hAnsi="Arial" w:cs="Arial"/>
        </w:rPr>
        <w:t>:</w:t>
      </w:r>
    </w:p>
    <w:p w14:paraId="3B016FCD" w14:textId="77777777" w:rsidR="00517C8C" w:rsidRDefault="00517C8C" w:rsidP="00AF307A">
      <w:pPr>
        <w:jc w:val="left"/>
        <w:rPr>
          <w:rFonts w:ascii="Arial" w:hAnsi="Arial" w:cs="Arial"/>
        </w:rPr>
      </w:pPr>
    </w:p>
    <w:p w14:paraId="69D648AF" w14:textId="78F259DB" w:rsidR="00843D3F" w:rsidRPr="00C2187E" w:rsidRDefault="00843D3F" w:rsidP="00C2187E">
      <w:pPr>
        <w:pStyle w:val="ListParagraph"/>
        <w:numPr>
          <w:ilvl w:val="0"/>
          <w:numId w:val="82"/>
        </w:numPr>
        <w:spacing w:after="200"/>
        <w:contextualSpacing/>
        <w:jc w:val="left"/>
        <w:rPr>
          <w:rFonts w:ascii="Arial" w:hAnsi="Arial" w:cs="Arial"/>
          <w:bCs/>
        </w:rPr>
      </w:pPr>
      <w:r w:rsidRPr="00C2187E">
        <w:rPr>
          <w:rFonts w:ascii="Arial" w:hAnsi="Arial" w:cs="Arial"/>
        </w:rPr>
        <w:t>In the second half of FY 18/19</w:t>
      </w:r>
      <w:r w:rsidRPr="00C2187E" w:rsidDel="00F538B1">
        <w:rPr>
          <w:rFonts w:ascii="Arial" w:hAnsi="Arial" w:cs="Arial"/>
        </w:rPr>
        <w:t xml:space="preserve"> </w:t>
      </w:r>
      <w:r w:rsidRPr="00C2187E">
        <w:rPr>
          <w:rFonts w:ascii="Arial" w:hAnsi="Arial" w:cs="Arial"/>
        </w:rPr>
        <w:t xml:space="preserve">Castorama </w:t>
      </w:r>
      <w:r w:rsidR="001317AC" w:rsidRPr="00C2187E">
        <w:rPr>
          <w:rFonts w:ascii="Arial" w:hAnsi="Arial" w:cs="Arial"/>
        </w:rPr>
        <w:t xml:space="preserve">accelerated </w:t>
      </w:r>
      <w:r w:rsidRPr="00C2187E">
        <w:rPr>
          <w:rFonts w:ascii="Arial" w:hAnsi="Arial" w:cs="Arial"/>
        </w:rPr>
        <w:t xml:space="preserve">its </w:t>
      </w:r>
      <w:r w:rsidR="001317AC" w:rsidRPr="00C2187E">
        <w:rPr>
          <w:rFonts w:ascii="Arial" w:hAnsi="Arial" w:cs="Arial"/>
        </w:rPr>
        <w:t xml:space="preserve">move to an everyday low price </w:t>
      </w:r>
      <w:r w:rsidR="0016646E" w:rsidRPr="00C2187E">
        <w:rPr>
          <w:rFonts w:ascii="Arial" w:hAnsi="Arial" w:cs="Arial"/>
        </w:rPr>
        <w:t xml:space="preserve">(EDLP) </w:t>
      </w:r>
      <w:r w:rsidR="001317AC" w:rsidRPr="00C2187E">
        <w:rPr>
          <w:rFonts w:ascii="Arial" w:hAnsi="Arial" w:cs="Arial"/>
        </w:rPr>
        <w:t>strateg</w:t>
      </w:r>
      <w:r w:rsidR="007642BB" w:rsidRPr="00C2187E">
        <w:rPr>
          <w:rFonts w:ascii="Arial" w:hAnsi="Arial" w:cs="Arial"/>
        </w:rPr>
        <w:t xml:space="preserve">y. </w:t>
      </w:r>
      <w:r w:rsidR="007642BB" w:rsidRPr="00C2187E">
        <w:rPr>
          <w:rFonts w:ascii="Arial" w:hAnsi="Arial" w:cs="Arial"/>
          <w:bCs/>
        </w:rPr>
        <w:t xml:space="preserve">Price positioning has improved </w:t>
      </w:r>
      <w:r w:rsidR="0065139A">
        <w:rPr>
          <w:rFonts w:ascii="Arial" w:hAnsi="Arial" w:cs="Arial"/>
          <w:bCs/>
        </w:rPr>
        <w:t xml:space="preserve">over the year </w:t>
      </w:r>
      <w:r w:rsidR="007642BB" w:rsidRPr="00C2187E">
        <w:rPr>
          <w:rFonts w:ascii="Arial" w:hAnsi="Arial" w:cs="Arial"/>
          <w:bCs/>
        </w:rPr>
        <w:t>and is now only slightly higher than the market</w:t>
      </w:r>
      <w:r w:rsidR="00434537">
        <w:rPr>
          <w:rFonts w:ascii="Arial" w:hAnsi="Arial" w:cs="Arial"/>
          <w:bCs/>
        </w:rPr>
        <w:t>;</w:t>
      </w:r>
      <w:r w:rsidRPr="00C2187E">
        <w:rPr>
          <w:rFonts w:ascii="Arial" w:hAnsi="Arial" w:cs="Arial"/>
          <w:bCs/>
        </w:rPr>
        <w:t xml:space="preserve"> </w:t>
      </w:r>
    </w:p>
    <w:p w14:paraId="79AAF1CB" w14:textId="7E49C98D" w:rsidR="008F285D" w:rsidRDefault="00266F1D" w:rsidP="00843D3F">
      <w:pPr>
        <w:pStyle w:val="ListParagraph"/>
        <w:numPr>
          <w:ilvl w:val="0"/>
          <w:numId w:val="81"/>
        </w:numPr>
        <w:spacing w:after="200"/>
        <w:contextualSpacing/>
        <w:jc w:val="left"/>
        <w:rPr>
          <w:rFonts w:ascii="Arial" w:hAnsi="Arial" w:cs="Arial"/>
          <w:bCs/>
        </w:rPr>
      </w:pPr>
      <w:r>
        <w:rPr>
          <w:rFonts w:ascii="Arial" w:hAnsi="Arial" w:cs="Arial"/>
          <w:bCs/>
        </w:rPr>
        <w:t xml:space="preserve">Progress was made in reducing Castorama’s </w:t>
      </w:r>
      <w:r w:rsidR="008F285D">
        <w:rPr>
          <w:rFonts w:ascii="Arial" w:hAnsi="Arial" w:cs="Arial"/>
          <w:bCs/>
        </w:rPr>
        <w:t xml:space="preserve">stock position </w:t>
      </w:r>
      <w:r>
        <w:rPr>
          <w:rFonts w:ascii="Arial" w:hAnsi="Arial" w:cs="Arial"/>
          <w:bCs/>
        </w:rPr>
        <w:t xml:space="preserve">which is helping </w:t>
      </w:r>
      <w:r w:rsidR="008F285D">
        <w:rPr>
          <w:rFonts w:ascii="Arial" w:hAnsi="Arial" w:cs="Arial"/>
          <w:bCs/>
        </w:rPr>
        <w:t xml:space="preserve">to </w:t>
      </w:r>
      <w:r>
        <w:rPr>
          <w:rFonts w:ascii="Arial" w:hAnsi="Arial" w:cs="Arial"/>
          <w:bCs/>
        </w:rPr>
        <w:t xml:space="preserve">address </w:t>
      </w:r>
      <w:r w:rsidR="008F285D" w:rsidRPr="008F285D">
        <w:rPr>
          <w:rFonts w:ascii="Arial" w:hAnsi="Arial" w:cs="Arial"/>
          <w:bCs/>
        </w:rPr>
        <w:t xml:space="preserve">logistics </w:t>
      </w:r>
      <w:r w:rsidR="008F285D">
        <w:rPr>
          <w:rFonts w:ascii="Arial" w:hAnsi="Arial" w:cs="Arial"/>
          <w:bCs/>
        </w:rPr>
        <w:t>&amp;</w:t>
      </w:r>
      <w:r w:rsidR="008F285D" w:rsidRPr="008F285D">
        <w:rPr>
          <w:rFonts w:ascii="Arial" w:hAnsi="Arial" w:cs="Arial"/>
          <w:bCs/>
        </w:rPr>
        <w:t xml:space="preserve"> stock inefficiencies</w:t>
      </w:r>
      <w:r>
        <w:rPr>
          <w:rFonts w:ascii="Arial" w:hAnsi="Arial" w:cs="Arial"/>
          <w:bCs/>
        </w:rPr>
        <w:t>;</w:t>
      </w:r>
      <w:r w:rsidR="008F285D" w:rsidRPr="008F285D">
        <w:rPr>
          <w:rFonts w:ascii="Arial" w:hAnsi="Arial" w:cs="Arial"/>
          <w:bCs/>
        </w:rPr>
        <w:t xml:space="preserve"> </w:t>
      </w:r>
    </w:p>
    <w:p w14:paraId="1360E323" w14:textId="33E18C8C" w:rsidR="00843D3F" w:rsidRPr="0065147B" w:rsidRDefault="00843D3F" w:rsidP="00843D3F">
      <w:pPr>
        <w:pStyle w:val="ListParagraph"/>
        <w:numPr>
          <w:ilvl w:val="0"/>
          <w:numId w:val="81"/>
        </w:numPr>
        <w:spacing w:after="200"/>
        <w:contextualSpacing/>
        <w:jc w:val="left"/>
        <w:rPr>
          <w:rFonts w:ascii="Arial" w:hAnsi="Arial" w:cs="Arial"/>
          <w:bCs/>
        </w:rPr>
      </w:pPr>
      <w:r>
        <w:rPr>
          <w:rFonts w:ascii="Arial" w:hAnsi="Arial" w:cs="Arial"/>
          <w:bCs/>
        </w:rPr>
        <w:t>V</w:t>
      </w:r>
      <w:r w:rsidR="00517C8C" w:rsidRPr="00C2187E">
        <w:rPr>
          <w:rFonts w:ascii="Arial" w:hAnsi="Arial" w:cs="Arial"/>
        </w:rPr>
        <w:t xml:space="preserve">ariable </w:t>
      </w:r>
      <w:r w:rsidR="00517C8C" w:rsidRPr="00843D3F">
        <w:rPr>
          <w:rFonts w:ascii="Arial" w:hAnsi="Arial" w:cs="Arial"/>
        </w:rPr>
        <w:t>cost reduction</w:t>
      </w:r>
      <w:r w:rsidR="006145AF" w:rsidRPr="00843D3F">
        <w:rPr>
          <w:rFonts w:ascii="Arial" w:hAnsi="Arial" w:cs="Arial"/>
        </w:rPr>
        <w:t xml:space="preserve"> initiatives </w:t>
      </w:r>
      <w:r w:rsidRPr="00843D3F">
        <w:rPr>
          <w:rFonts w:ascii="Arial" w:hAnsi="Arial" w:cs="Arial"/>
        </w:rPr>
        <w:t xml:space="preserve">were implemented </w:t>
      </w:r>
      <w:r w:rsidR="006145AF" w:rsidRPr="00843D3F">
        <w:rPr>
          <w:rFonts w:ascii="Arial" w:hAnsi="Arial" w:cs="Arial"/>
        </w:rPr>
        <w:t xml:space="preserve">including a 5% reduction in </w:t>
      </w:r>
      <w:r w:rsidR="00C069A1">
        <w:rPr>
          <w:rFonts w:ascii="Arial" w:hAnsi="Arial" w:cs="Arial"/>
        </w:rPr>
        <w:t xml:space="preserve">employees (FTE) </w:t>
      </w:r>
      <w:r w:rsidR="006145AF" w:rsidRPr="00843D3F">
        <w:rPr>
          <w:rFonts w:ascii="Arial" w:hAnsi="Arial" w:cs="Arial"/>
        </w:rPr>
        <w:t>(FY 18/19)</w:t>
      </w:r>
      <w:r w:rsidR="00434537">
        <w:rPr>
          <w:rFonts w:ascii="Arial" w:hAnsi="Arial" w:cs="Arial"/>
        </w:rPr>
        <w:t>;</w:t>
      </w:r>
      <w:r w:rsidR="0016646E" w:rsidRPr="00843D3F">
        <w:rPr>
          <w:rFonts w:ascii="Arial" w:hAnsi="Arial" w:cs="Arial"/>
        </w:rPr>
        <w:t xml:space="preserve"> </w:t>
      </w:r>
    </w:p>
    <w:p w14:paraId="16B861D2" w14:textId="6ED9B006" w:rsidR="007642BB" w:rsidRPr="0065147B" w:rsidRDefault="00843D3F" w:rsidP="00C2187E">
      <w:pPr>
        <w:pStyle w:val="ListParagraph"/>
        <w:numPr>
          <w:ilvl w:val="0"/>
          <w:numId w:val="81"/>
        </w:numPr>
        <w:spacing w:after="200"/>
        <w:contextualSpacing/>
        <w:jc w:val="left"/>
        <w:rPr>
          <w:rFonts w:ascii="Arial" w:hAnsi="Arial" w:cs="Arial"/>
        </w:rPr>
      </w:pPr>
      <w:r w:rsidRPr="00C2187E">
        <w:rPr>
          <w:rFonts w:ascii="Arial" w:hAnsi="Arial" w:cs="Arial"/>
          <w:bCs/>
        </w:rPr>
        <w:t xml:space="preserve">The rollout of our unified IT platform is </w:t>
      </w:r>
      <w:r w:rsidR="00E1060D">
        <w:rPr>
          <w:rFonts w:ascii="Arial" w:hAnsi="Arial" w:cs="Arial"/>
          <w:bCs/>
        </w:rPr>
        <w:t>substantially complete</w:t>
      </w:r>
      <w:r w:rsidR="00434537">
        <w:rPr>
          <w:rFonts w:ascii="Arial" w:hAnsi="Arial" w:cs="Arial"/>
          <w:bCs/>
        </w:rPr>
        <w:t>;</w:t>
      </w:r>
      <w:r w:rsidRPr="00C2187E">
        <w:rPr>
          <w:rFonts w:ascii="Arial" w:hAnsi="Arial" w:cs="Arial"/>
          <w:bCs/>
        </w:rPr>
        <w:t xml:space="preserve"> </w:t>
      </w:r>
    </w:p>
    <w:p w14:paraId="1AD11107" w14:textId="3AED3DE4" w:rsidR="00843D3F" w:rsidRPr="00434537" w:rsidRDefault="00843D3F" w:rsidP="00C2187E">
      <w:pPr>
        <w:pStyle w:val="ListParagraph"/>
        <w:numPr>
          <w:ilvl w:val="0"/>
          <w:numId w:val="81"/>
        </w:numPr>
        <w:spacing w:after="200"/>
        <w:contextualSpacing/>
        <w:jc w:val="left"/>
        <w:rPr>
          <w:rFonts w:ascii="Arial" w:hAnsi="Arial" w:cs="Arial"/>
        </w:rPr>
      </w:pPr>
      <w:r w:rsidRPr="00C2187E">
        <w:rPr>
          <w:rFonts w:ascii="Arial" w:hAnsi="Arial" w:cs="Arial"/>
          <w:bCs/>
        </w:rPr>
        <w:t xml:space="preserve">In 2019 </w:t>
      </w:r>
      <w:r w:rsidR="00434537" w:rsidRPr="00C2187E">
        <w:rPr>
          <w:rFonts w:ascii="Arial" w:hAnsi="Arial" w:cs="Arial"/>
          <w:bCs/>
        </w:rPr>
        <w:t>Castorama will benefit from</w:t>
      </w:r>
      <w:r w:rsidRPr="00C2187E">
        <w:rPr>
          <w:rFonts w:ascii="Arial" w:hAnsi="Arial" w:cs="Arial"/>
          <w:bCs/>
        </w:rPr>
        <w:t xml:space="preserve"> new </w:t>
      </w:r>
      <w:r w:rsidR="00434537" w:rsidRPr="00C2187E">
        <w:rPr>
          <w:rFonts w:ascii="Arial" w:hAnsi="Arial" w:cs="Arial"/>
          <w:bCs/>
        </w:rPr>
        <w:t xml:space="preserve">unique </w:t>
      </w:r>
      <w:r w:rsidRPr="00C2187E">
        <w:rPr>
          <w:rFonts w:ascii="Arial" w:hAnsi="Arial" w:cs="Arial"/>
          <w:bCs/>
        </w:rPr>
        <w:t xml:space="preserve">ranges, </w:t>
      </w:r>
      <w:r w:rsidR="00434537">
        <w:rPr>
          <w:rFonts w:ascii="Arial" w:hAnsi="Arial" w:cs="Arial"/>
          <w:bCs/>
        </w:rPr>
        <w:t xml:space="preserve">increased </w:t>
      </w:r>
      <w:r w:rsidRPr="00C2187E">
        <w:rPr>
          <w:rFonts w:ascii="Arial" w:hAnsi="Arial" w:cs="Arial"/>
          <w:bCs/>
        </w:rPr>
        <w:t xml:space="preserve">customer </w:t>
      </w:r>
      <w:r w:rsidR="00434537">
        <w:rPr>
          <w:rFonts w:ascii="Arial" w:hAnsi="Arial" w:cs="Arial"/>
          <w:bCs/>
        </w:rPr>
        <w:t>marketing</w:t>
      </w:r>
      <w:r w:rsidRPr="00C2187E">
        <w:rPr>
          <w:rFonts w:ascii="Arial" w:hAnsi="Arial" w:cs="Arial"/>
          <w:bCs/>
        </w:rPr>
        <w:t xml:space="preserve"> and </w:t>
      </w:r>
      <w:r w:rsidR="00434537">
        <w:rPr>
          <w:rFonts w:ascii="Arial" w:hAnsi="Arial" w:cs="Arial"/>
          <w:bCs/>
        </w:rPr>
        <w:t xml:space="preserve">an </w:t>
      </w:r>
      <w:r w:rsidRPr="00C2187E">
        <w:rPr>
          <w:rFonts w:ascii="Arial" w:hAnsi="Arial" w:cs="Arial"/>
          <w:bCs/>
        </w:rPr>
        <w:t>improv</w:t>
      </w:r>
      <w:r w:rsidR="00434537">
        <w:rPr>
          <w:rFonts w:ascii="Arial" w:hAnsi="Arial" w:cs="Arial"/>
          <w:bCs/>
        </w:rPr>
        <w:t>ed</w:t>
      </w:r>
      <w:r w:rsidRPr="00C2187E">
        <w:rPr>
          <w:rFonts w:ascii="Arial" w:hAnsi="Arial" w:cs="Arial"/>
          <w:bCs/>
        </w:rPr>
        <w:t xml:space="preserve"> </w:t>
      </w:r>
      <w:r w:rsidR="00434537">
        <w:rPr>
          <w:rFonts w:ascii="Arial" w:hAnsi="Arial" w:cs="Arial"/>
          <w:bCs/>
        </w:rPr>
        <w:t xml:space="preserve">digital experience. </w:t>
      </w:r>
    </w:p>
    <w:p w14:paraId="454C77F9" w14:textId="6AFCE61D" w:rsidR="00434537" w:rsidRDefault="00434537" w:rsidP="00434537">
      <w:pPr>
        <w:jc w:val="left"/>
        <w:rPr>
          <w:rFonts w:ascii="Arial" w:hAnsi="Arial" w:cs="Arial"/>
        </w:rPr>
      </w:pPr>
      <w:r>
        <w:rPr>
          <w:rFonts w:ascii="Arial" w:hAnsi="Arial" w:cs="Arial"/>
        </w:rPr>
        <w:t xml:space="preserve">These actions are </w:t>
      </w:r>
      <w:proofErr w:type="gramStart"/>
      <w:r>
        <w:rPr>
          <w:rFonts w:ascii="Arial" w:hAnsi="Arial" w:cs="Arial"/>
        </w:rPr>
        <w:t>ongoing</w:t>
      </w:r>
      <w:proofErr w:type="gramEnd"/>
      <w:r>
        <w:rPr>
          <w:rFonts w:ascii="Arial" w:hAnsi="Arial" w:cs="Arial"/>
        </w:rPr>
        <w:t xml:space="preserve"> and the benefit is still to be realised. </w:t>
      </w:r>
      <w:r w:rsidR="006145AF">
        <w:rPr>
          <w:rFonts w:ascii="Arial" w:hAnsi="Arial" w:cs="Arial"/>
        </w:rPr>
        <w:t>Encouragingly c</w:t>
      </w:r>
      <w:r w:rsidR="00F16545">
        <w:rPr>
          <w:rFonts w:ascii="Arial" w:hAnsi="Arial" w:cs="Arial"/>
        </w:rPr>
        <w:t xml:space="preserve">ustomer perception </w:t>
      </w:r>
      <w:r>
        <w:rPr>
          <w:rFonts w:ascii="Arial" w:hAnsi="Arial" w:cs="Arial"/>
        </w:rPr>
        <w:t>improved</w:t>
      </w:r>
      <w:r w:rsidR="006F5BE9">
        <w:rPr>
          <w:rFonts w:ascii="Arial" w:hAnsi="Arial" w:cs="Arial"/>
        </w:rPr>
        <w:t xml:space="preserve"> at Castorama, with net promoter score (NPS) showing a </w:t>
      </w:r>
      <w:r w:rsidR="00F16545">
        <w:rPr>
          <w:rFonts w:ascii="Arial" w:hAnsi="Arial" w:cs="Arial"/>
        </w:rPr>
        <w:t xml:space="preserve">clear </w:t>
      </w:r>
      <w:r w:rsidR="007642BB">
        <w:rPr>
          <w:rFonts w:ascii="Arial" w:hAnsi="Arial" w:cs="Arial"/>
        </w:rPr>
        <w:t>increase</w:t>
      </w:r>
      <w:r w:rsidR="006F5BE9">
        <w:rPr>
          <w:rFonts w:ascii="Arial" w:hAnsi="Arial" w:cs="Arial"/>
        </w:rPr>
        <w:t xml:space="preserve"> in the second half of FY18/19.</w:t>
      </w:r>
      <w:r w:rsidR="00F16545">
        <w:rPr>
          <w:rFonts w:ascii="Arial" w:hAnsi="Arial" w:cs="Arial"/>
        </w:rPr>
        <w:t xml:space="preserve"> </w:t>
      </w:r>
    </w:p>
    <w:p w14:paraId="668E1812" w14:textId="77777777" w:rsidR="00CE4AC8" w:rsidRDefault="00CE4AC8" w:rsidP="00AF307A">
      <w:pPr>
        <w:jc w:val="left"/>
        <w:rPr>
          <w:rFonts w:ascii="Arial" w:hAnsi="Arial" w:cs="Arial"/>
        </w:rPr>
      </w:pPr>
    </w:p>
    <w:p w14:paraId="1FC162D6" w14:textId="194B4396" w:rsidR="00FD750E" w:rsidRDefault="008F3A34" w:rsidP="00FD750E">
      <w:pPr>
        <w:jc w:val="left"/>
        <w:rPr>
          <w:rFonts w:ascii="Arial" w:hAnsi="Arial" w:cs="Arial"/>
        </w:rPr>
      </w:pPr>
      <w:r w:rsidRPr="009D57FF">
        <w:rPr>
          <w:rFonts w:ascii="Arial" w:hAnsi="Arial" w:cs="Arial"/>
          <w:b/>
        </w:rPr>
        <w:t>Clos</w:t>
      </w:r>
      <w:r w:rsidR="00C113CD" w:rsidRPr="009D57FF">
        <w:rPr>
          <w:rFonts w:ascii="Arial" w:hAnsi="Arial" w:cs="Arial"/>
          <w:b/>
        </w:rPr>
        <w:t>ing</w:t>
      </w:r>
      <w:r w:rsidRPr="009D57FF">
        <w:rPr>
          <w:rFonts w:ascii="Arial" w:hAnsi="Arial" w:cs="Arial"/>
          <w:b/>
        </w:rPr>
        <w:t xml:space="preserve"> u</w:t>
      </w:r>
      <w:r w:rsidR="0016646E" w:rsidRPr="009D57FF">
        <w:rPr>
          <w:rFonts w:ascii="Arial" w:hAnsi="Arial" w:cs="Arial"/>
          <w:b/>
        </w:rPr>
        <w:t>nderperforming stores</w:t>
      </w:r>
      <w:r w:rsidR="00CF594F">
        <w:rPr>
          <w:rFonts w:ascii="Arial" w:hAnsi="Arial" w:cs="Arial"/>
          <w:b/>
        </w:rPr>
        <w:t xml:space="preserve"> across the business</w:t>
      </w:r>
      <w:r w:rsidR="0016646E" w:rsidRPr="009D57FF">
        <w:rPr>
          <w:rFonts w:ascii="Arial" w:hAnsi="Arial" w:cs="Arial"/>
          <w:b/>
        </w:rPr>
        <w:t>:</w:t>
      </w:r>
      <w:r w:rsidR="00FD750E" w:rsidRPr="0035009E">
        <w:rPr>
          <w:rFonts w:ascii="Arial" w:hAnsi="Arial" w:cs="Arial"/>
        </w:rPr>
        <w:t xml:space="preserve"> </w:t>
      </w:r>
      <w:r w:rsidR="0088473F" w:rsidRPr="0035009E">
        <w:rPr>
          <w:rFonts w:ascii="Arial" w:hAnsi="Arial" w:cs="Arial"/>
        </w:rPr>
        <w:t xml:space="preserve">Whilst </w:t>
      </w:r>
      <w:proofErr w:type="gramStart"/>
      <w:r w:rsidR="0088473F" w:rsidRPr="0035009E">
        <w:rPr>
          <w:rFonts w:ascii="Arial" w:hAnsi="Arial" w:cs="Arial"/>
        </w:rPr>
        <w:t>the majority of</w:t>
      </w:r>
      <w:proofErr w:type="gramEnd"/>
      <w:r w:rsidR="0088473F" w:rsidRPr="0035009E">
        <w:rPr>
          <w:rFonts w:ascii="Arial" w:hAnsi="Arial" w:cs="Arial"/>
        </w:rPr>
        <w:t xml:space="preserve"> stores in our portfolio are delivering satisfactory returns on capital, certain stores are loss making and achieving low returns. As a result, we are considering closing 15 stores</w:t>
      </w:r>
      <w:r w:rsidR="00250413" w:rsidRPr="0035009E">
        <w:rPr>
          <w:rFonts w:ascii="Arial" w:hAnsi="Arial" w:cs="Arial"/>
        </w:rPr>
        <w:t xml:space="preserve"> across the business</w:t>
      </w:r>
      <w:r w:rsidR="0088473F" w:rsidRPr="0035009E">
        <w:rPr>
          <w:rFonts w:ascii="Arial" w:hAnsi="Arial" w:cs="Arial"/>
        </w:rPr>
        <w:t xml:space="preserve"> over the next two years</w:t>
      </w:r>
      <w:r w:rsidR="00250413" w:rsidRPr="009D57FF">
        <w:rPr>
          <w:rFonts w:ascii="Arial" w:hAnsi="Arial" w:cs="Arial"/>
        </w:rPr>
        <w:t>.</w:t>
      </w:r>
      <w:r w:rsidR="00250413" w:rsidRPr="0035009E">
        <w:rPr>
          <w:rFonts w:ascii="Arial" w:hAnsi="Arial" w:cs="Arial"/>
        </w:rPr>
        <w:t xml:space="preserve"> T</w:t>
      </w:r>
      <w:r w:rsidR="00FD750E" w:rsidRPr="009D57FF">
        <w:rPr>
          <w:rFonts w:ascii="Arial" w:hAnsi="Arial" w:cs="Arial"/>
        </w:rPr>
        <w:t>he</w:t>
      </w:r>
      <w:r w:rsidR="00250413" w:rsidRPr="0035009E">
        <w:rPr>
          <w:rFonts w:ascii="Arial" w:hAnsi="Arial" w:cs="Arial"/>
        </w:rPr>
        <w:t>se</w:t>
      </w:r>
      <w:r w:rsidR="00FD750E" w:rsidRPr="009D57FF">
        <w:rPr>
          <w:rFonts w:ascii="Arial" w:hAnsi="Arial" w:cs="Arial"/>
        </w:rPr>
        <w:t xml:space="preserve"> stores are </w:t>
      </w:r>
      <w:r w:rsidR="00A87E4F" w:rsidRPr="009D57FF">
        <w:rPr>
          <w:rFonts w:ascii="Arial" w:hAnsi="Arial" w:cs="Arial"/>
        </w:rPr>
        <w:t xml:space="preserve">a </w:t>
      </w:r>
      <w:r w:rsidR="00FD750E" w:rsidRPr="009D57FF">
        <w:rPr>
          <w:rFonts w:ascii="Arial" w:hAnsi="Arial" w:cs="Arial"/>
        </w:rPr>
        <w:t xml:space="preserve">combination of owned and leased </w:t>
      </w:r>
      <w:r w:rsidR="00A87E4F" w:rsidRPr="009D57FF">
        <w:rPr>
          <w:rFonts w:ascii="Arial" w:hAnsi="Arial" w:cs="Arial"/>
        </w:rPr>
        <w:t>properties</w:t>
      </w:r>
      <w:r w:rsidR="00FD750E" w:rsidRPr="009D57FF">
        <w:rPr>
          <w:rFonts w:ascii="Arial" w:hAnsi="Arial" w:cs="Arial"/>
        </w:rPr>
        <w:t xml:space="preserve"> and the </w:t>
      </w:r>
      <w:r w:rsidR="00A87E4F" w:rsidRPr="009D57FF">
        <w:rPr>
          <w:rFonts w:ascii="Arial" w:hAnsi="Arial" w:cs="Arial"/>
        </w:rPr>
        <w:t xml:space="preserve">estimated </w:t>
      </w:r>
      <w:r w:rsidR="0036421E" w:rsidRPr="009D57FF">
        <w:rPr>
          <w:rFonts w:ascii="Arial" w:hAnsi="Arial" w:cs="Arial"/>
        </w:rPr>
        <w:t xml:space="preserve">cash </w:t>
      </w:r>
      <w:r w:rsidR="00FD750E" w:rsidRPr="009D57FF">
        <w:rPr>
          <w:rFonts w:ascii="Arial" w:hAnsi="Arial" w:cs="Arial"/>
        </w:rPr>
        <w:t>cost</w:t>
      </w:r>
      <w:r w:rsidR="0036421E" w:rsidRPr="009D57FF">
        <w:rPr>
          <w:rFonts w:ascii="Arial" w:hAnsi="Arial" w:cs="Arial"/>
        </w:rPr>
        <w:t>s</w:t>
      </w:r>
      <w:r w:rsidR="00FD750E" w:rsidRPr="009D57FF">
        <w:rPr>
          <w:rFonts w:ascii="Arial" w:hAnsi="Arial" w:cs="Arial"/>
        </w:rPr>
        <w:t xml:space="preserve"> of exit </w:t>
      </w:r>
      <w:r w:rsidR="0036421E" w:rsidRPr="009D57FF">
        <w:rPr>
          <w:rFonts w:ascii="Arial" w:hAnsi="Arial" w:cs="Arial"/>
        </w:rPr>
        <w:t xml:space="preserve">are </w:t>
      </w:r>
      <w:r w:rsidR="00FD750E" w:rsidRPr="009D57FF">
        <w:rPr>
          <w:rFonts w:ascii="Arial" w:hAnsi="Arial" w:cs="Arial"/>
        </w:rPr>
        <w:t>expected to be covered by sale proceeds from the owned stores.</w:t>
      </w:r>
      <w:r w:rsidR="00DF47F0" w:rsidRPr="009D57FF">
        <w:rPr>
          <w:rFonts w:ascii="Arial" w:hAnsi="Arial" w:cs="Arial"/>
        </w:rPr>
        <w:t xml:space="preserve"> </w:t>
      </w:r>
    </w:p>
    <w:p w14:paraId="0EFCE07F" w14:textId="77777777" w:rsidR="008F3A34" w:rsidRPr="00AF307A" w:rsidRDefault="008F3A34" w:rsidP="00AF307A">
      <w:pPr>
        <w:jc w:val="left"/>
        <w:rPr>
          <w:rFonts w:ascii="Arial" w:hAnsi="Arial" w:cs="Arial"/>
        </w:rPr>
      </w:pPr>
    </w:p>
    <w:p w14:paraId="26A1A35F" w14:textId="41DFE75F" w:rsidR="008F3A34" w:rsidRDefault="008F3A34" w:rsidP="008F3A34">
      <w:pPr>
        <w:jc w:val="left"/>
        <w:rPr>
          <w:rFonts w:ascii="Arial" w:hAnsi="Arial" w:cs="Arial"/>
        </w:rPr>
      </w:pPr>
      <w:r>
        <w:rPr>
          <w:rFonts w:ascii="Arial" w:hAnsi="Arial" w:cs="Arial"/>
          <w:b/>
        </w:rPr>
        <w:t xml:space="preserve">Focusing on markets where </w:t>
      </w:r>
      <w:r w:rsidR="002F7434">
        <w:rPr>
          <w:rFonts w:ascii="Arial" w:hAnsi="Arial" w:cs="Arial"/>
          <w:b/>
        </w:rPr>
        <w:t xml:space="preserve">we </w:t>
      </w:r>
      <w:r>
        <w:rPr>
          <w:rFonts w:ascii="Arial" w:hAnsi="Arial" w:cs="Arial"/>
          <w:b/>
        </w:rPr>
        <w:t>are</w:t>
      </w:r>
      <w:r w:rsidR="00A87E4F">
        <w:rPr>
          <w:rFonts w:ascii="Arial" w:hAnsi="Arial" w:cs="Arial"/>
          <w:b/>
        </w:rPr>
        <w:t>,</w:t>
      </w:r>
      <w:r>
        <w:rPr>
          <w:rFonts w:ascii="Arial" w:hAnsi="Arial" w:cs="Arial"/>
          <w:b/>
        </w:rPr>
        <w:t xml:space="preserve"> or can be</w:t>
      </w:r>
      <w:r w:rsidR="00A87E4F">
        <w:rPr>
          <w:rFonts w:ascii="Arial" w:hAnsi="Arial" w:cs="Arial"/>
          <w:b/>
        </w:rPr>
        <w:t>,</w:t>
      </w:r>
      <w:r>
        <w:rPr>
          <w:rFonts w:ascii="Arial" w:hAnsi="Arial" w:cs="Arial"/>
          <w:b/>
        </w:rPr>
        <w:t xml:space="preserve"> leading</w:t>
      </w:r>
      <w:r w:rsidRPr="00D72D34">
        <w:rPr>
          <w:rFonts w:ascii="Arial" w:hAnsi="Arial" w:cs="Arial"/>
          <w:b/>
        </w:rPr>
        <w:t>:</w:t>
      </w:r>
      <w:r>
        <w:rPr>
          <w:rFonts w:ascii="Arial" w:hAnsi="Arial" w:cs="Arial"/>
          <w:b/>
        </w:rPr>
        <w:t xml:space="preserve"> </w:t>
      </w:r>
      <w:r>
        <w:rPr>
          <w:rFonts w:ascii="Arial" w:hAnsi="Arial" w:cs="Arial"/>
        </w:rPr>
        <w:t xml:space="preserve">At Q3 we announced the strategic decision to exit </w:t>
      </w:r>
      <w:r w:rsidRPr="00182E48">
        <w:rPr>
          <w:rFonts w:ascii="Arial" w:hAnsi="Arial" w:cs="Arial"/>
        </w:rPr>
        <w:t>Russia</w:t>
      </w:r>
      <w:r w:rsidR="006F5BE9">
        <w:rPr>
          <w:rFonts w:ascii="Arial" w:hAnsi="Arial" w:cs="Arial"/>
        </w:rPr>
        <w:t xml:space="preserve"> and Iberia</w:t>
      </w:r>
      <w:r w:rsidRPr="00182E48">
        <w:rPr>
          <w:rFonts w:ascii="Arial" w:hAnsi="Arial" w:cs="Arial"/>
        </w:rPr>
        <w:t xml:space="preserve"> to focus on markets where we have, or can reach, a market</w:t>
      </w:r>
      <w:r>
        <w:rPr>
          <w:rFonts w:ascii="Arial" w:hAnsi="Arial" w:cs="Arial"/>
        </w:rPr>
        <w:t xml:space="preserve"> </w:t>
      </w:r>
      <w:r w:rsidRPr="00182E48">
        <w:rPr>
          <w:rFonts w:ascii="Arial" w:hAnsi="Arial" w:cs="Arial"/>
        </w:rPr>
        <w:t>leading position</w:t>
      </w:r>
      <w:r>
        <w:rPr>
          <w:rFonts w:ascii="Arial" w:hAnsi="Arial" w:cs="Arial"/>
        </w:rPr>
        <w:t xml:space="preserve">. </w:t>
      </w:r>
      <w:r w:rsidR="00DF47F0">
        <w:rPr>
          <w:rFonts w:ascii="Arial" w:hAnsi="Arial" w:cs="Arial"/>
        </w:rPr>
        <w:t xml:space="preserve">Those exit processes are ongoing. Further, we have taken the decision to </w:t>
      </w:r>
      <w:r>
        <w:rPr>
          <w:rFonts w:ascii="Arial" w:hAnsi="Arial" w:cs="Arial"/>
        </w:rPr>
        <w:t xml:space="preserve">close </w:t>
      </w:r>
      <w:r w:rsidR="00DF47F0">
        <w:rPr>
          <w:rFonts w:ascii="Arial" w:hAnsi="Arial" w:cs="Arial"/>
        </w:rPr>
        <w:t xml:space="preserve">all </w:t>
      </w:r>
      <w:r>
        <w:rPr>
          <w:rFonts w:ascii="Arial" w:hAnsi="Arial" w:cs="Arial"/>
        </w:rPr>
        <w:t xml:space="preserve">19 </w:t>
      </w:r>
      <w:r w:rsidR="00DF47F0">
        <w:rPr>
          <w:rFonts w:ascii="Arial" w:hAnsi="Arial" w:cs="Arial"/>
        </w:rPr>
        <w:t xml:space="preserve">of our </w:t>
      </w:r>
      <w:r>
        <w:rPr>
          <w:rFonts w:ascii="Arial" w:hAnsi="Arial" w:cs="Arial"/>
        </w:rPr>
        <w:t>Screwfix Germany outlets</w:t>
      </w:r>
      <w:r w:rsidR="00DF47F0">
        <w:rPr>
          <w:rFonts w:ascii="Arial" w:hAnsi="Arial" w:cs="Arial"/>
        </w:rPr>
        <w:t>, while</w:t>
      </w:r>
      <w:r>
        <w:rPr>
          <w:rFonts w:ascii="Arial" w:hAnsi="Arial" w:cs="Arial"/>
        </w:rPr>
        <w:t xml:space="preserve"> retain</w:t>
      </w:r>
      <w:r w:rsidR="00DF47F0">
        <w:rPr>
          <w:rFonts w:ascii="Arial" w:hAnsi="Arial" w:cs="Arial"/>
        </w:rPr>
        <w:t>ing</w:t>
      </w:r>
      <w:r>
        <w:rPr>
          <w:rFonts w:ascii="Arial" w:hAnsi="Arial" w:cs="Arial"/>
        </w:rPr>
        <w:t xml:space="preserve"> an online presence. </w:t>
      </w:r>
      <w:r w:rsidR="006147BA">
        <w:rPr>
          <w:rFonts w:ascii="Arial" w:hAnsi="Arial" w:cs="Arial"/>
        </w:rPr>
        <w:t>These outlets are expected to close in FY 19/20.</w:t>
      </w:r>
    </w:p>
    <w:p w14:paraId="4A26CC58" w14:textId="57179177" w:rsidR="008F3A34" w:rsidRDefault="008F3A34" w:rsidP="006D1DDF">
      <w:pPr>
        <w:pStyle w:val="ListParagraph"/>
        <w:ind w:left="360"/>
        <w:jc w:val="left"/>
        <w:rPr>
          <w:rFonts w:ascii="Arial" w:hAnsi="Arial" w:cs="Arial"/>
          <w:b/>
        </w:rPr>
      </w:pPr>
    </w:p>
    <w:p w14:paraId="1C055020" w14:textId="1DAE578A" w:rsidR="008460C4" w:rsidRPr="002F6C9F" w:rsidRDefault="00FB1E97" w:rsidP="00C2187E">
      <w:pPr>
        <w:pStyle w:val="ListParagraph"/>
        <w:numPr>
          <w:ilvl w:val="0"/>
          <w:numId w:val="80"/>
        </w:numPr>
        <w:jc w:val="left"/>
        <w:rPr>
          <w:rFonts w:ascii="Arial" w:hAnsi="Arial" w:cs="Arial"/>
          <w:b/>
          <w:bCs/>
        </w:rPr>
      </w:pPr>
      <w:r w:rsidRPr="00FB1E97">
        <w:rPr>
          <w:rFonts w:ascii="Arial" w:hAnsi="Arial" w:cs="Arial"/>
          <w:b/>
        </w:rPr>
        <w:t>Extend rollout of Screwfix outlets in the UK and enter new markets</w:t>
      </w:r>
    </w:p>
    <w:p w14:paraId="283957F9" w14:textId="77777777" w:rsidR="008460C4" w:rsidRDefault="008460C4" w:rsidP="001B1EFA">
      <w:pPr>
        <w:jc w:val="left"/>
        <w:rPr>
          <w:rFonts w:ascii="Arial" w:hAnsi="Arial" w:cs="Arial"/>
        </w:rPr>
      </w:pPr>
    </w:p>
    <w:p w14:paraId="32C564FB" w14:textId="2267559F" w:rsidR="00FB0137" w:rsidRDefault="00A87E4F" w:rsidP="001B1EFA">
      <w:pPr>
        <w:jc w:val="left"/>
        <w:rPr>
          <w:rFonts w:ascii="Arial" w:hAnsi="Arial" w:cs="Arial"/>
        </w:rPr>
      </w:pPr>
      <w:r w:rsidRPr="00AF307A">
        <w:rPr>
          <w:rFonts w:ascii="Arial" w:hAnsi="Arial" w:cs="Arial"/>
        </w:rPr>
        <w:t>Screwfix</w:t>
      </w:r>
      <w:r w:rsidR="002F7434" w:rsidRPr="00AF307A">
        <w:rPr>
          <w:rFonts w:ascii="Arial" w:hAnsi="Arial" w:cs="Arial"/>
        </w:rPr>
        <w:t xml:space="preserve"> </w:t>
      </w:r>
      <w:r w:rsidRPr="00AF307A">
        <w:rPr>
          <w:rFonts w:ascii="Arial" w:hAnsi="Arial" w:cs="Arial"/>
        </w:rPr>
        <w:t xml:space="preserve">has </w:t>
      </w:r>
      <w:r w:rsidR="00381936">
        <w:rPr>
          <w:rFonts w:ascii="Arial" w:hAnsi="Arial" w:cs="Arial"/>
        </w:rPr>
        <w:t>achieved very strong growth</w:t>
      </w:r>
      <w:r w:rsidR="002F7434" w:rsidRPr="00AF307A">
        <w:rPr>
          <w:rFonts w:ascii="Arial" w:hAnsi="Arial" w:cs="Arial"/>
        </w:rPr>
        <w:t xml:space="preserve"> </w:t>
      </w:r>
      <w:r w:rsidR="00381936">
        <w:rPr>
          <w:rFonts w:ascii="Arial" w:hAnsi="Arial" w:cs="Arial"/>
        </w:rPr>
        <w:t xml:space="preserve">over the </w:t>
      </w:r>
      <w:r w:rsidR="002F7434" w:rsidRPr="00AF307A">
        <w:rPr>
          <w:rFonts w:ascii="Arial" w:hAnsi="Arial" w:cs="Arial"/>
        </w:rPr>
        <w:t xml:space="preserve">last five years </w:t>
      </w:r>
      <w:r w:rsidR="00381936" w:rsidRPr="00004FF8">
        <w:rPr>
          <w:rFonts w:ascii="Arial" w:hAnsi="Arial" w:cs="Arial"/>
        </w:rPr>
        <w:t>with</w:t>
      </w:r>
      <w:r w:rsidR="002F7434" w:rsidRPr="00004FF8">
        <w:rPr>
          <w:rFonts w:ascii="Arial" w:hAnsi="Arial" w:cs="Arial"/>
        </w:rPr>
        <w:t xml:space="preserve"> </w:t>
      </w:r>
      <w:r w:rsidR="006F5BE9" w:rsidRPr="0035009E">
        <w:rPr>
          <w:rFonts w:ascii="Arial" w:hAnsi="Arial" w:cs="Arial"/>
        </w:rPr>
        <w:t>compound</w:t>
      </w:r>
      <w:r w:rsidR="006F5BE9" w:rsidRPr="00004FF8">
        <w:rPr>
          <w:rFonts w:ascii="Arial" w:hAnsi="Arial" w:cs="Arial"/>
        </w:rPr>
        <w:t xml:space="preserve"> </w:t>
      </w:r>
      <w:r w:rsidR="0080588A" w:rsidRPr="00004FF8">
        <w:rPr>
          <w:rFonts w:ascii="Arial" w:hAnsi="Arial" w:cs="Arial"/>
        </w:rPr>
        <w:t xml:space="preserve">annual </w:t>
      </w:r>
      <w:r w:rsidR="002F7434" w:rsidRPr="00CC64E8">
        <w:rPr>
          <w:rFonts w:ascii="Arial" w:hAnsi="Arial" w:cs="Arial"/>
        </w:rPr>
        <w:t xml:space="preserve">sales growth </w:t>
      </w:r>
      <w:r w:rsidR="002F7434" w:rsidRPr="00F355F4">
        <w:rPr>
          <w:rFonts w:ascii="Arial" w:hAnsi="Arial" w:cs="Arial"/>
        </w:rPr>
        <w:t xml:space="preserve">of </w:t>
      </w:r>
      <w:r w:rsidR="00916C9B" w:rsidRPr="00D72F65">
        <w:rPr>
          <w:rFonts w:ascii="Arial" w:hAnsi="Arial" w:cs="Arial"/>
        </w:rPr>
        <w:t>20</w:t>
      </w:r>
      <w:r w:rsidR="002F7434" w:rsidRPr="00D72F65">
        <w:rPr>
          <w:rFonts w:ascii="Arial" w:hAnsi="Arial" w:cs="Arial"/>
        </w:rPr>
        <w:t>%</w:t>
      </w:r>
      <w:r w:rsidR="0080588A" w:rsidRPr="00F355F4">
        <w:rPr>
          <w:rFonts w:ascii="Arial" w:hAnsi="Arial" w:cs="Arial"/>
        </w:rPr>
        <w:t>.</w:t>
      </w:r>
      <w:r w:rsidR="008460C4" w:rsidRPr="00F355F4">
        <w:rPr>
          <w:rFonts w:ascii="Arial" w:hAnsi="Arial" w:cs="Arial"/>
        </w:rPr>
        <w:t xml:space="preserve"> </w:t>
      </w:r>
      <w:r w:rsidR="002F7434" w:rsidRPr="00F355F4">
        <w:rPr>
          <w:rFonts w:ascii="Arial" w:hAnsi="Arial" w:cs="Arial"/>
        </w:rPr>
        <w:t>Its</w:t>
      </w:r>
      <w:r w:rsidR="002F7434" w:rsidRPr="00AF307A">
        <w:rPr>
          <w:rFonts w:ascii="Arial" w:hAnsi="Arial" w:cs="Arial"/>
        </w:rPr>
        <w:t xml:space="preserve"> success is rooted in its </w:t>
      </w:r>
      <w:r w:rsidR="0080588A" w:rsidRPr="008460C4">
        <w:rPr>
          <w:rFonts w:ascii="Arial" w:hAnsi="Arial" w:cs="Arial"/>
        </w:rPr>
        <w:t xml:space="preserve">customer focus, digital capability and </w:t>
      </w:r>
      <w:r w:rsidR="0080588A" w:rsidRPr="00AF307A">
        <w:rPr>
          <w:rFonts w:ascii="Arial" w:hAnsi="Arial" w:cs="Arial"/>
        </w:rPr>
        <w:t xml:space="preserve">convenience </w:t>
      </w:r>
      <w:r w:rsidR="0080588A" w:rsidRPr="008460C4">
        <w:rPr>
          <w:rFonts w:ascii="Arial" w:hAnsi="Arial" w:cs="Arial"/>
        </w:rPr>
        <w:t xml:space="preserve">proposition. </w:t>
      </w:r>
      <w:r w:rsidR="0080588A" w:rsidRPr="00AF307A">
        <w:rPr>
          <w:rFonts w:ascii="Arial" w:hAnsi="Arial" w:cs="Arial"/>
        </w:rPr>
        <w:t>At the end of FY</w:t>
      </w:r>
      <w:r w:rsidR="00DF47F0">
        <w:rPr>
          <w:rFonts w:ascii="Arial" w:hAnsi="Arial" w:cs="Arial"/>
        </w:rPr>
        <w:t xml:space="preserve"> </w:t>
      </w:r>
      <w:r w:rsidR="0080588A" w:rsidRPr="00AF307A">
        <w:rPr>
          <w:rFonts w:ascii="Arial" w:hAnsi="Arial" w:cs="Arial"/>
        </w:rPr>
        <w:t>18/19 Screwfix UK ha</w:t>
      </w:r>
      <w:r w:rsidR="008460C4" w:rsidRPr="00AF307A">
        <w:rPr>
          <w:rFonts w:ascii="Arial" w:hAnsi="Arial" w:cs="Arial"/>
        </w:rPr>
        <w:t>d</w:t>
      </w:r>
      <w:r w:rsidR="0080588A" w:rsidRPr="00AF307A">
        <w:rPr>
          <w:rFonts w:ascii="Arial" w:hAnsi="Arial" w:cs="Arial"/>
        </w:rPr>
        <w:t xml:space="preserve"> 627</w:t>
      </w:r>
      <w:r w:rsidR="008460C4" w:rsidRPr="00AF307A">
        <w:rPr>
          <w:rFonts w:ascii="Arial" w:hAnsi="Arial" w:cs="Arial"/>
        </w:rPr>
        <w:t xml:space="preserve"> outlets (nearly double the number five years ago). </w:t>
      </w:r>
    </w:p>
    <w:p w14:paraId="2C022C31" w14:textId="77777777" w:rsidR="00FB0137" w:rsidRPr="001B1EFA" w:rsidRDefault="00FB0137" w:rsidP="001B1EFA">
      <w:pPr>
        <w:jc w:val="left"/>
        <w:rPr>
          <w:rFonts w:ascii="Arial" w:hAnsi="Arial"/>
        </w:rPr>
      </w:pPr>
    </w:p>
    <w:p w14:paraId="06821C7A" w14:textId="54BD98C8" w:rsidR="008460C4" w:rsidRPr="00AF307A" w:rsidRDefault="00FB0137" w:rsidP="00EE4E92">
      <w:pPr>
        <w:jc w:val="left"/>
        <w:rPr>
          <w:rFonts w:ascii="Arial" w:hAnsi="Arial" w:cs="Arial"/>
          <w:bCs/>
        </w:rPr>
      </w:pPr>
      <w:r>
        <w:rPr>
          <w:rFonts w:ascii="Arial" w:hAnsi="Arial" w:cs="Arial"/>
        </w:rPr>
        <w:t xml:space="preserve">In FY 19/20, </w:t>
      </w:r>
      <w:r w:rsidR="00425A31">
        <w:rPr>
          <w:rFonts w:ascii="Arial" w:hAnsi="Arial" w:cs="Arial"/>
        </w:rPr>
        <w:t xml:space="preserve">Screwfix will </w:t>
      </w:r>
      <w:r w:rsidR="0080588A" w:rsidRPr="00AF307A">
        <w:rPr>
          <w:rFonts w:ascii="Arial" w:hAnsi="Arial" w:cs="Arial"/>
        </w:rPr>
        <w:t xml:space="preserve">strengthen </w:t>
      </w:r>
      <w:r w:rsidR="00425A31">
        <w:rPr>
          <w:rFonts w:ascii="Arial" w:hAnsi="Arial" w:cs="Arial"/>
        </w:rPr>
        <w:t xml:space="preserve">its overall customer </w:t>
      </w:r>
      <w:r w:rsidR="00A87E4F" w:rsidRPr="00AF307A">
        <w:rPr>
          <w:rFonts w:ascii="Arial" w:hAnsi="Arial" w:cs="Arial"/>
          <w:bCs/>
          <w:lang w:val="en-US"/>
        </w:rPr>
        <w:t xml:space="preserve">proposition </w:t>
      </w:r>
      <w:r w:rsidR="00425A31">
        <w:rPr>
          <w:rFonts w:ascii="Arial" w:hAnsi="Arial" w:cs="Arial"/>
          <w:bCs/>
          <w:lang w:val="en-US"/>
        </w:rPr>
        <w:t xml:space="preserve">and </w:t>
      </w:r>
      <w:r w:rsidR="00CC12F9">
        <w:rPr>
          <w:rFonts w:ascii="Arial" w:hAnsi="Arial" w:cs="Arial"/>
          <w:bCs/>
          <w:lang w:val="en-US"/>
        </w:rPr>
        <w:t xml:space="preserve">extend </w:t>
      </w:r>
      <w:r w:rsidR="00425A31">
        <w:rPr>
          <w:rFonts w:ascii="Arial" w:hAnsi="Arial" w:cs="Arial"/>
          <w:bCs/>
          <w:lang w:val="en-US"/>
        </w:rPr>
        <w:t xml:space="preserve">its store plan in the UK. We </w:t>
      </w:r>
      <w:r w:rsidR="00097502">
        <w:rPr>
          <w:rFonts w:ascii="Arial" w:hAnsi="Arial" w:cs="Arial"/>
          <w:bCs/>
          <w:lang w:val="en-US"/>
        </w:rPr>
        <w:t>are now targeting</w:t>
      </w:r>
      <w:r w:rsidR="0080588A" w:rsidRPr="00AF307A">
        <w:rPr>
          <w:rFonts w:ascii="Arial" w:hAnsi="Arial" w:cs="Arial"/>
          <w:bCs/>
          <w:lang w:val="en-US"/>
        </w:rPr>
        <w:t xml:space="preserve"> </w:t>
      </w:r>
      <w:r>
        <w:rPr>
          <w:rFonts w:ascii="Arial" w:hAnsi="Arial" w:cs="Arial"/>
          <w:bCs/>
          <w:lang w:val="en-US"/>
        </w:rPr>
        <w:t xml:space="preserve">approximately </w:t>
      </w:r>
      <w:r w:rsidR="00A87E4F" w:rsidRPr="00AF307A">
        <w:rPr>
          <w:rFonts w:ascii="Arial" w:hAnsi="Arial" w:cs="Arial"/>
          <w:bCs/>
          <w:lang w:val="en-US"/>
        </w:rPr>
        <w:t xml:space="preserve">800 outlets </w:t>
      </w:r>
      <w:r w:rsidR="008460C4" w:rsidRPr="00AF307A">
        <w:rPr>
          <w:rFonts w:ascii="Arial" w:hAnsi="Arial" w:cs="Arial"/>
          <w:bCs/>
          <w:lang w:val="en-US"/>
        </w:rPr>
        <w:t>in the UK</w:t>
      </w:r>
      <w:r w:rsidR="00425A31">
        <w:rPr>
          <w:rFonts w:ascii="Arial" w:hAnsi="Arial" w:cs="Arial"/>
          <w:bCs/>
          <w:lang w:val="en-US"/>
        </w:rPr>
        <w:t xml:space="preserve">, having </w:t>
      </w:r>
      <w:r w:rsidR="00A87E4F" w:rsidRPr="00AF307A">
        <w:rPr>
          <w:rFonts w:ascii="Arial" w:hAnsi="Arial" w:cs="Arial"/>
          <w:bCs/>
          <w:lang w:val="en-US"/>
        </w:rPr>
        <w:t>previous</w:t>
      </w:r>
      <w:r w:rsidR="00425A31">
        <w:rPr>
          <w:rFonts w:ascii="Arial" w:hAnsi="Arial" w:cs="Arial"/>
          <w:bCs/>
          <w:lang w:val="en-US"/>
        </w:rPr>
        <w:t>ly</w:t>
      </w:r>
      <w:r>
        <w:rPr>
          <w:rFonts w:ascii="Arial" w:hAnsi="Arial" w:cs="Arial"/>
          <w:bCs/>
          <w:lang w:val="en-US"/>
        </w:rPr>
        <w:t xml:space="preserve"> </w:t>
      </w:r>
      <w:r w:rsidR="00425A31">
        <w:rPr>
          <w:rFonts w:ascii="Arial" w:hAnsi="Arial" w:cs="Arial"/>
          <w:bCs/>
          <w:lang w:val="en-US"/>
        </w:rPr>
        <w:t xml:space="preserve">targeted </w:t>
      </w:r>
      <w:r w:rsidR="00A87E4F" w:rsidRPr="00AF307A">
        <w:rPr>
          <w:rFonts w:ascii="Arial" w:hAnsi="Arial" w:cs="Arial"/>
          <w:bCs/>
          <w:lang w:val="en-US"/>
        </w:rPr>
        <w:t>700</w:t>
      </w:r>
      <w:r w:rsidR="008460C4" w:rsidRPr="00AF307A">
        <w:rPr>
          <w:rFonts w:ascii="Arial" w:hAnsi="Arial" w:cs="Arial"/>
          <w:bCs/>
          <w:lang w:val="en-US"/>
        </w:rPr>
        <w:t>.</w:t>
      </w:r>
      <w:r w:rsidR="0080588A" w:rsidRPr="008460C4">
        <w:rPr>
          <w:rFonts w:ascii="Arial" w:hAnsi="Arial" w:cs="Arial"/>
          <w:bCs/>
          <w:lang w:val="en-US"/>
        </w:rPr>
        <w:t xml:space="preserve"> </w:t>
      </w:r>
    </w:p>
    <w:p w14:paraId="205F8DCE" w14:textId="77777777" w:rsidR="008460C4" w:rsidRPr="00AF307A" w:rsidRDefault="008460C4" w:rsidP="00EE4E92">
      <w:pPr>
        <w:jc w:val="left"/>
        <w:rPr>
          <w:rFonts w:ascii="Arial" w:hAnsi="Arial" w:cs="Arial"/>
          <w:b/>
        </w:rPr>
      </w:pPr>
    </w:p>
    <w:p w14:paraId="54E7177C" w14:textId="35E4D7CF" w:rsidR="00425A31" w:rsidRDefault="008460C4" w:rsidP="00EE4E92">
      <w:pPr>
        <w:jc w:val="left"/>
        <w:rPr>
          <w:rFonts w:ascii="Arial" w:hAnsi="Arial" w:cs="Arial"/>
          <w:bCs/>
        </w:rPr>
      </w:pPr>
      <w:r w:rsidRPr="00470F54">
        <w:rPr>
          <w:rFonts w:ascii="Arial" w:hAnsi="Arial" w:cs="Arial"/>
          <w:bCs/>
          <w:lang w:val="en-US"/>
        </w:rPr>
        <w:t xml:space="preserve">We </w:t>
      </w:r>
      <w:r w:rsidR="00CC12F9">
        <w:rPr>
          <w:rFonts w:ascii="Arial" w:hAnsi="Arial" w:cs="Arial"/>
          <w:bCs/>
          <w:lang w:val="en-US"/>
        </w:rPr>
        <w:t xml:space="preserve">also </w:t>
      </w:r>
      <w:r w:rsidRPr="00470F54">
        <w:rPr>
          <w:rFonts w:ascii="Arial" w:hAnsi="Arial" w:cs="Arial"/>
          <w:bCs/>
          <w:lang w:val="en-US"/>
        </w:rPr>
        <w:t xml:space="preserve">remain confident that the Screwfix model </w:t>
      </w:r>
      <w:r w:rsidR="00470F54" w:rsidRPr="00AF307A">
        <w:rPr>
          <w:rFonts w:ascii="Arial" w:hAnsi="Arial" w:cs="Arial"/>
          <w:bCs/>
          <w:lang w:val="en-US"/>
        </w:rPr>
        <w:t>will work</w:t>
      </w:r>
      <w:r w:rsidRPr="00470F54">
        <w:rPr>
          <w:rFonts w:ascii="Arial" w:hAnsi="Arial" w:cs="Arial"/>
          <w:bCs/>
          <w:lang w:val="en-US"/>
        </w:rPr>
        <w:t xml:space="preserve"> in markets outside of the UK</w:t>
      </w:r>
      <w:r w:rsidRPr="00425A31">
        <w:rPr>
          <w:rFonts w:ascii="Arial" w:hAnsi="Arial" w:cs="Arial"/>
          <w:bCs/>
          <w:lang w:val="en-US"/>
        </w:rPr>
        <w:t xml:space="preserve">. </w:t>
      </w:r>
      <w:r w:rsidR="00470F54" w:rsidRPr="00425A31">
        <w:rPr>
          <w:rFonts w:ascii="Arial" w:hAnsi="Arial" w:cs="Arial"/>
          <w:bCs/>
          <w:lang w:val="en-US"/>
        </w:rPr>
        <w:t xml:space="preserve">In </w:t>
      </w:r>
      <w:r w:rsidR="00470F54" w:rsidRPr="001B1EFA">
        <w:rPr>
          <w:rFonts w:ascii="Arial" w:hAnsi="Arial"/>
          <w:lang w:val="en-US"/>
        </w:rPr>
        <w:t>2019</w:t>
      </w:r>
      <w:r w:rsidR="00470F54" w:rsidRPr="00425A31">
        <w:rPr>
          <w:rFonts w:ascii="Arial" w:hAnsi="Arial" w:cs="Arial"/>
          <w:bCs/>
          <w:lang w:val="en-US"/>
        </w:rPr>
        <w:t xml:space="preserve"> </w:t>
      </w:r>
      <w:r w:rsidR="00425A31">
        <w:rPr>
          <w:rFonts w:ascii="Arial" w:hAnsi="Arial" w:cs="Arial"/>
          <w:bCs/>
          <w:lang w:val="en-US"/>
        </w:rPr>
        <w:t xml:space="preserve">Screwfix </w:t>
      </w:r>
      <w:r w:rsidRPr="00425A31">
        <w:rPr>
          <w:rFonts w:ascii="Arial" w:hAnsi="Arial" w:cs="Arial"/>
          <w:bCs/>
          <w:lang w:val="en-US"/>
        </w:rPr>
        <w:t>plan</w:t>
      </w:r>
      <w:r w:rsidR="00425A31">
        <w:rPr>
          <w:rFonts w:ascii="Arial" w:hAnsi="Arial" w:cs="Arial"/>
          <w:bCs/>
          <w:lang w:val="en-US"/>
        </w:rPr>
        <w:t>s</w:t>
      </w:r>
      <w:r w:rsidRPr="00425A31">
        <w:rPr>
          <w:rFonts w:ascii="Arial" w:hAnsi="Arial" w:cs="Arial"/>
          <w:bCs/>
          <w:lang w:val="en-US"/>
        </w:rPr>
        <w:t xml:space="preserve"> to open </w:t>
      </w:r>
      <w:r w:rsidR="003141F3">
        <w:rPr>
          <w:rFonts w:ascii="Arial" w:hAnsi="Arial" w:cs="Arial"/>
          <w:bCs/>
          <w:lang w:val="en-US"/>
        </w:rPr>
        <w:t>outlets</w:t>
      </w:r>
      <w:r w:rsidRPr="00425A31">
        <w:rPr>
          <w:rFonts w:ascii="Arial" w:hAnsi="Arial" w:cs="Arial"/>
          <w:bCs/>
          <w:lang w:val="en-US"/>
        </w:rPr>
        <w:t xml:space="preserve"> in </w:t>
      </w:r>
      <w:r w:rsidR="00097502">
        <w:rPr>
          <w:rFonts w:ascii="Arial" w:hAnsi="Arial" w:cs="Arial"/>
          <w:bCs/>
          <w:lang w:val="en-US"/>
        </w:rPr>
        <w:t xml:space="preserve">the Republic of </w:t>
      </w:r>
      <w:r w:rsidRPr="00425A31">
        <w:rPr>
          <w:rFonts w:ascii="Arial" w:hAnsi="Arial" w:cs="Arial"/>
          <w:bCs/>
          <w:lang w:val="en-US"/>
        </w:rPr>
        <w:t>Ireland</w:t>
      </w:r>
      <w:r w:rsidR="003141F3">
        <w:rPr>
          <w:rFonts w:ascii="Arial" w:hAnsi="Arial" w:cs="Arial"/>
          <w:bCs/>
          <w:lang w:val="en-US"/>
        </w:rPr>
        <w:t>.</w:t>
      </w:r>
      <w:r w:rsidR="00425A31">
        <w:rPr>
          <w:rFonts w:ascii="Arial" w:hAnsi="Arial" w:cs="Arial"/>
          <w:bCs/>
          <w:lang w:val="en-US"/>
        </w:rPr>
        <w:t xml:space="preserve"> </w:t>
      </w:r>
      <w:r w:rsidR="00425A31" w:rsidRPr="00425A31">
        <w:rPr>
          <w:rFonts w:ascii="Arial" w:hAnsi="Arial" w:cs="Arial"/>
          <w:bCs/>
        </w:rPr>
        <w:t xml:space="preserve">The choice of entering this market is a result of </w:t>
      </w:r>
      <w:r w:rsidR="00425A31">
        <w:rPr>
          <w:rFonts w:ascii="Arial" w:hAnsi="Arial" w:cs="Arial"/>
          <w:bCs/>
        </w:rPr>
        <w:t xml:space="preserve">Screwfix’s </w:t>
      </w:r>
      <w:r w:rsidR="00425A31" w:rsidRPr="001B1EFA">
        <w:rPr>
          <w:rFonts w:ascii="Arial" w:hAnsi="Arial"/>
        </w:rPr>
        <w:t xml:space="preserve">strong </w:t>
      </w:r>
      <w:r w:rsidR="00CC12F9" w:rsidRPr="001B1EFA">
        <w:rPr>
          <w:rFonts w:ascii="Arial" w:hAnsi="Arial"/>
        </w:rPr>
        <w:t xml:space="preserve">existing </w:t>
      </w:r>
      <w:r w:rsidR="00425A31">
        <w:rPr>
          <w:rFonts w:ascii="Arial" w:hAnsi="Arial" w:cs="Arial"/>
          <w:bCs/>
        </w:rPr>
        <w:t xml:space="preserve">online </w:t>
      </w:r>
      <w:r w:rsidR="00425A31" w:rsidRPr="00425A31">
        <w:rPr>
          <w:rFonts w:ascii="Arial" w:hAnsi="Arial" w:cs="Arial"/>
          <w:bCs/>
        </w:rPr>
        <w:t>presence</w:t>
      </w:r>
      <w:r w:rsidR="003141F3" w:rsidRPr="001B1EFA">
        <w:rPr>
          <w:rFonts w:ascii="Arial" w:hAnsi="Arial"/>
        </w:rPr>
        <w:t xml:space="preserve"> and</w:t>
      </w:r>
      <w:r w:rsidR="00425A31" w:rsidRPr="001B1EFA">
        <w:rPr>
          <w:rFonts w:ascii="Arial" w:hAnsi="Arial"/>
        </w:rPr>
        <w:t xml:space="preserve"> </w:t>
      </w:r>
      <w:r w:rsidR="00425A31" w:rsidRPr="00425A31">
        <w:rPr>
          <w:rFonts w:ascii="Arial" w:hAnsi="Arial" w:cs="Arial"/>
          <w:bCs/>
        </w:rPr>
        <w:t>similarities in customer behaviour with the UK.</w:t>
      </w:r>
    </w:p>
    <w:p w14:paraId="11C0D3F4" w14:textId="77777777" w:rsidR="00425A31" w:rsidRDefault="00425A31" w:rsidP="00EE4E92">
      <w:pPr>
        <w:jc w:val="left"/>
        <w:rPr>
          <w:rFonts w:ascii="Arial" w:hAnsi="Arial" w:cs="Arial"/>
          <w:bCs/>
        </w:rPr>
      </w:pPr>
    </w:p>
    <w:p w14:paraId="73D6D3DE" w14:textId="37B89337" w:rsidR="00381936" w:rsidRPr="00AF307A" w:rsidRDefault="00425A31" w:rsidP="001B1EFA">
      <w:pPr>
        <w:jc w:val="left"/>
        <w:rPr>
          <w:rFonts w:ascii="Arial" w:hAnsi="Arial" w:cs="Arial"/>
          <w:bCs/>
          <w:lang w:val="en-US"/>
        </w:rPr>
      </w:pPr>
      <w:r w:rsidRPr="00427FFD">
        <w:rPr>
          <w:rFonts w:ascii="Arial" w:hAnsi="Arial" w:cs="Arial"/>
          <w:bCs/>
        </w:rPr>
        <w:t xml:space="preserve">Screwfix’s experience in Germany highlighted the importance of staying true to </w:t>
      </w:r>
      <w:r w:rsidR="00412C88" w:rsidRPr="00427FFD">
        <w:rPr>
          <w:rFonts w:ascii="Arial" w:hAnsi="Arial" w:cs="Arial"/>
          <w:bCs/>
        </w:rPr>
        <w:t xml:space="preserve">its </w:t>
      </w:r>
      <w:r w:rsidRPr="00427FFD">
        <w:rPr>
          <w:rFonts w:ascii="Arial" w:hAnsi="Arial" w:cs="Arial"/>
          <w:bCs/>
        </w:rPr>
        <w:t xml:space="preserve">core model and of </w:t>
      </w:r>
      <w:r w:rsidR="00FB1E97" w:rsidRPr="00427FFD">
        <w:rPr>
          <w:rFonts w:ascii="Arial" w:hAnsi="Arial" w:cs="Arial"/>
          <w:bCs/>
        </w:rPr>
        <w:t xml:space="preserve">extensive </w:t>
      </w:r>
      <w:r w:rsidRPr="00427FFD">
        <w:rPr>
          <w:rFonts w:ascii="Arial" w:hAnsi="Arial" w:cs="Arial"/>
          <w:bCs/>
        </w:rPr>
        <w:t>testing</w:t>
      </w:r>
      <w:r w:rsidR="00FB1E97" w:rsidRPr="00427FFD">
        <w:rPr>
          <w:rFonts w:ascii="Arial" w:hAnsi="Arial" w:cs="Arial"/>
          <w:bCs/>
        </w:rPr>
        <w:t xml:space="preserve">. </w:t>
      </w:r>
      <w:r w:rsidR="00FB1E97" w:rsidRPr="00B60D42">
        <w:rPr>
          <w:rFonts w:ascii="Arial" w:hAnsi="Arial" w:cs="Arial"/>
          <w:bCs/>
        </w:rPr>
        <w:t>We</w:t>
      </w:r>
      <w:r w:rsidR="00FB1E97" w:rsidRPr="00B60D42">
        <w:rPr>
          <w:rFonts w:ascii="Arial" w:hAnsi="Arial"/>
        </w:rPr>
        <w:t xml:space="preserve"> are </w:t>
      </w:r>
      <w:r w:rsidR="00FB1E97" w:rsidRPr="00B60D42">
        <w:rPr>
          <w:rFonts w:ascii="Arial" w:hAnsi="Arial" w:cs="Arial"/>
          <w:bCs/>
        </w:rPr>
        <w:t>embedding th</w:t>
      </w:r>
      <w:r w:rsidR="003141F3" w:rsidRPr="00B60D42">
        <w:rPr>
          <w:rFonts w:ascii="Arial" w:hAnsi="Arial" w:cs="Arial"/>
          <w:bCs/>
        </w:rPr>
        <w:t>is experience</w:t>
      </w:r>
      <w:r w:rsidR="00FB1E97" w:rsidRPr="00B60D42">
        <w:rPr>
          <w:rFonts w:ascii="Arial" w:hAnsi="Arial" w:cs="Arial"/>
          <w:bCs/>
        </w:rPr>
        <w:t xml:space="preserve"> into our plans and conducting extensive validation for </w:t>
      </w:r>
      <w:r w:rsidR="00FB1E97" w:rsidRPr="00B60D42">
        <w:rPr>
          <w:rFonts w:ascii="Arial" w:hAnsi="Arial" w:cs="Arial"/>
          <w:bCs/>
          <w:lang w:val="en-US"/>
        </w:rPr>
        <w:t xml:space="preserve">market </w:t>
      </w:r>
      <w:r w:rsidR="00381936" w:rsidRPr="00B60D42">
        <w:rPr>
          <w:rFonts w:ascii="Arial" w:hAnsi="Arial" w:cs="Arial"/>
          <w:bCs/>
          <w:lang w:val="en-US"/>
        </w:rPr>
        <w:t>entry opportunities in France and Poland</w:t>
      </w:r>
      <w:r w:rsidR="008C165E">
        <w:rPr>
          <w:rFonts w:ascii="Arial" w:hAnsi="Arial" w:cs="Arial"/>
          <w:bCs/>
          <w:lang w:val="en-US"/>
        </w:rPr>
        <w:t>, initially via an online presence</w:t>
      </w:r>
      <w:r w:rsidR="00381936" w:rsidRPr="00B60D42">
        <w:rPr>
          <w:rFonts w:ascii="Arial" w:hAnsi="Arial" w:cs="Arial"/>
          <w:bCs/>
          <w:lang w:val="en-US"/>
        </w:rPr>
        <w:t>.</w:t>
      </w:r>
      <w:r w:rsidR="00381936" w:rsidRPr="00427FFD">
        <w:rPr>
          <w:rFonts w:ascii="Arial" w:hAnsi="Arial" w:cs="Arial"/>
          <w:bCs/>
          <w:lang w:val="en-US"/>
        </w:rPr>
        <w:t xml:space="preserve"> </w:t>
      </w:r>
      <w:r w:rsidR="00470F54" w:rsidRPr="00427FFD">
        <w:rPr>
          <w:rFonts w:ascii="Arial" w:hAnsi="Arial" w:cs="Arial"/>
          <w:bCs/>
          <w:lang w:val="en-US"/>
        </w:rPr>
        <w:t xml:space="preserve">These are both markets where </w:t>
      </w:r>
      <w:r w:rsidR="00FB1E97" w:rsidRPr="00427FFD">
        <w:rPr>
          <w:rFonts w:ascii="Arial" w:hAnsi="Arial" w:cs="Arial"/>
          <w:bCs/>
          <w:lang w:val="en-US"/>
        </w:rPr>
        <w:t xml:space="preserve">the Group has existing </w:t>
      </w:r>
      <w:r w:rsidR="004D7E9E" w:rsidRPr="00427FFD">
        <w:rPr>
          <w:rFonts w:ascii="Arial" w:hAnsi="Arial" w:cs="Arial"/>
          <w:bCs/>
          <w:lang w:val="en-US"/>
        </w:rPr>
        <w:t xml:space="preserve">scale, </w:t>
      </w:r>
      <w:r w:rsidR="00FB1E97" w:rsidRPr="00427FFD">
        <w:rPr>
          <w:rFonts w:ascii="Arial" w:hAnsi="Arial" w:cs="Arial"/>
          <w:bCs/>
          <w:lang w:val="en-US"/>
        </w:rPr>
        <w:t xml:space="preserve">infrastructure and </w:t>
      </w:r>
      <w:r w:rsidR="00470F54" w:rsidRPr="00427FFD">
        <w:rPr>
          <w:rFonts w:ascii="Arial" w:hAnsi="Arial" w:cs="Arial"/>
          <w:bCs/>
          <w:lang w:val="en-US"/>
        </w:rPr>
        <w:t>in</w:t>
      </w:r>
      <w:r w:rsidR="00412C88" w:rsidRPr="00427FFD">
        <w:rPr>
          <w:rFonts w:ascii="Arial" w:hAnsi="Arial" w:cs="Arial"/>
          <w:bCs/>
          <w:lang w:val="en-US"/>
        </w:rPr>
        <w:t>-</w:t>
      </w:r>
      <w:r w:rsidR="00470F54" w:rsidRPr="00427FFD">
        <w:rPr>
          <w:rFonts w:ascii="Arial" w:hAnsi="Arial" w:cs="Arial"/>
          <w:bCs/>
          <w:lang w:val="en-US"/>
        </w:rPr>
        <w:t>depth market knowledge.</w:t>
      </w:r>
      <w:r w:rsidR="00470F54" w:rsidRPr="00AF307A">
        <w:rPr>
          <w:rFonts w:ascii="Arial" w:hAnsi="Arial" w:cs="Arial"/>
          <w:bCs/>
          <w:lang w:val="en-US"/>
        </w:rPr>
        <w:t xml:space="preserve"> </w:t>
      </w:r>
    </w:p>
    <w:p w14:paraId="737F5EC2" w14:textId="7D4A5050" w:rsidR="00F538B1" w:rsidRDefault="00F538B1" w:rsidP="006D1DDF">
      <w:pPr>
        <w:jc w:val="left"/>
        <w:rPr>
          <w:rFonts w:ascii="Arial" w:hAnsi="Arial" w:cs="Arial"/>
          <w:b/>
          <w:highlight w:val="yellow"/>
          <w:lang w:val="en-US"/>
        </w:rPr>
      </w:pPr>
    </w:p>
    <w:p w14:paraId="26F7FB0F" w14:textId="2737E9EE" w:rsidR="00165B5E" w:rsidRDefault="00165B5E" w:rsidP="006D1DDF">
      <w:pPr>
        <w:jc w:val="left"/>
        <w:rPr>
          <w:rFonts w:ascii="Arial" w:hAnsi="Arial" w:cs="Arial"/>
          <w:b/>
          <w:highlight w:val="yellow"/>
          <w:lang w:val="en-US"/>
        </w:rPr>
      </w:pPr>
    </w:p>
    <w:p w14:paraId="27161F1D" w14:textId="77777777" w:rsidR="00097502" w:rsidRDefault="00097502" w:rsidP="006D1DDF">
      <w:pPr>
        <w:jc w:val="left"/>
        <w:rPr>
          <w:rFonts w:ascii="Arial" w:hAnsi="Arial" w:cs="Arial"/>
          <w:b/>
          <w:highlight w:val="yellow"/>
          <w:lang w:val="en-US"/>
        </w:rPr>
      </w:pPr>
    </w:p>
    <w:p w14:paraId="69040E48" w14:textId="46331FD7" w:rsidR="00960D2F" w:rsidRDefault="00FB1E97" w:rsidP="00C2187E">
      <w:pPr>
        <w:pStyle w:val="ListParagraph"/>
        <w:numPr>
          <w:ilvl w:val="0"/>
          <w:numId w:val="80"/>
        </w:numPr>
        <w:jc w:val="left"/>
        <w:rPr>
          <w:rFonts w:ascii="Arial" w:hAnsi="Arial" w:cs="Arial"/>
          <w:b/>
        </w:rPr>
      </w:pPr>
      <w:r>
        <w:rPr>
          <w:rFonts w:ascii="Arial" w:hAnsi="Arial" w:cs="Arial"/>
          <w:b/>
        </w:rPr>
        <w:lastRenderedPageBreak/>
        <w:t>Complete the building of the ‘engine’</w:t>
      </w:r>
    </w:p>
    <w:p w14:paraId="5BA4CD53" w14:textId="77777777" w:rsidR="00960D2F" w:rsidRPr="00AF307A" w:rsidRDefault="00960D2F" w:rsidP="00960D2F">
      <w:pPr>
        <w:jc w:val="left"/>
        <w:rPr>
          <w:rFonts w:ascii="Arial" w:hAnsi="Arial" w:cs="Arial"/>
        </w:rPr>
      </w:pPr>
    </w:p>
    <w:p w14:paraId="78A935CD" w14:textId="41753EB6" w:rsidR="00242BD3" w:rsidRDefault="00960D2F" w:rsidP="00960D2F">
      <w:pPr>
        <w:jc w:val="left"/>
        <w:rPr>
          <w:rFonts w:ascii="Arial" w:hAnsi="Arial" w:cs="Arial"/>
        </w:rPr>
      </w:pPr>
      <w:r>
        <w:rPr>
          <w:rFonts w:ascii="Arial" w:hAnsi="Arial" w:cs="Arial"/>
        </w:rPr>
        <w:t xml:space="preserve">We will </w:t>
      </w:r>
      <w:r w:rsidR="006F5BE9">
        <w:rPr>
          <w:rFonts w:ascii="Arial" w:hAnsi="Arial" w:cs="Arial"/>
        </w:rPr>
        <w:t>continue to implement</w:t>
      </w:r>
      <w:r>
        <w:rPr>
          <w:rFonts w:ascii="Arial" w:hAnsi="Arial" w:cs="Arial"/>
        </w:rPr>
        <w:t xml:space="preserve"> our </w:t>
      </w:r>
      <w:r w:rsidR="00C76A5C">
        <w:rPr>
          <w:rFonts w:ascii="Arial" w:hAnsi="Arial" w:cs="Arial"/>
        </w:rPr>
        <w:t>transformation plan in FY 19/20</w:t>
      </w:r>
      <w:r w:rsidR="00DC610E">
        <w:rPr>
          <w:rFonts w:ascii="Arial" w:hAnsi="Arial" w:cs="Arial"/>
        </w:rPr>
        <w:t xml:space="preserve"> to complete the building of our ‘engine’</w:t>
      </w:r>
      <w:r w:rsidR="00C76A5C">
        <w:rPr>
          <w:rFonts w:ascii="Arial" w:hAnsi="Arial" w:cs="Arial"/>
        </w:rPr>
        <w:t xml:space="preserve">. </w:t>
      </w:r>
    </w:p>
    <w:p w14:paraId="2896D327" w14:textId="77777777" w:rsidR="00242BD3" w:rsidRDefault="00242BD3" w:rsidP="00960D2F">
      <w:pPr>
        <w:jc w:val="left"/>
        <w:rPr>
          <w:rFonts w:ascii="Arial" w:hAnsi="Arial" w:cs="Arial"/>
        </w:rPr>
      </w:pPr>
    </w:p>
    <w:p w14:paraId="4393F632" w14:textId="2F4D5EC5" w:rsidR="00DC610E" w:rsidRDefault="00DC610E" w:rsidP="00960D2F">
      <w:pPr>
        <w:jc w:val="left"/>
        <w:rPr>
          <w:rFonts w:ascii="Arial" w:hAnsi="Arial" w:cs="Arial"/>
        </w:rPr>
      </w:pPr>
      <w:r w:rsidRPr="009755CA">
        <w:rPr>
          <w:rFonts w:ascii="Arial" w:hAnsi="Arial" w:cs="Arial"/>
          <w:color w:val="000000"/>
        </w:rPr>
        <w:t xml:space="preserve">Having achieved a critical mass of </w:t>
      </w:r>
      <w:r w:rsidR="008D754B" w:rsidRPr="009755CA">
        <w:rPr>
          <w:rFonts w:ascii="Arial" w:hAnsi="Arial" w:cs="Arial"/>
          <w:color w:val="000000"/>
        </w:rPr>
        <w:t>unified product</w:t>
      </w:r>
      <w:r w:rsidRPr="009755CA">
        <w:rPr>
          <w:rFonts w:ascii="Arial" w:hAnsi="Arial" w:cs="Arial"/>
          <w:color w:val="000000"/>
        </w:rPr>
        <w:t>, w</w:t>
      </w:r>
      <w:r w:rsidR="00F70C64" w:rsidRPr="009755CA">
        <w:rPr>
          <w:rFonts w:ascii="Arial" w:hAnsi="Arial" w:cs="Arial"/>
          <w:color w:val="000000"/>
        </w:rPr>
        <w:t xml:space="preserve">e are placing </w:t>
      </w:r>
      <w:r w:rsidR="005D244F" w:rsidRPr="009755CA">
        <w:rPr>
          <w:rFonts w:ascii="Arial" w:hAnsi="Arial" w:cs="Arial"/>
          <w:color w:val="000000"/>
        </w:rPr>
        <w:t>much greater</w:t>
      </w:r>
      <w:r w:rsidR="00F70C64" w:rsidRPr="009755CA">
        <w:rPr>
          <w:rFonts w:ascii="Arial" w:hAnsi="Arial" w:cs="Arial"/>
          <w:color w:val="000000"/>
        </w:rPr>
        <w:t xml:space="preserve"> e</w:t>
      </w:r>
      <w:r w:rsidR="00F70C64">
        <w:rPr>
          <w:rFonts w:ascii="Arial" w:hAnsi="Arial" w:cs="Arial"/>
          <w:color w:val="000000"/>
        </w:rPr>
        <w:t xml:space="preserve">mphasis on developing more unique product in order </w:t>
      </w:r>
      <w:r w:rsidR="00F70C64" w:rsidRPr="00F70C64">
        <w:rPr>
          <w:rFonts w:ascii="Arial" w:hAnsi="Arial" w:cs="Arial"/>
          <w:color w:val="000000"/>
        </w:rPr>
        <w:t>to drive sales growth</w:t>
      </w:r>
      <w:r w:rsidR="00F70C64">
        <w:rPr>
          <w:rFonts w:ascii="Arial" w:hAnsi="Arial" w:cs="Arial"/>
          <w:color w:val="000000"/>
        </w:rPr>
        <w:t xml:space="preserve"> which, in conjunction with the delivery of </w:t>
      </w:r>
      <w:r w:rsidR="005D244F">
        <w:rPr>
          <w:rFonts w:ascii="Arial" w:hAnsi="Arial" w:cs="Arial"/>
          <w:color w:val="000000"/>
        </w:rPr>
        <w:t>cost price reduction</w:t>
      </w:r>
      <w:r w:rsidR="00F70C64">
        <w:rPr>
          <w:rFonts w:ascii="Arial" w:hAnsi="Arial" w:cs="Arial"/>
          <w:color w:val="000000"/>
        </w:rPr>
        <w:t xml:space="preserve"> on unified COGS</w:t>
      </w:r>
      <w:r w:rsidR="00F70C64" w:rsidRPr="00F70C64">
        <w:rPr>
          <w:rFonts w:ascii="Arial" w:hAnsi="Arial" w:cs="Arial"/>
          <w:color w:val="000000"/>
        </w:rPr>
        <w:t xml:space="preserve">, </w:t>
      </w:r>
      <w:r w:rsidR="00F70C64">
        <w:rPr>
          <w:rFonts w:ascii="Arial" w:hAnsi="Arial" w:cs="Arial"/>
          <w:color w:val="000000"/>
        </w:rPr>
        <w:t xml:space="preserve">should drive </w:t>
      </w:r>
      <w:r w:rsidR="00F70C64" w:rsidRPr="00F70C64">
        <w:rPr>
          <w:rFonts w:ascii="Arial" w:hAnsi="Arial" w:cs="Arial"/>
          <w:color w:val="000000"/>
        </w:rPr>
        <w:t xml:space="preserve">gross margin </w:t>
      </w:r>
      <w:r w:rsidR="00F70C64">
        <w:rPr>
          <w:rFonts w:ascii="Arial" w:hAnsi="Arial" w:cs="Arial"/>
          <w:color w:val="000000"/>
        </w:rPr>
        <w:t>uplift</w:t>
      </w:r>
      <w:r w:rsidR="009755CA">
        <w:rPr>
          <w:rFonts w:ascii="Arial" w:hAnsi="Arial" w:cs="Arial"/>
          <w:color w:val="000000"/>
        </w:rPr>
        <w:t>.</w:t>
      </w:r>
    </w:p>
    <w:p w14:paraId="4E929BC8" w14:textId="77777777" w:rsidR="00DC610E" w:rsidRDefault="00DC610E" w:rsidP="00960D2F">
      <w:pPr>
        <w:jc w:val="left"/>
        <w:rPr>
          <w:rFonts w:ascii="Arial" w:hAnsi="Arial" w:cs="Arial"/>
        </w:rPr>
      </w:pPr>
    </w:p>
    <w:p w14:paraId="6478226C" w14:textId="297C1711" w:rsidR="00373988" w:rsidRPr="00B63292" w:rsidRDefault="00373988" w:rsidP="00960D2F">
      <w:pPr>
        <w:jc w:val="left"/>
        <w:rPr>
          <w:rFonts w:ascii="Arial" w:hAnsi="Arial" w:cs="Arial"/>
        </w:rPr>
      </w:pPr>
      <w:r>
        <w:rPr>
          <w:rFonts w:ascii="Arial" w:hAnsi="Arial" w:cs="Arial"/>
        </w:rPr>
        <w:t>In FY 19/20 w</w:t>
      </w:r>
      <w:r w:rsidR="00FA6F36" w:rsidRPr="009877EE">
        <w:rPr>
          <w:rFonts w:ascii="Arial" w:hAnsi="Arial" w:cs="Arial"/>
        </w:rPr>
        <w:t xml:space="preserve">e will </w:t>
      </w:r>
      <w:r>
        <w:rPr>
          <w:rFonts w:ascii="Arial" w:hAnsi="Arial" w:cs="Arial"/>
        </w:rPr>
        <w:t xml:space="preserve">complete </w:t>
      </w:r>
      <w:r w:rsidR="009755CA">
        <w:rPr>
          <w:rFonts w:ascii="Arial" w:hAnsi="Arial" w:cs="Arial"/>
        </w:rPr>
        <w:t xml:space="preserve">a further </w:t>
      </w:r>
      <w:r>
        <w:rPr>
          <w:rFonts w:ascii="Arial" w:hAnsi="Arial" w:cs="Arial"/>
        </w:rPr>
        <w:t xml:space="preserve">rollout of </w:t>
      </w:r>
      <w:r w:rsidR="00FA6F36" w:rsidRPr="009877EE">
        <w:rPr>
          <w:rFonts w:ascii="Arial" w:hAnsi="Arial" w:cs="Arial"/>
        </w:rPr>
        <w:t>our unified IT platform</w:t>
      </w:r>
      <w:r>
        <w:rPr>
          <w:rFonts w:ascii="Arial" w:hAnsi="Arial" w:cs="Arial"/>
        </w:rPr>
        <w:t xml:space="preserve">, which </w:t>
      </w:r>
      <w:r w:rsidR="009755CA">
        <w:rPr>
          <w:rFonts w:ascii="Arial" w:hAnsi="Arial" w:cs="Arial"/>
        </w:rPr>
        <w:t xml:space="preserve">will </w:t>
      </w:r>
      <w:r w:rsidRPr="00373988">
        <w:rPr>
          <w:rFonts w:ascii="Arial" w:hAnsi="Arial" w:cs="Arial"/>
        </w:rPr>
        <w:t xml:space="preserve">unlock </w:t>
      </w:r>
      <w:r w:rsidR="009755CA">
        <w:rPr>
          <w:rFonts w:ascii="Arial" w:hAnsi="Arial" w:cs="Arial"/>
        </w:rPr>
        <w:t xml:space="preserve">additional </w:t>
      </w:r>
      <w:r>
        <w:rPr>
          <w:rFonts w:ascii="Arial" w:hAnsi="Arial" w:cs="Arial"/>
        </w:rPr>
        <w:t xml:space="preserve">operational </w:t>
      </w:r>
      <w:r w:rsidRPr="00373988">
        <w:rPr>
          <w:rFonts w:ascii="Arial" w:hAnsi="Arial" w:cs="Arial"/>
        </w:rPr>
        <w:t>efficiencies</w:t>
      </w:r>
      <w:r>
        <w:rPr>
          <w:rFonts w:ascii="Arial" w:hAnsi="Arial" w:cs="Arial"/>
        </w:rPr>
        <w:t>.</w:t>
      </w:r>
      <w:r w:rsidRPr="00373988">
        <w:rPr>
          <w:rFonts w:ascii="Arial" w:hAnsi="Arial" w:cs="Arial"/>
        </w:rPr>
        <w:t xml:space="preserve"> </w:t>
      </w:r>
      <w:r w:rsidR="00B63292">
        <w:rPr>
          <w:rFonts w:ascii="Arial" w:hAnsi="Arial" w:cs="Arial"/>
          <w:color w:val="000000"/>
        </w:rPr>
        <w:t>Enabled by the new IT infrastructure, we are plann</w:t>
      </w:r>
      <w:r w:rsidR="005D244F">
        <w:rPr>
          <w:rFonts w:ascii="Arial" w:hAnsi="Arial" w:cs="Arial"/>
          <w:color w:val="000000"/>
        </w:rPr>
        <w:t>ing</w:t>
      </w:r>
      <w:r w:rsidR="00B63292">
        <w:rPr>
          <w:rFonts w:ascii="Arial" w:hAnsi="Arial" w:cs="Arial"/>
          <w:color w:val="000000"/>
        </w:rPr>
        <w:t xml:space="preserve"> to launch ‘next generation’ ecommerce capability in </w:t>
      </w:r>
      <w:r w:rsidR="00647FF1">
        <w:rPr>
          <w:rFonts w:ascii="Arial" w:hAnsi="Arial" w:cs="Arial"/>
        </w:rPr>
        <w:t>all remaining markets</w:t>
      </w:r>
      <w:r w:rsidR="00B63292">
        <w:rPr>
          <w:rFonts w:ascii="Arial" w:hAnsi="Arial" w:cs="Arial"/>
        </w:rPr>
        <w:t>,</w:t>
      </w:r>
      <w:r w:rsidR="00B63292" w:rsidRPr="00B63292">
        <w:rPr>
          <w:rFonts w:ascii="Arial" w:hAnsi="Arial" w:cs="Arial"/>
        </w:rPr>
        <w:t xml:space="preserve"> </w:t>
      </w:r>
      <w:r w:rsidR="00B63292">
        <w:rPr>
          <w:rFonts w:ascii="Arial" w:hAnsi="Arial" w:cs="Arial"/>
        </w:rPr>
        <w:t xml:space="preserve">as well as </w:t>
      </w:r>
      <w:r w:rsidR="00B63292" w:rsidRPr="00B63292">
        <w:rPr>
          <w:rFonts w:ascii="Arial" w:hAnsi="Arial" w:cs="Arial"/>
        </w:rPr>
        <w:t xml:space="preserve">developing </w:t>
      </w:r>
      <w:r w:rsidR="005D244F">
        <w:rPr>
          <w:rFonts w:ascii="Arial" w:hAnsi="Arial" w:cs="Arial"/>
        </w:rPr>
        <w:t>further</w:t>
      </w:r>
      <w:r w:rsidR="00B63292" w:rsidRPr="00B63292">
        <w:rPr>
          <w:rFonts w:ascii="Arial" w:hAnsi="Arial" w:cs="Arial"/>
        </w:rPr>
        <w:t xml:space="preserve"> digital services to support customers’ home improvement projects</w:t>
      </w:r>
      <w:r w:rsidR="00B63292">
        <w:rPr>
          <w:rFonts w:ascii="Arial" w:hAnsi="Arial" w:cs="Arial"/>
        </w:rPr>
        <w:t>.</w:t>
      </w:r>
    </w:p>
    <w:p w14:paraId="3723E529" w14:textId="7C8E23DC" w:rsidR="00FA6F36" w:rsidRDefault="00FA6F36" w:rsidP="00960D2F">
      <w:pPr>
        <w:jc w:val="left"/>
        <w:rPr>
          <w:rFonts w:ascii="Arial" w:hAnsi="Arial" w:cs="Arial"/>
        </w:rPr>
      </w:pPr>
    </w:p>
    <w:p w14:paraId="7402992B" w14:textId="0785D777" w:rsidR="00CA53C4" w:rsidRDefault="004F044D" w:rsidP="00960D2F">
      <w:pPr>
        <w:jc w:val="left"/>
        <w:rPr>
          <w:rFonts w:ascii="Arial" w:hAnsi="Arial" w:cs="Arial"/>
          <w:color w:val="000000"/>
        </w:rPr>
      </w:pPr>
      <w:r>
        <w:rPr>
          <w:rFonts w:ascii="Arial" w:hAnsi="Arial" w:cs="Arial"/>
          <w:color w:val="000000"/>
        </w:rPr>
        <w:t xml:space="preserve">Having successfully established finance shared services in </w:t>
      </w:r>
      <w:r w:rsidRPr="0062003B">
        <w:rPr>
          <w:rFonts w:ascii="Arial" w:hAnsi="Arial" w:cs="Arial"/>
          <w:color w:val="000000"/>
        </w:rPr>
        <w:t>Krakow, Poland</w:t>
      </w:r>
      <w:r>
        <w:rPr>
          <w:rFonts w:ascii="Arial" w:hAnsi="Arial" w:cs="Arial"/>
          <w:color w:val="000000"/>
        </w:rPr>
        <w:t xml:space="preserve">, </w:t>
      </w:r>
      <w:r w:rsidR="00CA53C4">
        <w:rPr>
          <w:rFonts w:ascii="Arial" w:hAnsi="Arial" w:cs="Arial"/>
          <w:color w:val="000000"/>
        </w:rPr>
        <w:t xml:space="preserve">we </w:t>
      </w:r>
      <w:r>
        <w:rPr>
          <w:rFonts w:ascii="Arial" w:hAnsi="Arial" w:cs="Arial"/>
          <w:color w:val="000000"/>
        </w:rPr>
        <w:t xml:space="preserve">plan to </w:t>
      </w:r>
      <w:r w:rsidR="00CA53C4">
        <w:rPr>
          <w:rFonts w:ascii="Arial" w:hAnsi="Arial" w:cs="Arial"/>
          <w:color w:val="000000"/>
        </w:rPr>
        <w:t>implement</w:t>
      </w:r>
      <w:r>
        <w:rPr>
          <w:rFonts w:ascii="Arial" w:hAnsi="Arial" w:cs="Arial"/>
          <w:color w:val="000000"/>
        </w:rPr>
        <w:t xml:space="preserve"> </w:t>
      </w:r>
      <w:r w:rsidR="00607BD2">
        <w:rPr>
          <w:rFonts w:ascii="Arial" w:hAnsi="Arial" w:cs="Arial"/>
          <w:color w:val="000000"/>
        </w:rPr>
        <w:t xml:space="preserve">these services for further </w:t>
      </w:r>
      <w:r>
        <w:rPr>
          <w:rFonts w:ascii="Arial" w:hAnsi="Arial" w:cs="Arial"/>
          <w:color w:val="000000"/>
        </w:rPr>
        <w:t>operating companies in FY 19/20.</w:t>
      </w:r>
    </w:p>
    <w:p w14:paraId="51691A3B" w14:textId="77777777" w:rsidR="004F044D" w:rsidRPr="008F3A34" w:rsidRDefault="004F044D" w:rsidP="00960D2F">
      <w:pPr>
        <w:jc w:val="left"/>
        <w:rPr>
          <w:rFonts w:ascii="Arial" w:hAnsi="Arial" w:cs="Arial"/>
        </w:rPr>
      </w:pPr>
    </w:p>
    <w:p w14:paraId="57276A02" w14:textId="03308C50" w:rsidR="004071FD" w:rsidRPr="009877EE" w:rsidRDefault="002D3D48" w:rsidP="00C2187E">
      <w:pPr>
        <w:pStyle w:val="ListParagraph"/>
        <w:numPr>
          <w:ilvl w:val="0"/>
          <w:numId w:val="80"/>
        </w:numPr>
        <w:jc w:val="left"/>
        <w:rPr>
          <w:rFonts w:ascii="Arial" w:hAnsi="Arial" w:cs="Arial"/>
          <w:b/>
        </w:rPr>
      </w:pPr>
      <w:r w:rsidRPr="009877EE">
        <w:rPr>
          <w:rFonts w:ascii="Arial" w:hAnsi="Arial" w:cs="Arial"/>
          <w:b/>
        </w:rPr>
        <w:t>Make our innovation more visible to customers</w:t>
      </w:r>
    </w:p>
    <w:p w14:paraId="40E92198" w14:textId="539D52FC" w:rsidR="001317AC" w:rsidRDefault="001317AC">
      <w:pPr>
        <w:jc w:val="left"/>
        <w:rPr>
          <w:rFonts w:ascii="Arial" w:hAnsi="Arial" w:cs="Arial"/>
        </w:rPr>
      </w:pPr>
    </w:p>
    <w:p w14:paraId="55856EBA" w14:textId="46398B40" w:rsidR="00DE27A6" w:rsidRDefault="00DE27A6">
      <w:pPr>
        <w:jc w:val="left"/>
        <w:rPr>
          <w:rFonts w:ascii="Arial" w:hAnsi="Arial" w:cs="Arial"/>
        </w:rPr>
      </w:pPr>
      <w:r>
        <w:rPr>
          <w:rFonts w:ascii="Arial" w:hAnsi="Arial" w:cs="Arial"/>
        </w:rPr>
        <w:t>O</w:t>
      </w:r>
      <w:r w:rsidRPr="004B6AC6">
        <w:rPr>
          <w:rFonts w:ascii="Arial" w:hAnsi="Arial" w:cs="Arial"/>
        </w:rPr>
        <w:t xml:space="preserve">ur aim is to differentiate ourselves from competitors by leveraging our </w:t>
      </w:r>
      <w:r w:rsidR="006622A1">
        <w:rPr>
          <w:rFonts w:ascii="Arial" w:hAnsi="Arial" w:cs="Arial"/>
        </w:rPr>
        <w:t>in-depth</w:t>
      </w:r>
      <w:r w:rsidR="006622A1" w:rsidRPr="004B6AC6">
        <w:rPr>
          <w:rFonts w:ascii="Arial" w:hAnsi="Arial" w:cs="Arial"/>
        </w:rPr>
        <w:t xml:space="preserve"> </w:t>
      </w:r>
      <w:r w:rsidRPr="004B6AC6">
        <w:rPr>
          <w:rFonts w:ascii="Arial" w:hAnsi="Arial" w:cs="Arial"/>
          <w:iCs/>
        </w:rPr>
        <w:t>knowledge of our customers’ lives, homes, improvement projects and style preference.</w:t>
      </w:r>
      <w:r>
        <w:rPr>
          <w:rFonts w:ascii="Arial" w:hAnsi="Arial" w:cs="Arial"/>
          <w:iCs/>
        </w:rPr>
        <w:t xml:space="preserve"> </w:t>
      </w:r>
      <w:r w:rsidRPr="004B6AC6">
        <w:rPr>
          <w:rFonts w:ascii="Arial" w:hAnsi="Arial" w:cs="Arial"/>
          <w:iCs/>
        </w:rPr>
        <w:t xml:space="preserve">We are </w:t>
      </w:r>
      <w:r w:rsidR="00A8620E">
        <w:rPr>
          <w:rFonts w:ascii="Arial" w:hAnsi="Arial" w:cs="Arial"/>
          <w:iCs/>
        </w:rPr>
        <w:t xml:space="preserve">focused on </w:t>
      </w:r>
      <w:r w:rsidRPr="004B6AC6">
        <w:rPr>
          <w:rFonts w:ascii="Arial" w:hAnsi="Arial" w:cs="Arial"/>
          <w:iCs/>
        </w:rPr>
        <w:t>apply</w:t>
      </w:r>
      <w:r w:rsidR="00A8620E">
        <w:rPr>
          <w:rFonts w:ascii="Arial" w:hAnsi="Arial" w:cs="Arial"/>
          <w:iCs/>
        </w:rPr>
        <w:t>ing</w:t>
      </w:r>
      <w:r w:rsidRPr="004B6AC6">
        <w:rPr>
          <w:rFonts w:ascii="Arial" w:hAnsi="Arial" w:cs="Arial"/>
          <w:iCs/>
        </w:rPr>
        <w:t xml:space="preserve"> this knowledge </w:t>
      </w:r>
      <w:r w:rsidR="00A8620E">
        <w:rPr>
          <w:rFonts w:ascii="Arial" w:hAnsi="Arial" w:cs="Arial"/>
          <w:iCs/>
        </w:rPr>
        <w:t xml:space="preserve">to </w:t>
      </w:r>
      <w:r>
        <w:rPr>
          <w:rFonts w:ascii="Arial" w:hAnsi="Arial" w:cs="Arial"/>
          <w:iCs/>
        </w:rPr>
        <w:t xml:space="preserve">help </w:t>
      </w:r>
      <w:r w:rsidRPr="004B6AC6">
        <w:rPr>
          <w:rFonts w:ascii="Arial" w:hAnsi="Arial" w:cs="Arial"/>
        </w:rPr>
        <w:t>customers realise their entire home improvement projects</w:t>
      </w:r>
      <w:r>
        <w:rPr>
          <w:rFonts w:ascii="Arial" w:hAnsi="Arial" w:cs="Arial"/>
        </w:rPr>
        <w:t>.</w:t>
      </w:r>
    </w:p>
    <w:p w14:paraId="41B859E4" w14:textId="77777777" w:rsidR="00DE27A6" w:rsidRPr="009877EE" w:rsidRDefault="00DE27A6">
      <w:pPr>
        <w:jc w:val="left"/>
        <w:rPr>
          <w:rFonts w:ascii="Arial" w:hAnsi="Arial" w:cs="Arial"/>
        </w:rPr>
      </w:pPr>
    </w:p>
    <w:p w14:paraId="5AFD4D55" w14:textId="7014C2B5" w:rsidR="00DE27A6" w:rsidRDefault="00EE4AFE">
      <w:pPr>
        <w:jc w:val="left"/>
        <w:rPr>
          <w:rFonts w:ascii="Arial" w:hAnsi="Arial" w:cs="Arial"/>
        </w:rPr>
      </w:pPr>
      <w:r>
        <w:rPr>
          <w:rFonts w:ascii="Arial" w:hAnsi="Arial" w:cs="Arial"/>
        </w:rPr>
        <w:t>To enable this</w:t>
      </w:r>
      <w:r w:rsidR="00DE27A6">
        <w:rPr>
          <w:rFonts w:ascii="Arial" w:hAnsi="Arial" w:cs="Arial"/>
        </w:rPr>
        <w:t>, in FY 19/20</w:t>
      </w:r>
      <w:r>
        <w:rPr>
          <w:rFonts w:ascii="Arial" w:hAnsi="Arial" w:cs="Arial"/>
        </w:rPr>
        <w:t xml:space="preserve"> we will</w:t>
      </w:r>
      <w:r w:rsidR="00DE27A6">
        <w:rPr>
          <w:rFonts w:ascii="Arial" w:hAnsi="Arial" w:cs="Arial"/>
        </w:rPr>
        <w:t>:</w:t>
      </w:r>
    </w:p>
    <w:p w14:paraId="1EAD346D" w14:textId="77777777" w:rsidR="00DE27A6" w:rsidRDefault="00DE27A6">
      <w:pPr>
        <w:jc w:val="left"/>
        <w:rPr>
          <w:rFonts w:ascii="Arial" w:hAnsi="Arial" w:cs="Arial"/>
        </w:rPr>
      </w:pPr>
    </w:p>
    <w:p w14:paraId="041D9A7B" w14:textId="56B57100" w:rsidR="00A8620E" w:rsidRDefault="00DE27A6" w:rsidP="00DE27A6">
      <w:pPr>
        <w:pStyle w:val="ListParagraph"/>
        <w:numPr>
          <w:ilvl w:val="0"/>
          <w:numId w:val="6"/>
        </w:numPr>
        <w:jc w:val="left"/>
        <w:rPr>
          <w:rFonts w:ascii="Arial" w:hAnsi="Arial" w:cs="Arial"/>
        </w:rPr>
      </w:pPr>
      <w:r>
        <w:rPr>
          <w:rFonts w:ascii="Arial" w:hAnsi="Arial" w:cs="Arial"/>
        </w:rPr>
        <w:t>A</w:t>
      </w:r>
      <w:r w:rsidR="00EE4AFE" w:rsidRPr="00DE27A6">
        <w:rPr>
          <w:rFonts w:ascii="Arial" w:hAnsi="Arial" w:cs="Arial"/>
        </w:rPr>
        <w:t>ccelerat</w:t>
      </w:r>
      <w:r w:rsidRPr="00DE27A6">
        <w:rPr>
          <w:rFonts w:ascii="Arial" w:hAnsi="Arial" w:cs="Arial"/>
        </w:rPr>
        <w:t>e</w:t>
      </w:r>
      <w:r w:rsidR="00EE4AFE" w:rsidRPr="00DE27A6">
        <w:rPr>
          <w:rFonts w:ascii="Arial" w:hAnsi="Arial" w:cs="Arial"/>
        </w:rPr>
        <w:t xml:space="preserve"> </w:t>
      </w:r>
      <w:r w:rsidR="00A8620E">
        <w:rPr>
          <w:rFonts w:ascii="Arial" w:hAnsi="Arial" w:cs="Arial"/>
        </w:rPr>
        <w:t xml:space="preserve">the design and development of our own </w:t>
      </w:r>
      <w:r w:rsidR="00EE4AFE" w:rsidRPr="00A8620E">
        <w:rPr>
          <w:rFonts w:ascii="Arial" w:hAnsi="Arial" w:cs="Arial"/>
        </w:rPr>
        <w:t xml:space="preserve">unique </w:t>
      </w:r>
      <w:r w:rsidR="00A8620E">
        <w:rPr>
          <w:rFonts w:ascii="Arial" w:hAnsi="Arial" w:cs="Arial"/>
        </w:rPr>
        <w:t xml:space="preserve">and differentiated </w:t>
      </w:r>
      <w:r w:rsidR="00EE4AFE" w:rsidRPr="00A8620E">
        <w:rPr>
          <w:rFonts w:ascii="Arial" w:hAnsi="Arial" w:cs="Arial"/>
        </w:rPr>
        <w:t>product</w:t>
      </w:r>
      <w:r w:rsidR="002906D6">
        <w:rPr>
          <w:rFonts w:ascii="Arial" w:hAnsi="Arial" w:cs="Arial"/>
        </w:rPr>
        <w:t>;</w:t>
      </w:r>
    </w:p>
    <w:p w14:paraId="4990C4A1" w14:textId="425272E0" w:rsidR="002906D6" w:rsidRDefault="003E7EAD" w:rsidP="00DE27A6">
      <w:pPr>
        <w:pStyle w:val="ListParagraph"/>
        <w:numPr>
          <w:ilvl w:val="0"/>
          <w:numId w:val="6"/>
        </w:numPr>
        <w:jc w:val="left"/>
        <w:rPr>
          <w:rFonts w:ascii="Arial" w:hAnsi="Arial" w:cs="Arial"/>
        </w:rPr>
      </w:pPr>
      <w:r>
        <w:rPr>
          <w:rFonts w:ascii="Arial" w:hAnsi="Arial" w:cs="Arial"/>
        </w:rPr>
        <w:t xml:space="preserve">Deliver </w:t>
      </w:r>
      <w:r w:rsidR="002906D6" w:rsidRPr="004B6AC6">
        <w:rPr>
          <w:rFonts w:ascii="Arial" w:hAnsi="Arial" w:cs="Arial"/>
        </w:rPr>
        <w:t>a series of global and coordinated marketing campaigns</w:t>
      </w:r>
      <w:r w:rsidR="002906D6">
        <w:rPr>
          <w:rFonts w:ascii="Arial" w:hAnsi="Arial" w:cs="Arial"/>
        </w:rPr>
        <w:t>;</w:t>
      </w:r>
    </w:p>
    <w:p w14:paraId="7F1359D2" w14:textId="70A6C998" w:rsidR="00A8620E" w:rsidRDefault="00A8620E" w:rsidP="00DE27A6">
      <w:pPr>
        <w:pStyle w:val="ListParagraph"/>
        <w:numPr>
          <w:ilvl w:val="0"/>
          <w:numId w:val="6"/>
        </w:numPr>
        <w:jc w:val="left"/>
        <w:rPr>
          <w:rFonts w:ascii="Arial" w:hAnsi="Arial" w:cs="Arial"/>
        </w:rPr>
      </w:pPr>
      <w:r>
        <w:rPr>
          <w:rFonts w:ascii="Arial" w:hAnsi="Arial" w:cs="Arial"/>
        </w:rPr>
        <w:t>R</w:t>
      </w:r>
      <w:r w:rsidR="00EE4AFE" w:rsidRPr="00A8620E">
        <w:rPr>
          <w:rFonts w:ascii="Arial" w:hAnsi="Arial" w:cs="Arial"/>
        </w:rPr>
        <w:t>einforc</w:t>
      </w:r>
      <w:r w:rsidR="00DE27A6" w:rsidRPr="00A8620E">
        <w:rPr>
          <w:rFonts w:ascii="Arial" w:hAnsi="Arial" w:cs="Arial"/>
        </w:rPr>
        <w:t>e</w:t>
      </w:r>
      <w:r w:rsidR="00EE4AFE" w:rsidRPr="00A8620E">
        <w:rPr>
          <w:rFonts w:ascii="Arial" w:hAnsi="Arial" w:cs="Arial"/>
        </w:rPr>
        <w:t xml:space="preserve"> our everyday low price proposition</w:t>
      </w:r>
      <w:r w:rsidR="002906D6">
        <w:rPr>
          <w:rFonts w:ascii="Arial" w:hAnsi="Arial" w:cs="Arial"/>
        </w:rPr>
        <w:t>;</w:t>
      </w:r>
    </w:p>
    <w:p w14:paraId="4CFC643B" w14:textId="169C7FAB" w:rsidR="00A8620E" w:rsidRDefault="00A8620E" w:rsidP="00DE27A6">
      <w:pPr>
        <w:pStyle w:val="ListParagraph"/>
        <w:numPr>
          <w:ilvl w:val="0"/>
          <w:numId w:val="6"/>
        </w:numPr>
        <w:jc w:val="left"/>
        <w:rPr>
          <w:rFonts w:ascii="Arial" w:hAnsi="Arial" w:cs="Arial"/>
        </w:rPr>
      </w:pPr>
      <w:r>
        <w:rPr>
          <w:rFonts w:ascii="Arial" w:hAnsi="Arial" w:cs="Arial"/>
        </w:rPr>
        <w:t>L</w:t>
      </w:r>
      <w:r w:rsidR="00EE4AFE" w:rsidRPr="00A8620E">
        <w:rPr>
          <w:rFonts w:ascii="Arial" w:hAnsi="Arial" w:cs="Arial"/>
        </w:rPr>
        <w:t xml:space="preserve">aunch </w:t>
      </w:r>
      <w:r w:rsidR="001104C7" w:rsidRPr="00A8620E">
        <w:rPr>
          <w:rFonts w:ascii="Arial" w:hAnsi="Arial" w:cs="Arial"/>
        </w:rPr>
        <w:t xml:space="preserve">new digital </w:t>
      </w:r>
      <w:r>
        <w:rPr>
          <w:rFonts w:ascii="Arial" w:hAnsi="Arial" w:cs="Arial"/>
        </w:rPr>
        <w:t xml:space="preserve">planning and design </w:t>
      </w:r>
      <w:r w:rsidR="001104C7" w:rsidRPr="00A8620E">
        <w:rPr>
          <w:rFonts w:ascii="Arial" w:hAnsi="Arial" w:cs="Arial"/>
        </w:rPr>
        <w:t>tools</w:t>
      </w:r>
      <w:r w:rsidR="002906D6">
        <w:rPr>
          <w:rFonts w:ascii="Arial" w:hAnsi="Arial" w:cs="Arial"/>
        </w:rPr>
        <w:t>;</w:t>
      </w:r>
    </w:p>
    <w:p w14:paraId="759EC095" w14:textId="33E21ECF" w:rsidR="00A8620E" w:rsidRDefault="00A8620E" w:rsidP="00DE27A6">
      <w:pPr>
        <w:pStyle w:val="ListParagraph"/>
        <w:numPr>
          <w:ilvl w:val="0"/>
          <w:numId w:val="6"/>
        </w:numPr>
        <w:jc w:val="left"/>
        <w:rPr>
          <w:rFonts w:ascii="Arial" w:hAnsi="Arial" w:cs="Arial"/>
        </w:rPr>
      </w:pPr>
      <w:r>
        <w:rPr>
          <w:rFonts w:ascii="Arial" w:hAnsi="Arial" w:cs="Arial"/>
        </w:rPr>
        <w:t xml:space="preserve">Upskill our store </w:t>
      </w:r>
      <w:r w:rsidR="001104C7" w:rsidRPr="00A8620E">
        <w:rPr>
          <w:rFonts w:ascii="Arial" w:hAnsi="Arial" w:cs="Arial"/>
        </w:rPr>
        <w:t>colleagues</w:t>
      </w:r>
      <w:r w:rsidR="002906D6">
        <w:rPr>
          <w:rFonts w:ascii="Arial" w:hAnsi="Arial" w:cs="Arial"/>
        </w:rPr>
        <w:t>;</w:t>
      </w:r>
    </w:p>
    <w:p w14:paraId="25B6104F" w14:textId="07A05229" w:rsidR="00A8620E" w:rsidRDefault="00A8620E" w:rsidP="00DE27A6">
      <w:pPr>
        <w:pStyle w:val="ListParagraph"/>
        <w:numPr>
          <w:ilvl w:val="0"/>
          <w:numId w:val="6"/>
        </w:numPr>
        <w:jc w:val="left"/>
        <w:rPr>
          <w:rFonts w:ascii="Arial" w:hAnsi="Arial" w:cs="Arial"/>
        </w:rPr>
      </w:pPr>
      <w:r>
        <w:rPr>
          <w:rFonts w:ascii="Arial" w:hAnsi="Arial" w:cs="Arial"/>
        </w:rPr>
        <w:t xml:space="preserve">Trial innovative </w:t>
      </w:r>
      <w:r w:rsidR="001104C7" w:rsidRPr="00A8620E">
        <w:rPr>
          <w:rFonts w:ascii="Arial" w:hAnsi="Arial" w:cs="Arial"/>
        </w:rPr>
        <w:t xml:space="preserve">new store </w:t>
      </w:r>
      <w:r>
        <w:rPr>
          <w:rFonts w:ascii="Arial" w:hAnsi="Arial" w:cs="Arial"/>
        </w:rPr>
        <w:t>concepts</w:t>
      </w:r>
      <w:r w:rsidR="002906D6">
        <w:rPr>
          <w:rFonts w:ascii="Arial" w:hAnsi="Arial" w:cs="Arial"/>
        </w:rPr>
        <w:t>;</w:t>
      </w:r>
      <w:r>
        <w:rPr>
          <w:rFonts w:ascii="Arial" w:hAnsi="Arial" w:cs="Arial"/>
        </w:rPr>
        <w:t xml:space="preserve"> </w:t>
      </w:r>
      <w:r w:rsidR="001104C7" w:rsidRPr="00A8620E">
        <w:rPr>
          <w:rFonts w:ascii="Arial" w:hAnsi="Arial" w:cs="Arial"/>
        </w:rPr>
        <w:t>and</w:t>
      </w:r>
    </w:p>
    <w:p w14:paraId="1A8EAFDB" w14:textId="449CBA4A" w:rsidR="00A8620E" w:rsidRDefault="002906D6" w:rsidP="00DE27A6">
      <w:pPr>
        <w:pStyle w:val="ListParagraph"/>
        <w:numPr>
          <w:ilvl w:val="0"/>
          <w:numId w:val="6"/>
        </w:numPr>
        <w:jc w:val="left"/>
        <w:rPr>
          <w:rFonts w:ascii="Arial" w:hAnsi="Arial" w:cs="Arial"/>
        </w:rPr>
      </w:pPr>
      <w:r>
        <w:rPr>
          <w:rFonts w:ascii="Arial" w:hAnsi="Arial" w:cs="Arial"/>
        </w:rPr>
        <w:t xml:space="preserve">Develop new in-store </w:t>
      </w:r>
      <w:r w:rsidR="001104C7" w:rsidRPr="00A8620E">
        <w:rPr>
          <w:rFonts w:ascii="Arial" w:hAnsi="Arial" w:cs="Arial"/>
        </w:rPr>
        <w:t>service</w:t>
      </w:r>
      <w:r>
        <w:rPr>
          <w:rFonts w:ascii="Arial" w:hAnsi="Arial" w:cs="Arial"/>
        </w:rPr>
        <w:t>s</w:t>
      </w:r>
      <w:r w:rsidR="00EE680D" w:rsidRPr="00A8620E">
        <w:rPr>
          <w:rFonts w:ascii="Arial" w:hAnsi="Arial" w:cs="Arial"/>
        </w:rPr>
        <w:t>.</w:t>
      </w:r>
    </w:p>
    <w:p w14:paraId="7F0B7D60" w14:textId="77777777" w:rsidR="00A8620E" w:rsidRPr="00E630F1" w:rsidRDefault="00A8620E" w:rsidP="00E630F1">
      <w:pPr>
        <w:jc w:val="left"/>
        <w:rPr>
          <w:rFonts w:ascii="Arial" w:hAnsi="Arial" w:cs="Arial"/>
        </w:rPr>
      </w:pPr>
    </w:p>
    <w:p w14:paraId="544CDF7D" w14:textId="2B0B5DC0" w:rsidR="00BB6135" w:rsidRDefault="003E7EAD" w:rsidP="00BB6135">
      <w:pPr>
        <w:jc w:val="left"/>
        <w:rPr>
          <w:rFonts w:ascii="Arial" w:hAnsi="Arial" w:cs="Arial"/>
        </w:rPr>
      </w:pPr>
      <w:r>
        <w:rPr>
          <w:rFonts w:ascii="Arial" w:hAnsi="Arial" w:cs="Arial"/>
        </w:rPr>
        <w:t>I</w:t>
      </w:r>
      <w:r w:rsidR="00BB6135" w:rsidRPr="00EE680D">
        <w:rPr>
          <w:rFonts w:ascii="Arial" w:hAnsi="Arial" w:cs="Arial"/>
        </w:rPr>
        <w:t>nvest</w:t>
      </w:r>
      <w:r>
        <w:rPr>
          <w:rFonts w:ascii="Arial" w:hAnsi="Arial" w:cs="Arial"/>
        </w:rPr>
        <w:t>ing</w:t>
      </w:r>
      <w:r w:rsidR="00BB6135" w:rsidRPr="00EE680D">
        <w:rPr>
          <w:rFonts w:ascii="Arial" w:hAnsi="Arial" w:cs="Arial"/>
        </w:rPr>
        <w:t xml:space="preserve"> in our people give</w:t>
      </w:r>
      <w:r>
        <w:rPr>
          <w:rFonts w:ascii="Arial" w:hAnsi="Arial" w:cs="Arial"/>
        </w:rPr>
        <w:t>s</w:t>
      </w:r>
      <w:r w:rsidR="00BB6135" w:rsidRPr="00EE680D">
        <w:rPr>
          <w:rFonts w:ascii="Arial" w:hAnsi="Arial" w:cs="Arial"/>
        </w:rPr>
        <w:t xml:space="preserve"> them the expertise to fully understand the needs of our customers and their home improvement projects. Our Home Improvement Academy provides relevant product training and project knowledge, through seminars, practical sessions, and situational role plays, both in person and through digital channels, to help our store colleagues become range ambassadors and take information and ideas back to their stores. In the future, we aim to provide similar resources to customers both in-store and through our digital channels.</w:t>
      </w:r>
    </w:p>
    <w:p w14:paraId="1FE9DE13" w14:textId="30EA91E7" w:rsidR="00EE680D" w:rsidRDefault="00EE680D" w:rsidP="00BB6135">
      <w:pPr>
        <w:jc w:val="left"/>
        <w:rPr>
          <w:rFonts w:ascii="Arial" w:hAnsi="Arial" w:cs="Arial"/>
        </w:rPr>
      </w:pPr>
    </w:p>
    <w:p w14:paraId="6805AC84" w14:textId="4E720B16" w:rsidR="004D7E9E" w:rsidRPr="009877EE" w:rsidRDefault="003E7EAD">
      <w:pPr>
        <w:jc w:val="left"/>
        <w:rPr>
          <w:rFonts w:ascii="Arial" w:hAnsi="Arial" w:cs="Arial"/>
        </w:rPr>
      </w:pPr>
      <w:r>
        <w:rPr>
          <w:rFonts w:ascii="Arial" w:hAnsi="Arial" w:cs="Arial"/>
        </w:rPr>
        <w:t>Dur</w:t>
      </w:r>
      <w:r w:rsidR="009C0FD8">
        <w:rPr>
          <w:rFonts w:ascii="Arial" w:hAnsi="Arial" w:cs="Arial"/>
        </w:rPr>
        <w:t>ing the year w</w:t>
      </w:r>
      <w:r w:rsidR="00E14C3F" w:rsidRPr="00EE680D">
        <w:rPr>
          <w:rFonts w:ascii="Arial" w:hAnsi="Arial" w:cs="Arial"/>
        </w:rPr>
        <w:t xml:space="preserve">e will be testing </w:t>
      </w:r>
      <w:r w:rsidR="00A8620E">
        <w:rPr>
          <w:rFonts w:ascii="Arial" w:hAnsi="Arial" w:cs="Arial"/>
        </w:rPr>
        <w:t xml:space="preserve">innovative </w:t>
      </w:r>
      <w:r w:rsidR="00E14C3F" w:rsidRPr="00EE680D">
        <w:rPr>
          <w:rFonts w:ascii="Arial" w:hAnsi="Arial" w:cs="Arial"/>
        </w:rPr>
        <w:t>new store concepts</w:t>
      </w:r>
      <w:r w:rsidR="00EE680D" w:rsidRPr="00EE680D">
        <w:rPr>
          <w:rFonts w:ascii="Arial" w:hAnsi="Arial" w:cs="Arial"/>
        </w:rPr>
        <w:t>. Initially, these will focus on France and the UK.</w:t>
      </w:r>
      <w:r w:rsidR="009C0FD8">
        <w:rPr>
          <w:rFonts w:ascii="Arial" w:hAnsi="Arial" w:cs="Arial"/>
        </w:rPr>
        <w:t xml:space="preserve"> </w:t>
      </w:r>
    </w:p>
    <w:p w14:paraId="0360AC9D" w14:textId="55CA2E3A" w:rsidR="004D7E9E" w:rsidRDefault="004D7E9E" w:rsidP="009877EE">
      <w:pPr>
        <w:jc w:val="left"/>
        <w:rPr>
          <w:rFonts w:ascii="Arial" w:hAnsi="Arial" w:cs="Arial"/>
        </w:rPr>
      </w:pPr>
    </w:p>
    <w:p w14:paraId="0C551B64" w14:textId="6C415B36" w:rsidR="00850C03" w:rsidRPr="00A4162D" w:rsidRDefault="00AC7708" w:rsidP="00850C03">
      <w:pPr>
        <w:jc w:val="left"/>
        <w:rPr>
          <w:rFonts w:ascii="Arial" w:hAnsi="Arial" w:cs="Arial"/>
          <w:lang w:val="en-US"/>
        </w:rPr>
      </w:pPr>
      <w:bookmarkStart w:id="17" w:name="_Hlk536802503"/>
      <w:bookmarkStart w:id="18" w:name="_Hlk2601307"/>
      <w:r w:rsidRPr="00AC7708">
        <w:rPr>
          <w:rFonts w:ascii="Arial" w:hAnsi="Arial" w:cs="Arial"/>
          <w:b/>
        </w:rPr>
        <w:t>Sustainable, good homes for everyone</w:t>
      </w:r>
      <w:r>
        <w:rPr>
          <w:rFonts w:ascii="Arial" w:hAnsi="Arial" w:cs="Arial"/>
          <w:b/>
        </w:rPr>
        <w:t xml:space="preserve"> </w:t>
      </w:r>
    </w:p>
    <w:p w14:paraId="38087357" w14:textId="0981DD4A" w:rsidR="00850C03" w:rsidRPr="001B1EFA" w:rsidRDefault="00850C03" w:rsidP="00850C03">
      <w:pPr>
        <w:jc w:val="left"/>
        <w:rPr>
          <w:rFonts w:ascii="Arial" w:hAnsi="Arial"/>
          <w:lang w:val="en-US"/>
        </w:rPr>
      </w:pPr>
    </w:p>
    <w:p w14:paraId="56130618" w14:textId="25CD16AF" w:rsidR="00DB6002" w:rsidRPr="00DB6002" w:rsidRDefault="00DB6002" w:rsidP="00850C03">
      <w:pPr>
        <w:jc w:val="left"/>
        <w:rPr>
          <w:rFonts w:ascii="Arial" w:hAnsi="Arial" w:cs="Arial"/>
          <w:lang w:val="en-US"/>
        </w:rPr>
      </w:pPr>
      <w:r w:rsidRPr="00DB6002">
        <w:rPr>
          <w:rFonts w:ascii="Arial" w:hAnsi="Arial" w:cs="Arial"/>
          <w:lang w:val="en-US"/>
        </w:rPr>
        <w:t>We know sustainability is important for our colleagues, customers and investors, to know they work, shop and invest in the right kind of business.</w:t>
      </w:r>
    </w:p>
    <w:p w14:paraId="36FC3892" w14:textId="77777777" w:rsidR="00DB6002" w:rsidRPr="00DB6002" w:rsidRDefault="00DB6002" w:rsidP="00850C03">
      <w:pPr>
        <w:jc w:val="left"/>
        <w:rPr>
          <w:rFonts w:ascii="Arial" w:hAnsi="Arial" w:cs="Arial"/>
          <w:lang w:val="en-US"/>
        </w:rPr>
      </w:pPr>
    </w:p>
    <w:p w14:paraId="36DD1079" w14:textId="47EBEBA6" w:rsidR="00AC7708" w:rsidRDefault="00AC7708" w:rsidP="00AC7708">
      <w:pPr>
        <w:jc w:val="left"/>
        <w:rPr>
          <w:rFonts w:ascii="Arial" w:hAnsi="Arial" w:cs="Arial"/>
          <w:lang w:val="en-US"/>
        </w:rPr>
      </w:pPr>
      <w:bookmarkStart w:id="19" w:name="_Hlk508881941"/>
      <w:r w:rsidRPr="00AC7708">
        <w:rPr>
          <w:rFonts w:ascii="Arial" w:hAnsi="Arial" w:cs="Arial"/>
          <w:lang w:val="en-US"/>
        </w:rPr>
        <w:t>Last year, we launched our sustainable growth plan which sets out the next stage on our journey towards being a truly sustainable business, starting with what customers care about</w:t>
      </w:r>
      <w:r w:rsidR="007B54C3">
        <w:rPr>
          <w:rFonts w:ascii="Arial" w:hAnsi="Arial" w:cs="Arial"/>
          <w:lang w:val="en-US"/>
        </w:rPr>
        <w:t>:</w:t>
      </w:r>
      <w:r w:rsidRPr="00AC7708">
        <w:rPr>
          <w:rFonts w:ascii="Arial" w:hAnsi="Arial" w:cs="Arial"/>
          <w:lang w:val="en-US"/>
        </w:rPr>
        <w:t xml:space="preserve"> their families, their homes and their communities. </w:t>
      </w:r>
    </w:p>
    <w:p w14:paraId="56F0E75D" w14:textId="77777777" w:rsidR="00AC7708" w:rsidRPr="00AC7708" w:rsidRDefault="00AC7708" w:rsidP="00AC7708">
      <w:pPr>
        <w:jc w:val="left"/>
        <w:rPr>
          <w:rFonts w:ascii="Arial" w:hAnsi="Arial" w:cs="Arial"/>
          <w:lang w:val="en-US"/>
        </w:rPr>
      </w:pPr>
    </w:p>
    <w:p w14:paraId="0AF71255" w14:textId="77777777" w:rsidR="007B21F0" w:rsidRPr="00C2187E" w:rsidRDefault="007B21F0" w:rsidP="00C2187E">
      <w:pPr>
        <w:jc w:val="left"/>
        <w:rPr>
          <w:rFonts w:ascii="Arial" w:hAnsi="Arial" w:cs="Arial"/>
          <w:lang w:val="en-US"/>
        </w:rPr>
      </w:pPr>
      <w:r w:rsidRPr="009131D8">
        <w:rPr>
          <w:rFonts w:ascii="Arial" w:hAnsi="Arial" w:cs="Arial"/>
          <w:lang w:val="en-US"/>
        </w:rPr>
        <w:t>In 2019 we</w:t>
      </w:r>
      <w:r>
        <w:rPr>
          <w:rFonts w:ascii="Arial" w:hAnsi="Arial" w:cs="Arial"/>
          <w:lang w:val="en-US"/>
        </w:rPr>
        <w:t xml:space="preserve"> wil</w:t>
      </w:r>
      <w:r w:rsidRPr="009131D8">
        <w:rPr>
          <w:rFonts w:ascii="Arial" w:hAnsi="Arial" w:cs="Arial"/>
          <w:lang w:val="en-US"/>
        </w:rPr>
        <w:t>l continue to help customers improve their homes through products that help them save energy and water and reduce their household bills.</w:t>
      </w:r>
      <w:r>
        <w:rPr>
          <w:rFonts w:ascii="Arial" w:hAnsi="Arial" w:cs="Arial"/>
          <w:lang w:val="en-US"/>
        </w:rPr>
        <w:t xml:space="preserve"> </w:t>
      </w:r>
      <w:r w:rsidRPr="00C2187E">
        <w:rPr>
          <w:rFonts w:ascii="Arial" w:hAnsi="Arial" w:cs="Arial"/>
          <w:lang w:val="en-US"/>
        </w:rPr>
        <w:t>We</w:t>
      </w:r>
      <w:r w:rsidRPr="00C2187E">
        <w:rPr>
          <w:rFonts w:ascii="Arial" w:hAnsi="Arial" w:cs="Arial" w:hint="eastAsia"/>
          <w:lang w:val="en-US"/>
        </w:rPr>
        <w:t>’</w:t>
      </w:r>
      <w:r w:rsidRPr="00C2187E">
        <w:rPr>
          <w:rFonts w:ascii="Arial" w:hAnsi="Arial" w:cs="Arial"/>
          <w:lang w:val="en-US"/>
        </w:rPr>
        <w:t>re also responding to customers</w:t>
      </w:r>
      <w:r w:rsidRPr="00C2187E">
        <w:rPr>
          <w:rFonts w:ascii="Arial" w:hAnsi="Arial" w:cs="Arial" w:hint="eastAsia"/>
          <w:lang w:val="en-US"/>
        </w:rPr>
        <w:t>’</w:t>
      </w:r>
      <w:r w:rsidRPr="00C2187E">
        <w:rPr>
          <w:rFonts w:ascii="Arial" w:hAnsi="Arial" w:cs="Arial"/>
          <w:lang w:val="en-US"/>
        </w:rPr>
        <w:t xml:space="preserve"> desires for fewer and less harmful chemicals in their homes and have committed to phasing out high priority chemicals such as phthalates, PFCs and halogenated flame retardants from all own-branded products by 2025.</w:t>
      </w:r>
    </w:p>
    <w:p w14:paraId="68937FAF" w14:textId="45AB6CB6" w:rsidR="00AC7708" w:rsidRDefault="00AC7708" w:rsidP="00AC7708">
      <w:pPr>
        <w:jc w:val="left"/>
        <w:rPr>
          <w:rFonts w:ascii="Arial" w:hAnsi="Arial" w:cs="Arial"/>
          <w:lang w:val="en-US"/>
        </w:rPr>
      </w:pPr>
    </w:p>
    <w:p w14:paraId="4EA78F28" w14:textId="31EDEDCF" w:rsidR="00697A7A" w:rsidRPr="00FB2DAB" w:rsidRDefault="00697A7A" w:rsidP="00697A7A">
      <w:pPr>
        <w:jc w:val="left"/>
        <w:rPr>
          <w:rFonts w:ascii="Arial" w:hAnsi="Arial" w:cs="Arial"/>
          <w:lang w:val="en-US"/>
        </w:rPr>
      </w:pPr>
      <w:r>
        <w:rPr>
          <w:rFonts w:ascii="Arial" w:hAnsi="Arial" w:cs="Arial"/>
          <w:lang w:val="en-US"/>
        </w:rPr>
        <w:lastRenderedPageBreak/>
        <w:t>I</w:t>
      </w:r>
      <w:r w:rsidRPr="00697A7A">
        <w:rPr>
          <w:rFonts w:ascii="Arial" w:hAnsi="Arial" w:cs="Arial"/>
          <w:lang w:val="en-US"/>
        </w:rPr>
        <w:t>n 2015, we made a public commitment to set science</w:t>
      </w:r>
      <w:r>
        <w:rPr>
          <w:rFonts w:ascii="Arial" w:hAnsi="Arial" w:cs="Arial"/>
          <w:lang w:val="en-US"/>
        </w:rPr>
        <w:t>-</w:t>
      </w:r>
      <w:r w:rsidRPr="00697A7A">
        <w:rPr>
          <w:rFonts w:ascii="Arial" w:hAnsi="Arial" w:cs="Arial"/>
          <w:lang w:val="en-US"/>
        </w:rPr>
        <w:t>based carbon reduction targets through the Science Based Targets initiative (SBTi</w:t>
      </w:r>
      <w:r>
        <w:rPr>
          <w:rFonts w:ascii="Arial" w:hAnsi="Arial" w:cs="Arial"/>
          <w:lang w:val="en-US"/>
        </w:rPr>
        <w:t xml:space="preserve">). </w:t>
      </w:r>
      <w:r w:rsidR="007473AE" w:rsidRPr="007473AE">
        <w:rPr>
          <w:rFonts w:ascii="Arial" w:hAnsi="Arial" w:cs="Arial"/>
          <w:lang w:val="en-US"/>
        </w:rPr>
        <w:t xml:space="preserve">Our carbon reduction targets have recently </w:t>
      </w:r>
      <w:r>
        <w:rPr>
          <w:rFonts w:ascii="Arial" w:hAnsi="Arial" w:cs="Arial"/>
          <w:lang w:val="en-US"/>
        </w:rPr>
        <w:t xml:space="preserve">attained official </w:t>
      </w:r>
      <w:r w:rsidR="007473AE" w:rsidRPr="007473AE">
        <w:rPr>
          <w:rFonts w:ascii="Arial" w:hAnsi="Arial" w:cs="Arial"/>
          <w:lang w:val="en-US"/>
        </w:rPr>
        <w:t>approv</w:t>
      </w:r>
      <w:r>
        <w:rPr>
          <w:rFonts w:ascii="Arial" w:hAnsi="Arial" w:cs="Arial"/>
          <w:lang w:val="en-US"/>
        </w:rPr>
        <w:t>al</w:t>
      </w:r>
      <w:r w:rsidR="007473AE" w:rsidRPr="007473AE">
        <w:rPr>
          <w:rFonts w:ascii="Arial" w:hAnsi="Arial" w:cs="Arial"/>
          <w:lang w:val="en-US"/>
        </w:rPr>
        <w:t xml:space="preserve"> by the </w:t>
      </w:r>
      <w:r>
        <w:rPr>
          <w:rFonts w:ascii="Arial" w:hAnsi="Arial" w:cs="Arial"/>
          <w:lang w:val="en-US"/>
        </w:rPr>
        <w:t xml:space="preserve">SBTi. </w:t>
      </w:r>
      <w:r w:rsidR="00347249">
        <w:rPr>
          <w:rFonts w:ascii="Arial" w:hAnsi="Arial" w:cs="Arial"/>
          <w:lang w:val="en-US"/>
        </w:rPr>
        <w:t>This</w:t>
      </w:r>
      <w:r w:rsidR="007473AE" w:rsidRPr="007473AE">
        <w:rPr>
          <w:rFonts w:ascii="Arial" w:hAnsi="Arial" w:cs="Arial"/>
          <w:lang w:val="en-US"/>
        </w:rPr>
        <w:t xml:space="preserve"> approval confirms that our targets align with the goal of the Paris Climate Agreement to keep global temperature rises below 2°C. </w:t>
      </w:r>
      <w:r w:rsidRPr="00FB2DAB">
        <w:rPr>
          <w:rFonts w:ascii="Arial" w:hAnsi="Arial" w:cs="Arial"/>
          <w:lang w:val="en-US"/>
        </w:rPr>
        <w:t xml:space="preserve">We have already made </w:t>
      </w:r>
      <w:r w:rsidR="00347249" w:rsidRPr="00FB2DAB">
        <w:rPr>
          <w:rFonts w:ascii="Arial" w:hAnsi="Arial" w:cs="Arial"/>
          <w:lang w:val="en-US"/>
        </w:rPr>
        <w:t xml:space="preserve">significant </w:t>
      </w:r>
      <w:r w:rsidRPr="00FB2DAB">
        <w:rPr>
          <w:rFonts w:ascii="Arial" w:hAnsi="Arial" w:cs="Arial"/>
          <w:lang w:val="en-US"/>
        </w:rPr>
        <w:t>progress to cut the environmental footprint of our business and our products. For example:</w:t>
      </w:r>
    </w:p>
    <w:p w14:paraId="3086B3F5" w14:textId="77777777" w:rsidR="00697A7A" w:rsidRPr="00FB2DAB" w:rsidRDefault="00697A7A" w:rsidP="00697A7A">
      <w:pPr>
        <w:jc w:val="left"/>
        <w:rPr>
          <w:rFonts w:ascii="Arial" w:hAnsi="Arial" w:cs="Arial"/>
          <w:lang w:val="en-US"/>
        </w:rPr>
      </w:pPr>
    </w:p>
    <w:p w14:paraId="5AE90BEF" w14:textId="77777777" w:rsidR="007B54C3" w:rsidRDefault="007B54C3" w:rsidP="007B54C3">
      <w:pPr>
        <w:pStyle w:val="ListParagraph"/>
        <w:numPr>
          <w:ilvl w:val="0"/>
          <w:numId w:val="8"/>
        </w:numPr>
        <w:ind w:left="720"/>
        <w:jc w:val="left"/>
        <w:rPr>
          <w:rFonts w:ascii="Arial" w:hAnsi="Arial" w:cs="Arial"/>
        </w:rPr>
      </w:pPr>
      <w:bookmarkStart w:id="20" w:name="_Hlk2781468"/>
      <w:r>
        <w:rPr>
          <w:rFonts w:ascii="Arial" w:hAnsi="Arial" w:cs="Arial"/>
        </w:rPr>
        <w:t>The energy saving products in our ranges enable an estimated reduction in energy use in our customers’ homes by over a third;</w:t>
      </w:r>
    </w:p>
    <w:p w14:paraId="57EF3304" w14:textId="77777777" w:rsidR="007B54C3" w:rsidRPr="00BE0246" w:rsidRDefault="007B54C3" w:rsidP="007B54C3">
      <w:pPr>
        <w:pStyle w:val="ListParagraph"/>
        <w:numPr>
          <w:ilvl w:val="0"/>
          <w:numId w:val="8"/>
        </w:numPr>
        <w:ind w:left="720"/>
        <w:jc w:val="left"/>
        <w:rPr>
          <w:rFonts w:ascii="Arial" w:hAnsi="Arial" w:cs="Arial"/>
        </w:rPr>
      </w:pPr>
      <w:r>
        <w:rPr>
          <w:rFonts w:ascii="Arial" w:hAnsi="Arial" w:cs="Arial"/>
        </w:rPr>
        <w:t>Our unified range of kitchen taps are all low flow;</w:t>
      </w:r>
    </w:p>
    <w:p w14:paraId="0E84FF8A" w14:textId="5C442529" w:rsidR="007B54C3" w:rsidRDefault="007B54C3" w:rsidP="007B54C3">
      <w:pPr>
        <w:pStyle w:val="ListParagraph"/>
        <w:numPr>
          <w:ilvl w:val="0"/>
          <w:numId w:val="8"/>
        </w:numPr>
        <w:ind w:left="720"/>
        <w:jc w:val="left"/>
        <w:rPr>
          <w:rFonts w:ascii="Arial" w:hAnsi="Arial" w:cs="Arial"/>
        </w:rPr>
      </w:pPr>
      <w:r>
        <w:rPr>
          <w:rFonts w:ascii="Arial" w:hAnsi="Arial" w:cs="Arial"/>
        </w:rPr>
        <w:t xml:space="preserve">We’ve cut our operational absolute carbon emissions by </w:t>
      </w:r>
      <w:r w:rsidR="00B60D42" w:rsidRPr="009C4C67">
        <w:rPr>
          <w:rFonts w:ascii="Arial" w:hAnsi="Arial" w:cs="Arial"/>
        </w:rPr>
        <w:t>15</w:t>
      </w:r>
      <w:r>
        <w:rPr>
          <w:rFonts w:ascii="Arial" w:hAnsi="Arial" w:cs="Arial"/>
        </w:rPr>
        <w:t>% since 201</w:t>
      </w:r>
      <w:r w:rsidR="00B60D42">
        <w:rPr>
          <w:rFonts w:ascii="Arial" w:hAnsi="Arial" w:cs="Arial"/>
        </w:rPr>
        <w:t>6/17</w:t>
      </w:r>
      <w:r>
        <w:rPr>
          <w:rFonts w:ascii="Arial" w:hAnsi="Arial" w:cs="Arial"/>
        </w:rPr>
        <w:t>; and</w:t>
      </w:r>
    </w:p>
    <w:p w14:paraId="1F4C17DE" w14:textId="77777777" w:rsidR="007B54C3" w:rsidRPr="007B54C3" w:rsidRDefault="007B54C3" w:rsidP="007B54C3">
      <w:pPr>
        <w:pStyle w:val="ListParagraph"/>
        <w:numPr>
          <w:ilvl w:val="0"/>
          <w:numId w:val="8"/>
        </w:numPr>
        <w:ind w:left="720"/>
        <w:jc w:val="left"/>
        <w:rPr>
          <w:rFonts w:ascii="Arial" w:hAnsi="Arial" w:cs="Arial"/>
        </w:rPr>
      </w:pPr>
      <w:r>
        <w:rPr>
          <w:rFonts w:ascii="Arial" w:hAnsi="Arial" w:cs="Arial"/>
        </w:rPr>
        <w:t xml:space="preserve">In the UK, our electricity is now 100% renewably sourced and we </w:t>
      </w:r>
      <w:r w:rsidRPr="007B54C3">
        <w:rPr>
          <w:rFonts w:ascii="Arial" w:hAnsi="Arial" w:cs="Arial"/>
        </w:rPr>
        <w:t xml:space="preserve">launched </w:t>
      </w:r>
      <w:hyperlink r:id="rId12" w:history="1">
        <w:r w:rsidRPr="0035009E">
          <w:rPr>
            <w:rFonts w:ascii="Arial" w:hAnsi="Arial" w:cs="Arial"/>
          </w:rPr>
          <w:t>our first zero-energy store</w:t>
        </w:r>
      </w:hyperlink>
      <w:r w:rsidRPr="007B54C3">
        <w:rPr>
          <w:rFonts w:ascii="Arial" w:hAnsi="Arial" w:cs="Arial"/>
        </w:rPr>
        <w:t xml:space="preserve"> in the UK, with more planned in 2019.</w:t>
      </w:r>
    </w:p>
    <w:bookmarkEnd w:id="20"/>
    <w:p w14:paraId="280DA60D" w14:textId="77777777" w:rsidR="007473AE" w:rsidRPr="00FB2DAB" w:rsidRDefault="007473AE" w:rsidP="00AC7708">
      <w:pPr>
        <w:jc w:val="left"/>
        <w:rPr>
          <w:rFonts w:ascii="Arial" w:hAnsi="Arial" w:cs="Arial"/>
          <w:lang w:val="en-US"/>
        </w:rPr>
      </w:pPr>
    </w:p>
    <w:p w14:paraId="4899F110" w14:textId="7D1B8E1F" w:rsidR="00AC7708" w:rsidRPr="00FB2DAB" w:rsidRDefault="00AC7708" w:rsidP="00AC7708">
      <w:pPr>
        <w:jc w:val="left"/>
        <w:rPr>
          <w:rFonts w:ascii="Arial" w:hAnsi="Arial" w:cs="Arial"/>
          <w:lang w:val="en-US"/>
        </w:rPr>
      </w:pPr>
      <w:r w:rsidRPr="00FB2DAB">
        <w:rPr>
          <w:rFonts w:ascii="Arial" w:hAnsi="Arial" w:cs="Arial"/>
          <w:lang w:val="en-US"/>
        </w:rPr>
        <w:t xml:space="preserve">We </w:t>
      </w:r>
      <w:r w:rsidR="007473AE" w:rsidRPr="00FB2DAB">
        <w:rPr>
          <w:rFonts w:ascii="Arial" w:hAnsi="Arial" w:cs="Arial"/>
          <w:lang w:val="en-US"/>
        </w:rPr>
        <w:t xml:space="preserve">also </w:t>
      </w:r>
      <w:r w:rsidRPr="00FB2DAB">
        <w:rPr>
          <w:rFonts w:ascii="Arial" w:hAnsi="Arial" w:cs="Arial"/>
          <w:lang w:val="en-US"/>
        </w:rPr>
        <w:t xml:space="preserve">continue to </w:t>
      </w:r>
      <w:r w:rsidR="00697A7A" w:rsidRPr="00FB2DAB">
        <w:rPr>
          <w:rFonts w:ascii="Arial" w:hAnsi="Arial" w:cs="Arial"/>
          <w:lang w:val="en-US"/>
        </w:rPr>
        <w:t xml:space="preserve">feature prominently </w:t>
      </w:r>
      <w:r w:rsidRPr="00FB2DAB">
        <w:rPr>
          <w:rFonts w:ascii="Arial" w:hAnsi="Arial" w:cs="Arial"/>
          <w:lang w:val="en-US"/>
        </w:rPr>
        <w:t xml:space="preserve">in key investor indices including: </w:t>
      </w:r>
    </w:p>
    <w:p w14:paraId="3C7E735A" w14:textId="252828E2" w:rsidR="00697A7A" w:rsidRPr="00FB2DAB" w:rsidRDefault="00697A7A" w:rsidP="00AC7708">
      <w:pPr>
        <w:jc w:val="left"/>
        <w:rPr>
          <w:rFonts w:ascii="Arial" w:hAnsi="Arial" w:cs="Arial"/>
          <w:lang w:val="en-US"/>
        </w:rPr>
      </w:pPr>
    </w:p>
    <w:p w14:paraId="54C1D711" w14:textId="02811E8E" w:rsidR="00AC7708" w:rsidRPr="00FB2DAB" w:rsidRDefault="00F843A1" w:rsidP="00946D9D">
      <w:pPr>
        <w:pStyle w:val="ListParagraph"/>
        <w:numPr>
          <w:ilvl w:val="0"/>
          <w:numId w:val="8"/>
        </w:numPr>
        <w:ind w:left="720"/>
        <w:jc w:val="left"/>
        <w:rPr>
          <w:rFonts w:ascii="Arial" w:hAnsi="Arial" w:cs="Arial"/>
        </w:rPr>
      </w:pPr>
      <w:r w:rsidRPr="00FB2DAB">
        <w:rPr>
          <w:rFonts w:ascii="Arial" w:hAnsi="Arial" w:cs="Arial"/>
        </w:rPr>
        <w:t xml:space="preserve">An </w:t>
      </w:r>
      <w:r w:rsidR="00FA03D5" w:rsidRPr="00FB2DAB">
        <w:rPr>
          <w:rFonts w:ascii="Arial" w:hAnsi="Arial" w:cs="Arial"/>
        </w:rPr>
        <w:t>‘</w:t>
      </w:r>
      <w:r w:rsidR="00AC7708" w:rsidRPr="00FB2DAB">
        <w:rPr>
          <w:rFonts w:ascii="Arial" w:hAnsi="Arial" w:cs="Arial"/>
        </w:rPr>
        <w:t>AAA</w:t>
      </w:r>
      <w:r w:rsidR="00FA03D5" w:rsidRPr="00FB2DAB">
        <w:rPr>
          <w:rFonts w:ascii="Arial" w:hAnsi="Arial" w:cs="Arial"/>
        </w:rPr>
        <w:t>’</w:t>
      </w:r>
      <w:r w:rsidR="00AC7708" w:rsidRPr="00FB2DAB">
        <w:rPr>
          <w:rFonts w:ascii="Arial" w:hAnsi="Arial" w:cs="Arial"/>
        </w:rPr>
        <w:t xml:space="preserve"> rating from MSCI</w:t>
      </w:r>
      <w:r w:rsidR="009D57FF">
        <w:rPr>
          <w:rFonts w:ascii="Arial" w:hAnsi="Arial" w:cs="Arial"/>
        </w:rPr>
        <w:t>;</w:t>
      </w:r>
      <w:r w:rsidR="00AC7708" w:rsidRPr="00FB2DAB">
        <w:rPr>
          <w:rFonts w:ascii="Arial" w:hAnsi="Arial" w:cs="Arial"/>
        </w:rPr>
        <w:t xml:space="preserve"> </w:t>
      </w:r>
    </w:p>
    <w:p w14:paraId="2B64825D" w14:textId="2E7DCCFB" w:rsidR="00AC7708" w:rsidRPr="00FB2DAB" w:rsidRDefault="00AC7708" w:rsidP="00946D9D">
      <w:pPr>
        <w:pStyle w:val="ListParagraph"/>
        <w:numPr>
          <w:ilvl w:val="0"/>
          <w:numId w:val="8"/>
        </w:numPr>
        <w:ind w:left="720"/>
        <w:jc w:val="left"/>
        <w:rPr>
          <w:rFonts w:ascii="Arial" w:hAnsi="Arial" w:cs="Arial"/>
        </w:rPr>
      </w:pPr>
      <w:r w:rsidRPr="00FB2DAB">
        <w:rPr>
          <w:rFonts w:ascii="Arial" w:hAnsi="Arial" w:cs="Arial"/>
        </w:rPr>
        <w:t xml:space="preserve">Maintaining our </w:t>
      </w:r>
      <w:r w:rsidR="00FA03D5" w:rsidRPr="00FB2DAB">
        <w:rPr>
          <w:rFonts w:ascii="Arial" w:hAnsi="Arial" w:cs="Arial"/>
        </w:rPr>
        <w:t>‘</w:t>
      </w:r>
      <w:r w:rsidRPr="00FB2DAB">
        <w:rPr>
          <w:rFonts w:ascii="Arial" w:hAnsi="Arial" w:cs="Arial"/>
        </w:rPr>
        <w:t>A-</w:t>
      </w:r>
      <w:r w:rsidR="00FA03D5" w:rsidRPr="00FB2DAB">
        <w:rPr>
          <w:rFonts w:ascii="Arial" w:hAnsi="Arial" w:cs="Arial"/>
        </w:rPr>
        <w:t xml:space="preserve">’ </w:t>
      </w:r>
      <w:r w:rsidRPr="00FB2DAB">
        <w:rPr>
          <w:rFonts w:ascii="Arial" w:hAnsi="Arial" w:cs="Arial"/>
        </w:rPr>
        <w:t>leadership position in CDP Climate Change</w:t>
      </w:r>
      <w:r w:rsidR="009D57FF">
        <w:rPr>
          <w:rFonts w:ascii="Arial" w:hAnsi="Arial" w:cs="Arial"/>
        </w:rPr>
        <w:t>;</w:t>
      </w:r>
    </w:p>
    <w:p w14:paraId="49EA05CC" w14:textId="7EE6B915" w:rsidR="00AC7708" w:rsidRPr="00FB2DAB" w:rsidRDefault="00AC7708" w:rsidP="00946D9D">
      <w:pPr>
        <w:pStyle w:val="ListParagraph"/>
        <w:numPr>
          <w:ilvl w:val="0"/>
          <w:numId w:val="8"/>
        </w:numPr>
        <w:ind w:left="720"/>
        <w:jc w:val="left"/>
        <w:rPr>
          <w:rFonts w:ascii="Arial" w:hAnsi="Arial" w:cs="Arial"/>
        </w:rPr>
      </w:pPr>
      <w:r w:rsidRPr="00FB2DAB">
        <w:rPr>
          <w:rFonts w:ascii="Arial" w:hAnsi="Arial" w:cs="Arial"/>
        </w:rPr>
        <w:t>Continuing to be listed in the Dow Jones Sustainability Index (DJSI) in 2018</w:t>
      </w:r>
    </w:p>
    <w:p w14:paraId="0CA00DE6" w14:textId="77777777" w:rsidR="00AC7708" w:rsidRPr="00FB2DAB" w:rsidRDefault="00AC7708" w:rsidP="00AC7708">
      <w:pPr>
        <w:jc w:val="left"/>
        <w:rPr>
          <w:rFonts w:ascii="Arial" w:hAnsi="Arial" w:cs="Arial"/>
          <w:lang w:val="en-US"/>
        </w:rPr>
      </w:pPr>
    </w:p>
    <w:p w14:paraId="333EA508" w14:textId="209AB9B1" w:rsidR="00850C03" w:rsidRPr="00755F58" w:rsidRDefault="00AC7708" w:rsidP="00850C03">
      <w:pPr>
        <w:tabs>
          <w:tab w:val="right" w:pos="9356"/>
        </w:tabs>
        <w:jc w:val="left"/>
        <w:rPr>
          <w:rFonts w:ascii="Arial" w:hAnsi="Arial" w:cs="Arial"/>
          <w:b/>
          <w:sz w:val="24"/>
          <w:szCs w:val="24"/>
        </w:rPr>
      </w:pPr>
      <w:r w:rsidRPr="00FB2DAB">
        <w:rPr>
          <w:rFonts w:ascii="Arial" w:hAnsi="Arial" w:cs="Arial"/>
          <w:lang w:val="en-US"/>
        </w:rPr>
        <w:t xml:space="preserve">Kingfisher also </w:t>
      </w:r>
      <w:r w:rsidR="00A36294" w:rsidRPr="00FB2DAB">
        <w:rPr>
          <w:rFonts w:ascii="Arial" w:hAnsi="Arial" w:cs="Arial"/>
          <w:lang w:val="en-US"/>
        </w:rPr>
        <w:t xml:space="preserve">ranked 11th </w:t>
      </w:r>
      <w:r w:rsidRPr="00FB2DAB">
        <w:rPr>
          <w:rFonts w:ascii="Arial" w:hAnsi="Arial" w:cs="Arial"/>
          <w:lang w:val="en-US"/>
        </w:rPr>
        <w:t xml:space="preserve">in </w:t>
      </w:r>
      <w:r w:rsidR="00F843A1" w:rsidRPr="00FB2DAB">
        <w:rPr>
          <w:rFonts w:ascii="Arial" w:hAnsi="Arial" w:cs="Arial"/>
          <w:lang w:val="en-US"/>
        </w:rPr>
        <w:t>a recent study</w:t>
      </w:r>
      <w:r w:rsidR="00380445" w:rsidRPr="00FB2DAB">
        <w:rPr>
          <w:rFonts w:ascii="Arial" w:hAnsi="Arial" w:cs="Arial"/>
          <w:lang w:val="en-US"/>
        </w:rPr>
        <w:t xml:space="preserve">, published by the </w:t>
      </w:r>
      <w:r w:rsidR="00380445" w:rsidRPr="00FB2DAB">
        <w:rPr>
          <w:rFonts w:ascii="Arial" w:hAnsi="Arial" w:cs="Arial"/>
        </w:rPr>
        <w:t>Business and Human Rights Resource Centre (BHRRC), a monitoring group,</w:t>
      </w:r>
      <w:r w:rsidR="00F843A1" w:rsidRPr="00FB2DAB">
        <w:rPr>
          <w:rFonts w:ascii="Arial" w:hAnsi="Arial" w:cs="Arial"/>
          <w:lang w:val="en-US"/>
        </w:rPr>
        <w:t xml:space="preserve"> </w:t>
      </w:r>
      <w:r w:rsidRPr="00FB2DAB">
        <w:rPr>
          <w:rFonts w:ascii="Arial" w:hAnsi="Arial" w:cs="Arial"/>
          <w:lang w:val="en-US"/>
        </w:rPr>
        <w:t xml:space="preserve">of Modern Slavery </w:t>
      </w:r>
      <w:r w:rsidR="00F843A1" w:rsidRPr="00FB2DAB">
        <w:rPr>
          <w:rFonts w:ascii="Arial" w:hAnsi="Arial" w:cs="Arial"/>
          <w:lang w:val="en-US"/>
        </w:rPr>
        <w:t>Act s</w:t>
      </w:r>
      <w:r w:rsidRPr="00FB2DAB">
        <w:rPr>
          <w:rFonts w:ascii="Arial" w:hAnsi="Arial" w:cs="Arial"/>
          <w:lang w:val="en-US"/>
        </w:rPr>
        <w:t>tatements</w:t>
      </w:r>
      <w:r w:rsidR="00380445" w:rsidRPr="00FB2DAB">
        <w:rPr>
          <w:rFonts w:ascii="Arial" w:hAnsi="Arial" w:cs="Arial"/>
          <w:lang w:val="en-US"/>
        </w:rPr>
        <w:t xml:space="preserve"> by FTSE 100 companies listed on the London Stock Exchange</w:t>
      </w:r>
      <w:r w:rsidRPr="00FB2DAB">
        <w:rPr>
          <w:rFonts w:ascii="Arial" w:hAnsi="Arial" w:cs="Arial"/>
          <w:lang w:val="en-US"/>
        </w:rPr>
        <w:t xml:space="preserve">. </w:t>
      </w:r>
      <w:r w:rsidR="007473AE" w:rsidRPr="00E630F1">
        <w:rPr>
          <w:rFonts w:ascii="Arial" w:hAnsi="Arial" w:cs="Arial"/>
        </w:rPr>
        <w:t>Please visit</w:t>
      </w:r>
      <w:r w:rsidR="007473AE" w:rsidRPr="00755F58">
        <w:rPr>
          <w:rStyle w:val="Hyperlink"/>
          <w:rFonts w:ascii="Arial" w:hAnsi="Arial" w:cs="Arial"/>
          <w:i/>
          <w:u w:val="none"/>
        </w:rPr>
        <w:t xml:space="preserve"> </w:t>
      </w:r>
      <w:hyperlink r:id="rId13" w:history="1">
        <w:r w:rsidR="007473AE" w:rsidRPr="00755F58">
          <w:rPr>
            <w:rStyle w:val="Hyperlink"/>
            <w:rFonts w:ascii="Arial" w:hAnsi="Arial" w:cs="Arial"/>
          </w:rPr>
          <w:t>www.kingfisher.com/sustainability</w:t>
        </w:r>
      </w:hyperlink>
      <w:r w:rsidR="00850C03" w:rsidRPr="00755F58">
        <w:rPr>
          <w:rFonts w:ascii="Arial" w:hAnsi="Arial" w:cs="Arial"/>
        </w:rPr>
        <w:t xml:space="preserve"> </w:t>
      </w:r>
      <w:r w:rsidR="007473AE" w:rsidRPr="00755F58">
        <w:rPr>
          <w:rFonts w:ascii="Arial" w:hAnsi="Arial" w:cs="Arial"/>
        </w:rPr>
        <w:t>for further details.</w:t>
      </w:r>
    </w:p>
    <w:bookmarkEnd w:id="17"/>
    <w:bookmarkEnd w:id="19"/>
    <w:p w14:paraId="2A882A2E" w14:textId="77777777" w:rsidR="00BF0C3B" w:rsidRPr="00755F58" w:rsidRDefault="00BF0C3B" w:rsidP="00134B83">
      <w:pPr>
        <w:spacing w:after="200"/>
        <w:contextualSpacing/>
        <w:jc w:val="left"/>
        <w:rPr>
          <w:rFonts w:ascii="Arial" w:hAnsi="Arial" w:cs="Arial"/>
          <w:b/>
        </w:rPr>
      </w:pPr>
    </w:p>
    <w:p w14:paraId="22C54AFF" w14:textId="29DEFC6A" w:rsidR="00134B83" w:rsidRPr="00FC41B5" w:rsidRDefault="00134B83" w:rsidP="00134B83">
      <w:pPr>
        <w:spacing w:after="200"/>
        <w:contextualSpacing/>
        <w:jc w:val="left"/>
        <w:rPr>
          <w:rFonts w:ascii="Arial" w:hAnsi="Arial" w:cs="Arial"/>
          <w:b/>
        </w:rPr>
      </w:pPr>
      <w:bookmarkStart w:id="21" w:name="_Hlk2619387"/>
      <w:bookmarkEnd w:id="18"/>
      <w:r w:rsidRPr="00FC41B5">
        <w:rPr>
          <w:rFonts w:ascii="Arial" w:hAnsi="Arial" w:cs="Arial"/>
          <w:b/>
        </w:rPr>
        <w:t>Summary</w:t>
      </w:r>
      <w:r w:rsidR="00CC518E" w:rsidRPr="00FC41B5">
        <w:rPr>
          <w:rFonts w:ascii="Arial" w:hAnsi="Arial" w:cs="Arial"/>
          <w:b/>
        </w:rPr>
        <w:t xml:space="preserve"> &amp; outlook</w:t>
      </w:r>
    </w:p>
    <w:p w14:paraId="05DACC6B" w14:textId="77777777" w:rsidR="00134B83" w:rsidRPr="00E34F9F" w:rsidRDefault="00134B83" w:rsidP="001B1EFA">
      <w:pPr>
        <w:jc w:val="left"/>
        <w:rPr>
          <w:rFonts w:ascii="Arial" w:hAnsi="Arial" w:cs="Arial"/>
          <w:lang w:val="en-US"/>
        </w:rPr>
      </w:pPr>
    </w:p>
    <w:p w14:paraId="500CE533" w14:textId="6AD287CD" w:rsidR="00BC5AFA" w:rsidRPr="00E630F1" w:rsidRDefault="00B1512C" w:rsidP="00EE4E92">
      <w:pPr>
        <w:jc w:val="left"/>
        <w:rPr>
          <w:rFonts w:ascii="Arial" w:hAnsi="Arial" w:cs="Arial"/>
          <w:lang w:val="en-US"/>
        </w:rPr>
      </w:pPr>
      <w:r w:rsidRPr="00E630F1">
        <w:rPr>
          <w:rFonts w:ascii="Arial" w:hAnsi="Arial" w:cs="Arial"/>
          <w:lang w:val="en-US"/>
        </w:rPr>
        <w:t xml:space="preserve">The </w:t>
      </w:r>
      <w:r w:rsidR="00307305">
        <w:rPr>
          <w:rFonts w:ascii="Arial" w:hAnsi="Arial" w:cs="Arial"/>
          <w:lang w:val="en-US"/>
        </w:rPr>
        <w:t xml:space="preserve">building </w:t>
      </w:r>
      <w:r w:rsidRPr="00E630F1">
        <w:rPr>
          <w:rFonts w:ascii="Arial" w:hAnsi="Arial" w:cs="Arial"/>
          <w:lang w:val="en-US"/>
        </w:rPr>
        <w:t xml:space="preserve">of Kingfisher’s ‘engine’ is now </w:t>
      </w:r>
      <w:r w:rsidR="00CE4AC8">
        <w:rPr>
          <w:rFonts w:ascii="Arial" w:hAnsi="Arial" w:cs="Arial"/>
          <w:lang w:val="en-US"/>
        </w:rPr>
        <w:t>nearing completion</w:t>
      </w:r>
      <w:r w:rsidR="00307305">
        <w:rPr>
          <w:rFonts w:ascii="Arial" w:hAnsi="Arial" w:cs="Arial"/>
          <w:lang w:val="en-US"/>
        </w:rPr>
        <w:t xml:space="preserve">. We have </w:t>
      </w:r>
      <w:r w:rsidR="000043B5">
        <w:rPr>
          <w:rFonts w:ascii="Arial" w:hAnsi="Arial" w:cs="Arial"/>
          <w:lang w:val="en-US"/>
        </w:rPr>
        <w:t xml:space="preserve">now </w:t>
      </w:r>
      <w:r w:rsidRPr="00E630F1">
        <w:rPr>
          <w:rFonts w:ascii="Arial" w:hAnsi="Arial" w:cs="Arial"/>
          <w:lang w:val="en-US"/>
        </w:rPr>
        <w:t xml:space="preserve">reached a critical mass of </w:t>
      </w:r>
      <w:r w:rsidR="000043B5">
        <w:rPr>
          <w:rFonts w:ascii="Arial" w:hAnsi="Arial" w:cs="Arial"/>
          <w:lang w:val="en-US"/>
        </w:rPr>
        <w:t xml:space="preserve">both </w:t>
      </w:r>
      <w:r w:rsidRPr="00E630F1">
        <w:rPr>
          <w:rFonts w:ascii="Arial" w:hAnsi="Arial" w:cs="Arial"/>
          <w:lang w:val="en-US"/>
        </w:rPr>
        <w:t>unified product</w:t>
      </w:r>
      <w:r w:rsidR="000043B5">
        <w:rPr>
          <w:rFonts w:ascii="Arial" w:hAnsi="Arial" w:cs="Arial"/>
          <w:lang w:val="en-US"/>
        </w:rPr>
        <w:t xml:space="preserve"> and the rollout of our </w:t>
      </w:r>
      <w:r w:rsidRPr="00E630F1">
        <w:rPr>
          <w:rFonts w:ascii="Arial" w:hAnsi="Arial" w:cs="Arial"/>
          <w:lang w:val="en-US"/>
        </w:rPr>
        <w:t>unified IT platform</w:t>
      </w:r>
      <w:r w:rsidR="00BC1EC4">
        <w:rPr>
          <w:rFonts w:ascii="Arial" w:hAnsi="Arial" w:cs="Arial"/>
          <w:lang w:val="en-US"/>
        </w:rPr>
        <w:t>,</w:t>
      </w:r>
      <w:r w:rsidRPr="00E630F1">
        <w:rPr>
          <w:rFonts w:ascii="Arial" w:hAnsi="Arial" w:cs="Arial"/>
          <w:lang w:val="en-US"/>
        </w:rPr>
        <w:t xml:space="preserve"> </w:t>
      </w:r>
      <w:r w:rsidR="000043B5">
        <w:rPr>
          <w:rFonts w:ascii="Arial" w:hAnsi="Arial" w:cs="Arial"/>
          <w:lang w:val="en-US"/>
        </w:rPr>
        <w:t xml:space="preserve">whilst </w:t>
      </w:r>
      <w:r w:rsidR="00E32906" w:rsidRPr="00E630F1">
        <w:rPr>
          <w:rFonts w:ascii="Arial" w:hAnsi="Arial" w:cs="Arial"/>
          <w:lang w:val="en-US"/>
        </w:rPr>
        <w:t>unlock</w:t>
      </w:r>
      <w:r w:rsidR="000043B5">
        <w:rPr>
          <w:rFonts w:ascii="Arial" w:hAnsi="Arial" w:cs="Arial"/>
          <w:lang w:val="en-US"/>
        </w:rPr>
        <w:t>ing</w:t>
      </w:r>
      <w:r w:rsidR="00E32906" w:rsidRPr="00E630F1">
        <w:rPr>
          <w:rFonts w:ascii="Arial" w:hAnsi="Arial" w:cs="Arial"/>
          <w:lang w:val="en-US"/>
        </w:rPr>
        <w:t xml:space="preserve"> </w:t>
      </w:r>
      <w:r w:rsidRPr="00E630F1">
        <w:rPr>
          <w:rFonts w:ascii="Arial" w:hAnsi="Arial" w:cs="Arial"/>
          <w:lang w:val="en-US"/>
        </w:rPr>
        <w:t>significant operational efficienc</w:t>
      </w:r>
      <w:r w:rsidR="00E32906" w:rsidRPr="00E630F1">
        <w:rPr>
          <w:rFonts w:ascii="Arial" w:hAnsi="Arial" w:cs="Arial"/>
          <w:lang w:val="en-US"/>
        </w:rPr>
        <w:t>y benefits</w:t>
      </w:r>
      <w:r w:rsidRPr="00E630F1">
        <w:rPr>
          <w:rFonts w:ascii="Arial" w:hAnsi="Arial" w:cs="Arial"/>
          <w:lang w:val="en-US"/>
        </w:rPr>
        <w:t xml:space="preserve">. </w:t>
      </w:r>
      <w:r w:rsidR="00924377">
        <w:rPr>
          <w:rFonts w:ascii="Arial" w:hAnsi="Arial" w:cs="Arial"/>
          <w:lang w:val="en-US"/>
        </w:rPr>
        <w:t xml:space="preserve">We </w:t>
      </w:r>
      <w:r w:rsidR="00307305">
        <w:rPr>
          <w:rFonts w:ascii="Arial" w:hAnsi="Arial" w:cs="Arial"/>
          <w:lang w:val="en-US"/>
        </w:rPr>
        <w:t xml:space="preserve">have </w:t>
      </w:r>
      <w:r w:rsidR="00924377">
        <w:rPr>
          <w:rFonts w:ascii="Arial" w:hAnsi="Arial" w:cs="Arial"/>
          <w:lang w:val="en-US"/>
        </w:rPr>
        <w:t xml:space="preserve">also </w:t>
      </w:r>
      <w:r w:rsidR="00924377">
        <w:rPr>
          <w:rFonts w:ascii="Arial" w:hAnsi="Arial" w:cs="Arial"/>
          <w:bCs/>
        </w:rPr>
        <w:t>fulfilled our commitment to return £600m via share buyback over the first three years of the transformation plan</w:t>
      </w:r>
      <w:r w:rsidR="00307305">
        <w:rPr>
          <w:rFonts w:ascii="Arial" w:hAnsi="Arial" w:cs="Arial"/>
          <w:bCs/>
        </w:rPr>
        <w:t xml:space="preserve">, in addition to </w:t>
      </w:r>
      <w:r w:rsidR="00AD0281">
        <w:rPr>
          <w:rFonts w:ascii="Arial" w:hAnsi="Arial" w:cs="Arial"/>
          <w:bCs/>
        </w:rPr>
        <w:t xml:space="preserve">ordinary dividends </w:t>
      </w:r>
      <w:r w:rsidR="00307305">
        <w:rPr>
          <w:rFonts w:ascii="Arial" w:hAnsi="Arial" w:cs="Arial"/>
          <w:bCs/>
        </w:rPr>
        <w:t>of £</w:t>
      </w:r>
      <w:r w:rsidR="008B6A9F">
        <w:rPr>
          <w:rFonts w:ascii="Arial" w:hAnsi="Arial" w:cs="Arial"/>
          <w:bCs/>
        </w:rPr>
        <w:t>6</w:t>
      </w:r>
      <w:r w:rsidR="008B6A9F" w:rsidRPr="0035009E">
        <w:rPr>
          <w:rFonts w:ascii="Arial" w:hAnsi="Arial" w:cs="Arial"/>
          <w:bCs/>
        </w:rPr>
        <w:t>92</w:t>
      </w:r>
      <w:r w:rsidR="00307305">
        <w:rPr>
          <w:rFonts w:ascii="Arial" w:hAnsi="Arial" w:cs="Arial"/>
          <w:bCs/>
        </w:rPr>
        <w:t>m over the same period</w:t>
      </w:r>
      <w:r w:rsidR="00924377">
        <w:rPr>
          <w:rFonts w:ascii="Arial" w:hAnsi="Arial" w:cs="Arial"/>
          <w:bCs/>
        </w:rPr>
        <w:t>.</w:t>
      </w:r>
      <w:r w:rsidR="00924377" w:rsidRPr="00924377" w:rsidDel="00E34F9F">
        <w:rPr>
          <w:rFonts w:ascii="Arial" w:hAnsi="Arial" w:cs="Arial"/>
          <w:lang w:val="en-US"/>
        </w:rPr>
        <w:t xml:space="preserve"> </w:t>
      </w:r>
    </w:p>
    <w:p w14:paraId="38DE5EE3" w14:textId="4FFE0AD7" w:rsidR="00BC5AFA" w:rsidRPr="00E630F1" w:rsidRDefault="00BC5AFA" w:rsidP="00EE4E92">
      <w:pPr>
        <w:jc w:val="left"/>
        <w:rPr>
          <w:rFonts w:ascii="Arial" w:hAnsi="Arial" w:cs="Arial"/>
          <w:lang w:val="en-US"/>
        </w:rPr>
      </w:pPr>
    </w:p>
    <w:p w14:paraId="7D8E40E5" w14:textId="29B0AEC6" w:rsidR="00A07002" w:rsidRDefault="009C750B" w:rsidP="00BC5AFA">
      <w:pPr>
        <w:jc w:val="left"/>
        <w:rPr>
          <w:rFonts w:ascii="Arial" w:hAnsi="Arial" w:cs="Arial"/>
          <w:bCs/>
          <w:szCs w:val="24"/>
        </w:rPr>
      </w:pPr>
      <w:r>
        <w:rPr>
          <w:rFonts w:ascii="Arial" w:hAnsi="Arial" w:cs="Arial"/>
          <w:bCs/>
          <w:szCs w:val="24"/>
        </w:rPr>
        <w:t xml:space="preserve">During </w:t>
      </w:r>
      <w:r w:rsidR="00A13D10">
        <w:rPr>
          <w:rFonts w:ascii="Arial" w:hAnsi="Arial" w:cs="Arial"/>
          <w:bCs/>
          <w:szCs w:val="24"/>
        </w:rPr>
        <w:t>FY 18/19</w:t>
      </w:r>
      <w:r>
        <w:rPr>
          <w:rFonts w:ascii="Arial" w:hAnsi="Arial" w:cs="Arial"/>
          <w:bCs/>
          <w:szCs w:val="24"/>
        </w:rPr>
        <w:t>, o</w:t>
      </w:r>
      <w:r w:rsidR="00BC5AFA" w:rsidRPr="00BC5AFA">
        <w:rPr>
          <w:rFonts w:ascii="Arial" w:hAnsi="Arial" w:cs="Arial"/>
          <w:bCs/>
          <w:szCs w:val="24"/>
        </w:rPr>
        <w:t>ur financial performance was mixed due to a combination of internal challenges and the external macro</w:t>
      </w:r>
      <w:r w:rsidR="00BC5AFA">
        <w:rPr>
          <w:rFonts w:ascii="Arial" w:hAnsi="Arial" w:cs="Arial"/>
          <w:bCs/>
          <w:szCs w:val="24"/>
        </w:rPr>
        <w:t>economic</w:t>
      </w:r>
      <w:r w:rsidR="00BC5AFA" w:rsidRPr="00BC5AFA">
        <w:rPr>
          <w:rFonts w:ascii="Arial" w:hAnsi="Arial" w:cs="Arial"/>
          <w:bCs/>
          <w:szCs w:val="24"/>
        </w:rPr>
        <w:t xml:space="preserve"> environment.</w:t>
      </w:r>
      <w:r w:rsidR="00BC5AFA">
        <w:rPr>
          <w:rFonts w:ascii="Arial" w:hAnsi="Arial" w:cs="Arial"/>
          <w:bCs/>
          <w:szCs w:val="24"/>
        </w:rPr>
        <w:t xml:space="preserve"> </w:t>
      </w:r>
      <w:r w:rsidR="00D047C3">
        <w:rPr>
          <w:rFonts w:ascii="Arial" w:hAnsi="Arial" w:cs="Arial"/>
          <w:bCs/>
          <w:szCs w:val="24"/>
        </w:rPr>
        <w:t>T</w:t>
      </w:r>
      <w:r w:rsidR="00D047C3" w:rsidRPr="00A26EF8">
        <w:rPr>
          <w:rFonts w:ascii="Arial" w:hAnsi="Arial" w:cs="Arial"/>
          <w:bCs/>
          <w:szCs w:val="24"/>
        </w:rPr>
        <w:t xml:space="preserve">he UK, </w:t>
      </w:r>
      <w:r w:rsidR="00D047C3" w:rsidRPr="00D047C3">
        <w:rPr>
          <w:rFonts w:ascii="Arial" w:hAnsi="Arial" w:cs="Arial"/>
          <w:bCs/>
          <w:szCs w:val="24"/>
        </w:rPr>
        <w:t xml:space="preserve">Poland and Brico Dépôt France performed well, leveraging the benefits of our transformation, and </w:t>
      </w:r>
      <w:r w:rsidR="00A13D10">
        <w:rPr>
          <w:rFonts w:ascii="Arial" w:hAnsi="Arial" w:cs="Arial"/>
          <w:bCs/>
          <w:szCs w:val="24"/>
        </w:rPr>
        <w:t xml:space="preserve">at a Group level </w:t>
      </w:r>
      <w:r w:rsidR="00D047C3" w:rsidRPr="00D047C3">
        <w:rPr>
          <w:rFonts w:ascii="Arial" w:hAnsi="Arial" w:cs="Arial"/>
          <w:bCs/>
          <w:szCs w:val="24"/>
        </w:rPr>
        <w:t xml:space="preserve">we </w:t>
      </w:r>
      <w:r w:rsidR="00D047C3" w:rsidRPr="00E630F1">
        <w:rPr>
          <w:rFonts w:ascii="Arial" w:hAnsi="Arial" w:cs="Arial"/>
          <w:bCs/>
          <w:szCs w:val="24"/>
        </w:rPr>
        <w:t xml:space="preserve">delivered </w:t>
      </w:r>
      <w:r w:rsidR="00D047C3">
        <w:rPr>
          <w:rFonts w:ascii="Arial" w:hAnsi="Arial" w:cs="Arial"/>
          <w:bCs/>
          <w:szCs w:val="24"/>
        </w:rPr>
        <w:t xml:space="preserve">solid gross </w:t>
      </w:r>
      <w:r w:rsidR="00D047C3" w:rsidRPr="00E630F1">
        <w:rPr>
          <w:rFonts w:ascii="Arial" w:hAnsi="Arial" w:cs="Arial"/>
          <w:bCs/>
          <w:szCs w:val="24"/>
        </w:rPr>
        <w:t>margin progression in the second half of the year</w:t>
      </w:r>
      <w:r w:rsidR="00D047C3" w:rsidRPr="00D047C3">
        <w:rPr>
          <w:rFonts w:ascii="Arial" w:hAnsi="Arial" w:cs="Arial"/>
          <w:bCs/>
          <w:szCs w:val="24"/>
        </w:rPr>
        <w:t xml:space="preserve">. However, </w:t>
      </w:r>
      <w:r w:rsidR="00CA3839">
        <w:rPr>
          <w:rFonts w:ascii="Arial" w:hAnsi="Arial" w:cs="Arial"/>
          <w:bCs/>
          <w:szCs w:val="24"/>
        </w:rPr>
        <w:t xml:space="preserve">the performance of </w:t>
      </w:r>
      <w:r w:rsidR="00D047C3" w:rsidRPr="00D047C3">
        <w:rPr>
          <w:rFonts w:ascii="Arial" w:hAnsi="Arial" w:cs="Arial"/>
          <w:bCs/>
          <w:szCs w:val="24"/>
        </w:rPr>
        <w:t>Castorama</w:t>
      </w:r>
      <w:r w:rsidR="00D047C3" w:rsidRPr="00A26EF8">
        <w:rPr>
          <w:rFonts w:ascii="Arial" w:hAnsi="Arial" w:cs="Arial"/>
          <w:bCs/>
          <w:szCs w:val="24"/>
        </w:rPr>
        <w:t xml:space="preserve"> </w:t>
      </w:r>
      <w:r w:rsidR="00D047C3" w:rsidRPr="00D047C3">
        <w:rPr>
          <w:rFonts w:ascii="Arial" w:hAnsi="Arial" w:cs="Arial"/>
          <w:bCs/>
          <w:szCs w:val="24"/>
        </w:rPr>
        <w:t xml:space="preserve">France has been disappointing and we are </w:t>
      </w:r>
      <w:r w:rsidR="00AD0281">
        <w:rPr>
          <w:rFonts w:ascii="Arial" w:hAnsi="Arial" w:cs="Arial"/>
          <w:bCs/>
          <w:szCs w:val="24"/>
        </w:rPr>
        <w:t xml:space="preserve">in the process of </w:t>
      </w:r>
      <w:r w:rsidR="00D047C3" w:rsidRPr="00D047C3">
        <w:rPr>
          <w:rFonts w:ascii="Arial" w:hAnsi="Arial" w:cs="Arial"/>
          <w:bCs/>
          <w:szCs w:val="24"/>
        </w:rPr>
        <w:t xml:space="preserve">implementing a clear plan to sustainably improve its </w:t>
      </w:r>
      <w:r w:rsidR="00CA3839">
        <w:rPr>
          <w:rFonts w:ascii="Arial" w:hAnsi="Arial" w:cs="Arial"/>
          <w:bCs/>
          <w:szCs w:val="24"/>
        </w:rPr>
        <w:t>results</w:t>
      </w:r>
      <w:r w:rsidR="00D047C3" w:rsidRPr="00D047C3">
        <w:rPr>
          <w:rFonts w:ascii="Arial" w:hAnsi="Arial" w:cs="Arial"/>
          <w:bCs/>
          <w:szCs w:val="24"/>
        </w:rPr>
        <w:t>.</w:t>
      </w:r>
      <w:r w:rsidR="00BC5AFA" w:rsidRPr="00D047C3">
        <w:rPr>
          <w:rFonts w:ascii="Arial" w:hAnsi="Arial" w:cs="Arial"/>
          <w:bCs/>
          <w:szCs w:val="24"/>
        </w:rPr>
        <w:t> </w:t>
      </w:r>
    </w:p>
    <w:p w14:paraId="5C25B74C" w14:textId="77777777" w:rsidR="00A07002" w:rsidRDefault="00A07002" w:rsidP="00BC5AFA">
      <w:pPr>
        <w:jc w:val="left"/>
        <w:rPr>
          <w:rFonts w:ascii="Arial" w:hAnsi="Arial" w:cs="Arial"/>
          <w:bCs/>
          <w:szCs w:val="24"/>
        </w:rPr>
      </w:pPr>
    </w:p>
    <w:p w14:paraId="1FDDFF47" w14:textId="289FEE5E" w:rsidR="00AD0281" w:rsidRDefault="00A07002" w:rsidP="00EE4E92">
      <w:pPr>
        <w:jc w:val="left"/>
        <w:rPr>
          <w:rFonts w:ascii="Arial" w:hAnsi="Arial" w:cs="Arial"/>
          <w:bCs/>
          <w:szCs w:val="24"/>
        </w:rPr>
      </w:pPr>
      <w:r w:rsidRPr="0035009E">
        <w:rPr>
          <w:rFonts w:ascii="Arial" w:hAnsi="Arial" w:cs="Arial"/>
          <w:bCs/>
          <w:szCs w:val="24"/>
        </w:rPr>
        <w:t xml:space="preserve">In Q3 we took the decision to exit </w:t>
      </w:r>
      <w:r w:rsidR="00D43659" w:rsidRPr="009D57FF">
        <w:rPr>
          <w:rFonts w:ascii="Arial" w:hAnsi="Arial" w:cs="Arial"/>
          <w:bCs/>
          <w:szCs w:val="24"/>
        </w:rPr>
        <w:t>Russia</w:t>
      </w:r>
      <w:r w:rsidR="00BC1A65" w:rsidRPr="0035009E">
        <w:rPr>
          <w:rFonts w:ascii="Arial" w:hAnsi="Arial" w:cs="Arial"/>
          <w:bCs/>
          <w:szCs w:val="24"/>
        </w:rPr>
        <w:t xml:space="preserve"> and Iberia</w:t>
      </w:r>
      <w:r w:rsidR="00D43659" w:rsidRPr="009D57FF">
        <w:rPr>
          <w:rFonts w:ascii="Arial" w:hAnsi="Arial" w:cs="Arial"/>
          <w:bCs/>
          <w:szCs w:val="24"/>
        </w:rPr>
        <w:t xml:space="preserve"> </w:t>
      </w:r>
      <w:r w:rsidRPr="0035009E">
        <w:rPr>
          <w:rFonts w:ascii="Arial" w:hAnsi="Arial" w:cs="Arial"/>
          <w:bCs/>
          <w:szCs w:val="24"/>
        </w:rPr>
        <w:t xml:space="preserve">to focus on markets where we </w:t>
      </w:r>
      <w:proofErr w:type="gramStart"/>
      <w:r w:rsidRPr="0035009E">
        <w:rPr>
          <w:rFonts w:ascii="Arial" w:hAnsi="Arial" w:cs="Arial"/>
          <w:bCs/>
          <w:szCs w:val="24"/>
        </w:rPr>
        <w:t>are, or</w:t>
      </w:r>
      <w:proofErr w:type="gramEnd"/>
      <w:r w:rsidRPr="0035009E">
        <w:rPr>
          <w:rFonts w:ascii="Arial" w:hAnsi="Arial" w:cs="Arial"/>
          <w:bCs/>
          <w:szCs w:val="24"/>
        </w:rPr>
        <w:t xml:space="preserve"> can be leading. We</w:t>
      </w:r>
      <w:r w:rsidR="000747D4" w:rsidRPr="0035009E">
        <w:rPr>
          <w:rFonts w:ascii="Arial" w:hAnsi="Arial" w:cs="Arial"/>
          <w:bCs/>
          <w:szCs w:val="24"/>
        </w:rPr>
        <w:t xml:space="preserve"> are</w:t>
      </w:r>
      <w:r w:rsidR="000747D4" w:rsidRPr="009D57FF">
        <w:rPr>
          <w:rFonts w:ascii="Arial" w:hAnsi="Arial" w:cs="Arial"/>
          <w:bCs/>
          <w:szCs w:val="24"/>
        </w:rPr>
        <w:t xml:space="preserve"> </w:t>
      </w:r>
      <w:r w:rsidRPr="0035009E">
        <w:rPr>
          <w:rFonts w:ascii="Arial" w:hAnsi="Arial" w:cs="Arial"/>
          <w:bCs/>
          <w:szCs w:val="24"/>
        </w:rPr>
        <w:t xml:space="preserve">also </w:t>
      </w:r>
      <w:r w:rsidR="00230388" w:rsidRPr="0035009E">
        <w:rPr>
          <w:rFonts w:ascii="Arial" w:hAnsi="Arial" w:cs="Arial"/>
          <w:bCs/>
          <w:szCs w:val="24"/>
        </w:rPr>
        <w:t xml:space="preserve">considering the </w:t>
      </w:r>
      <w:r w:rsidR="00D43659" w:rsidRPr="009D57FF">
        <w:rPr>
          <w:rFonts w:ascii="Arial" w:hAnsi="Arial" w:cs="Arial"/>
          <w:bCs/>
          <w:szCs w:val="24"/>
        </w:rPr>
        <w:t>clos</w:t>
      </w:r>
      <w:r w:rsidR="00230388" w:rsidRPr="0035009E">
        <w:rPr>
          <w:rFonts w:ascii="Arial" w:hAnsi="Arial" w:cs="Arial"/>
          <w:bCs/>
          <w:szCs w:val="24"/>
        </w:rPr>
        <w:t>ure of</w:t>
      </w:r>
      <w:r w:rsidR="00D43659" w:rsidRPr="009D57FF">
        <w:rPr>
          <w:rFonts w:ascii="Arial" w:hAnsi="Arial" w:cs="Arial"/>
          <w:bCs/>
          <w:szCs w:val="24"/>
        </w:rPr>
        <w:t xml:space="preserve"> </w:t>
      </w:r>
      <w:r w:rsidR="00230388" w:rsidRPr="0035009E">
        <w:rPr>
          <w:rFonts w:ascii="Arial" w:hAnsi="Arial" w:cs="Arial"/>
          <w:bCs/>
          <w:szCs w:val="24"/>
        </w:rPr>
        <w:t xml:space="preserve">15 </w:t>
      </w:r>
      <w:r w:rsidR="00D43659" w:rsidRPr="009D57FF">
        <w:rPr>
          <w:rFonts w:ascii="Arial" w:hAnsi="Arial" w:cs="Arial"/>
          <w:bCs/>
          <w:szCs w:val="24"/>
        </w:rPr>
        <w:t>underperforming stores</w:t>
      </w:r>
      <w:r w:rsidR="00CA3839" w:rsidRPr="009D57FF">
        <w:rPr>
          <w:rFonts w:ascii="Arial" w:hAnsi="Arial" w:cs="Arial"/>
          <w:bCs/>
          <w:szCs w:val="24"/>
        </w:rPr>
        <w:t xml:space="preserve"> across </w:t>
      </w:r>
      <w:r w:rsidR="00054408">
        <w:rPr>
          <w:rFonts w:ascii="Arial" w:hAnsi="Arial" w:cs="Arial"/>
          <w:bCs/>
          <w:szCs w:val="24"/>
        </w:rPr>
        <w:t>the</w:t>
      </w:r>
      <w:r w:rsidR="00054408" w:rsidRPr="009D57FF">
        <w:rPr>
          <w:rFonts w:ascii="Arial" w:hAnsi="Arial" w:cs="Arial"/>
          <w:bCs/>
          <w:szCs w:val="24"/>
        </w:rPr>
        <w:t xml:space="preserve"> </w:t>
      </w:r>
      <w:r w:rsidR="00CA3839" w:rsidRPr="009D57FF">
        <w:rPr>
          <w:rFonts w:ascii="Arial" w:hAnsi="Arial" w:cs="Arial"/>
          <w:bCs/>
          <w:szCs w:val="24"/>
        </w:rPr>
        <w:t xml:space="preserve">business over the </w:t>
      </w:r>
      <w:r w:rsidR="000747D4" w:rsidRPr="0035009E">
        <w:rPr>
          <w:rFonts w:ascii="Arial" w:hAnsi="Arial" w:cs="Arial"/>
          <w:bCs/>
          <w:szCs w:val="24"/>
        </w:rPr>
        <w:t xml:space="preserve">next </w:t>
      </w:r>
      <w:r w:rsidR="00230388" w:rsidRPr="009D57FF">
        <w:rPr>
          <w:rFonts w:ascii="Arial" w:hAnsi="Arial" w:cs="Arial"/>
          <w:bCs/>
          <w:szCs w:val="24"/>
        </w:rPr>
        <w:t>two</w:t>
      </w:r>
      <w:r w:rsidR="00CA3839" w:rsidRPr="009D57FF">
        <w:rPr>
          <w:rFonts w:ascii="Arial" w:hAnsi="Arial" w:cs="Arial"/>
          <w:bCs/>
          <w:szCs w:val="24"/>
        </w:rPr>
        <w:t xml:space="preserve"> years</w:t>
      </w:r>
      <w:r w:rsidR="00AC7D1F" w:rsidRPr="0035009E">
        <w:rPr>
          <w:rFonts w:ascii="Arial" w:hAnsi="Arial" w:cs="Arial"/>
          <w:bCs/>
          <w:szCs w:val="24"/>
        </w:rPr>
        <w:t xml:space="preserve"> and</w:t>
      </w:r>
      <w:r w:rsidRPr="009D57FF">
        <w:rPr>
          <w:rFonts w:ascii="Arial" w:hAnsi="Arial" w:cs="Arial"/>
        </w:rPr>
        <w:t xml:space="preserve"> have</w:t>
      </w:r>
      <w:r>
        <w:rPr>
          <w:rFonts w:ascii="Arial" w:hAnsi="Arial" w:cs="Arial"/>
        </w:rPr>
        <w:t xml:space="preserve"> taken the decision to close all 19 of our Screwfix Germany outlets, while retaining an online presence.</w:t>
      </w:r>
      <w:r w:rsidR="00613DF2">
        <w:rPr>
          <w:rFonts w:ascii="Arial" w:hAnsi="Arial" w:cs="Arial"/>
        </w:rPr>
        <w:t xml:space="preserve"> </w:t>
      </w:r>
      <w:r w:rsidR="00AD0281" w:rsidRPr="00A26EF8">
        <w:rPr>
          <w:rFonts w:ascii="Arial" w:hAnsi="Arial" w:cs="Arial"/>
          <w:bCs/>
          <w:szCs w:val="24"/>
        </w:rPr>
        <w:t>Screwfix’s leading omnichannel proposition has consistently delivered strong growth in recent years and we have identified additional expansion opportunities in both the UK and in new markets, initially in</w:t>
      </w:r>
      <w:r w:rsidR="009D528F">
        <w:rPr>
          <w:rFonts w:ascii="Arial" w:hAnsi="Arial" w:cs="Arial"/>
          <w:bCs/>
          <w:szCs w:val="24"/>
        </w:rPr>
        <w:t xml:space="preserve"> the Republic of</w:t>
      </w:r>
      <w:r w:rsidR="00AD0281" w:rsidRPr="00A26EF8">
        <w:rPr>
          <w:rFonts w:ascii="Arial" w:hAnsi="Arial" w:cs="Arial"/>
          <w:bCs/>
          <w:szCs w:val="24"/>
        </w:rPr>
        <w:t xml:space="preserve"> Ireland.</w:t>
      </w:r>
    </w:p>
    <w:p w14:paraId="17A9BC9C" w14:textId="77777777" w:rsidR="00AD0281" w:rsidRDefault="00AD0281" w:rsidP="00EE4E92">
      <w:pPr>
        <w:jc w:val="left"/>
        <w:rPr>
          <w:rFonts w:ascii="Arial" w:hAnsi="Arial" w:cs="Arial"/>
          <w:bCs/>
          <w:szCs w:val="24"/>
        </w:rPr>
      </w:pPr>
    </w:p>
    <w:p w14:paraId="5F6575DD" w14:textId="407C3237" w:rsidR="00CA3839" w:rsidRDefault="006F5BE9" w:rsidP="00EE4E92">
      <w:pPr>
        <w:jc w:val="left"/>
        <w:rPr>
          <w:rFonts w:ascii="Arial" w:hAnsi="Arial" w:cs="Arial"/>
          <w:bCs/>
          <w:szCs w:val="24"/>
        </w:rPr>
      </w:pPr>
      <w:r>
        <w:rPr>
          <w:rFonts w:ascii="Arial" w:hAnsi="Arial" w:cs="Arial"/>
          <w:bCs/>
          <w:szCs w:val="24"/>
        </w:rPr>
        <w:t>Our</w:t>
      </w:r>
      <w:r w:rsidR="00603E1C" w:rsidRPr="0000238B">
        <w:rPr>
          <w:rFonts w:ascii="Arial" w:hAnsi="Arial" w:cs="Arial"/>
          <w:bCs/>
          <w:szCs w:val="24"/>
        </w:rPr>
        <w:t xml:space="preserve"> customers are </w:t>
      </w:r>
      <w:r w:rsidR="00427FFD">
        <w:rPr>
          <w:rFonts w:ascii="Arial" w:hAnsi="Arial" w:cs="Arial"/>
          <w:bCs/>
          <w:szCs w:val="24"/>
        </w:rPr>
        <w:t>starting to</w:t>
      </w:r>
      <w:r w:rsidR="00427FFD" w:rsidRPr="0000238B">
        <w:rPr>
          <w:rFonts w:ascii="Arial" w:hAnsi="Arial" w:cs="Arial"/>
          <w:bCs/>
          <w:szCs w:val="24"/>
        </w:rPr>
        <w:t xml:space="preserve"> </w:t>
      </w:r>
      <w:r w:rsidR="00603E1C" w:rsidRPr="0000238B">
        <w:rPr>
          <w:rFonts w:ascii="Arial" w:hAnsi="Arial" w:cs="Arial"/>
          <w:bCs/>
          <w:szCs w:val="24"/>
        </w:rPr>
        <w:t>benefi</w:t>
      </w:r>
      <w:r w:rsidR="00427FFD">
        <w:rPr>
          <w:rFonts w:ascii="Arial" w:hAnsi="Arial" w:cs="Arial"/>
          <w:bCs/>
          <w:szCs w:val="24"/>
        </w:rPr>
        <w:t>t</w:t>
      </w:r>
      <w:r w:rsidR="00603E1C" w:rsidRPr="0000238B">
        <w:rPr>
          <w:rFonts w:ascii="Arial" w:hAnsi="Arial" w:cs="Arial"/>
          <w:bCs/>
          <w:szCs w:val="24"/>
        </w:rPr>
        <w:t xml:space="preserve"> from differentiated product, in store and online, at everyday low prices. Over the next year we will be </w:t>
      </w:r>
      <w:r w:rsidR="00F538B1">
        <w:rPr>
          <w:rFonts w:ascii="Arial" w:hAnsi="Arial" w:cs="Arial"/>
          <w:bCs/>
          <w:szCs w:val="24"/>
        </w:rPr>
        <w:t xml:space="preserve">strengthening </w:t>
      </w:r>
      <w:r w:rsidR="00A13D10">
        <w:rPr>
          <w:rFonts w:ascii="Arial" w:hAnsi="Arial" w:cs="Arial"/>
          <w:bCs/>
          <w:szCs w:val="24"/>
        </w:rPr>
        <w:t xml:space="preserve">our customer proposition by </w:t>
      </w:r>
      <w:r w:rsidR="00603E1C" w:rsidRPr="0000238B">
        <w:rPr>
          <w:rFonts w:ascii="Arial" w:hAnsi="Arial" w:cs="Arial"/>
          <w:bCs/>
          <w:szCs w:val="24"/>
        </w:rPr>
        <w:t xml:space="preserve">accelerating our unique product </w:t>
      </w:r>
      <w:r w:rsidR="00F538B1">
        <w:rPr>
          <w:rFonts w:ascii="Arial" w:hAnsi="Arial" w:cs="Arial"/>
          <w:bCs/>
          <w:szCs w:val="24"/>
        </w:rPr>
        <w:t xml:space="preserve">launch and development </w:t>
      </w:r>
      <w:r w:rsidR="00603E1C" w:rsidRPr="0000238B">
        <w:rPr>
          <w:rFonts w:ascii="Arial" w:hAnsi="Arial" w:cs="Arial"/>
          <w:bCs/>
          <w:szCs w:val="24"/>
        </w:rPr>
        <w:t xml:space="preserve">activity and </w:t>
      </w:r>
      <w:r w:rsidR="00C73519">
        <w:rPr>
          <w:rFonts w:ascii="Arial" w:hAnsi="Arial" w:cs="Arial"/>
          <w:bCs/>
          <w:szCs w:val="24"/>
        </w:rPr>
        <w:t xml:space="preserve">testing </w:t>
      </w:r>
      <w:r w:rsidR="00603E1C" w:rsidRPr="0000238B">
        <w:rPr>
          <w:rFonts w:ascii="Arial" w:hAnsi="Arial" w:cs="Arial"/>
          <w:bCs/>
          <w:szCs w:val="24"/>
        </w:rPr>
        <w:t xml:space="preserve">new store </w:t>
      </w:r>
      <w:r w:rsidR="00C73519">
        <w:rPr>
          <w:rFonts w:ascii="Arial" w:hAnsi="Arial" w:cs="Arial"/>
          <w:bCs/>
          <w:szCs w:val="24"/>
        </w:rPr>
        <w:t xml:space="preserve">concepts </w:t>
      </w:r>
      <w:r w:rsidR="00603E1C">
        <w:rPr>
          <w:rFonts w:ascii="Arial" w:hAnsi="Arial" w:cs="Arial"/>
          <w:bCs/>
          <w:szCs w:val="24"/>
        </w:rPr>
        <w:t>in order to make our innovation more visible to customers.</w:t>
      </w:r>
      <w:r w:rsidR="00603E1C" w:rsidRPr="0000238B">
        <w:rPr>
          <w:rFonts w:ascii="Arial" w:hAnsi="Arial" w:cs="Arial"/>
          <w:bCs/>
          <w:szCs w:val="24"/>
        </w:rPr>
        <w:t xml:space="preserve"> </w:t>
      </w:r>
    </w:p>
    <w:p w14:paraId="68703D58" w14:textId="77777777" w:rsidR="00CA3839" w:rsidRPr="0000238B" w:rsidRDefault="00CA3839" w:rsidP="00EE4E92">
      <w:pPr>
        <w:jc w:val="left"/>
        <w:rPr>
          <w:rFonts w:ascii="Arial" w:hAnsi="Arial" w:cs="Arial"/>
          <w:bCs/>
          <w:szCs w:val="24"/>
        </w:rPr>
      </w:pPr>
    </w:p>
    <w:p w14:paraId="2485563E" w14:textId="14A9712B" w:rsidR="001317AC" w:rsidRDefault="00D04EF0">
      <w:pPr>
        <w:jc w:val="left"/>
        <w:rPr>
          <w:rFonts w:ascii="Arial" w:hAnsi="Arial" w:cs="Arial"/>
          <w:color w:val="000000"/>
          <w:highlight w:val="yellow"/>
          <w:lang w:val="en-US"/>
        </w:rPr>
      </w:pPr>
      <w:bookmarkStart w:id="22" w:name="_Hlk3417577"/>
      <w:r>
        <w:rPr>
          <w:rFonts w:ascii="Arial" w:hAnsi="Arial" w:cs="Arial"/>
          <w:lang w:val="en-US"/>
        </w:rPr>
        <w:t>As we enter FY 19/20,</w:t>
      </w:r>
      <w:r w:rsidR="00E74264">
        <w:rPr>
          <w:rFonts w:ascii="Arial" w:hAnsi="Arial" w:cs="Arial"/>
          <w:lang w:val="en-US"/>
        </w:rPr>
        <w:t xml:space="preserve"> </w:t>
      </w:r>
      <w:r>
        <w:rPr>
          <w:rFonts w:ascii="Arial" w:hAnsi="Arial" w:cs="Arial"/>
          <w:lang w:val="en-US"/>
        </w:rPr>
        <w:t>t</w:t>
      </w:r>
      <w:r w:rsidR="00975219" w:rsidRPr="00347249">
        <w:rPr>
          <w:rFonts w:ascii="Arial" w:hAnsi="Arial" w:cs="Arial"/>
          <w:lang w:val="en-US"/>
        </w:rPr>
        <w:t xml:space="preserve">he outlook </w:t>
      </w:r>
      <w:r w:rsidR="00E74264">
        <w:rPr>
          <w:rFonts w:ascii="Arial" w:hAnsi="Arial" w:cs="Arial"/>
          <w:lang w:val="en-US"/>
        </w:rPr>
        <w:t xml:space="preserve">by country </w:t>
      </w:r>
      <w:r w:rsidR="00975219" w:rsidRPr="00347249">
        <w:rPr>
          <w:rFonts w:ascii="Arial" w:hAnsi="Arial" w:cs="Arial"/>
          <w:lang w:val="en-US"/>
        </w:rPr>
        <w:t>is mixed</w:t>
      </w:r>
      <w:r>
        <w:rPr>
          <w:rFonts w:ascii="Arial" w:hAnsi="Arial" w:cs="Arial"/>
          <w:lang w:val="en-US"/>
        </w:rPr>
        <w:t>. T</w:t>
      </w:r>
      <w:r w:rsidR="00975219" w:rsidRPr="002C5E98">
        <w:rPr>
          <w:rFonts w:ascii="Arial" w:hAnsi="Arial" w:cs="Arial"/>
          <w:lang w:val="en-US"/>
        </w:rPr>
        <w:t xml:space="preserve">he UK </w:t>
      </w:r>
      <w:r>
        <w:rPr>
          <w:rFonts w:ascii="Arial" w:hAnsi="Arial" w:cs="Arial"/>
          <w:lang w:val="en-US"/>
        </w:rPr>
        <w:t xml:space="preserve">market </w:t>
      </w:r>
      <w:r w:rsidR="003D43EF" w:rsidRPr="002C5E98">
        <w:rPr>
          <w:rFonts w:ascii="Arial" w:hAnsi="Arial" w:cs="Arial"/>
          <w:lang w:val="en-US"/>
        </w:rPr>
        <w:t>remain</w:t>
      </w:r>
      <w:r>
        <w:rPr>
          <w:rFonts w:ascii="Arial" w:hAnsi="Arial" w:cs="Arial"/>
          <w:lang w:val="en-US"/>
        </w:rPr>
        <w:t>s</w:t>
      </w:r>
      <w:r w:rsidR="003D43EF" w:rsidRPr="002C5E98">
        <w:rPr>
          <w:rFonts w:ascii="Arial" w:hAnsi="Arial" w:cs="Arial"/>
          <w:lang w:val="en-US"/>
        </w:rPr>
        <w:t xml:space="preserve"> </w:t>
      </w:r>
      <w:r w:rsidR="00975219" w:rsidRPr="007311CF">
        <w:rPr>
          <w:rFonts w:ascii="Arial" w:hAnsi="Arial" w:cs="Arial"/>
          <w:lang w:val="en-US"/>
        </w:rPr>
        <w:t xml:space="preserve">uncertain </w:t>
      </w:r>
      <w:r>
        <w:rPr>
          <w:rFonts w:ascii="Arial" w:hAnsi="Arial" w:cs="Arial"/>
          <w:lang w:val="en-US"/>
        </w:rPr>
        <w:t xml:space="preserve">and we are mindful of </w:t>
      </w:r>
      <w:r w:rsidR="00465463">
        <w:rPr>
          <w:rFonts w:ascii="Arial" w:hAnsi="Arial" w:cs="Arial"/>
          <w:lang w:val="en-US"/>
        </w:rPr>
        <w:t>softer housing market activity</w:t>
      </w:r>
      <w:r w:rsidR="00234C1D" w:rsidRPr="00E630F1">
        <w:rPr>
          <w:rFonts w:ascii="Arial" w:hAnsi="Arial" w:cs="Arial"/>
          <w:lang w:val="en-US"/>
        </w:rPr>
        <w:t xml:space="preserve"> </w:t>
      </w:r>
      <w:r>
        <w:rPr>
          <w:rFonts w:ascii="Arial" w:hAnsi="Arial" w:cs="Arial"/>
          <w:lang w:val="en-US"/>
        </w:rPr>
        <w:t>in France</w:t>
      </w:r>
      <w:r w:rsidR="00234C1D" w:rsidRPr="00E630F1">
        <w:rPr>
          <w:rFonts w:ascii="Arial" w:hAnsi="Arial" w:cs="Arial"/>
          <w:lang w:val="en-US"/>
        </w:rPr>
        <w:t>.</w:t>
      </w:r>
      <w:r w:rsidR="00234C1D" w:rsidRPr="002C5E98">
        <w:rPr>
          <w:rFonts w:ascii="Arial" w:hAnsi="Arial" w:cs="Arial"/>
          <w:lang w:val="en-US"/>
        </w:rPr>
        <w:t xml:space="preserve"> </w:t>
      </w:r>
      <w:bookmarkEnd w:id="22"/>
      <w:r w:rsidR="00234C1D" w:rsidRPr="002C5E98">
        <w:rPr>
          <w:rFonts w:ascii="Arial" w:hAnsi="Arial" w:cs="Arial"/>
          <w:lang w:val="en-US"/>
        </w:rPr>
        <w:t>I</w:t>
      </w:r>
      <w:r w:rsidR="00975219" w:rsidRPr="002C5E98">
        <w:rPr>
          <w:rFonts w:ascii="Arial" w:hAnsi="Arial" w:cs="Arial"/>
          <w:lang w:val="en-US"/>
        </w:rPr>
        <w:t>n Poland the market remains supportive</w:t>
      </w:r>
      <w:r w:rsidR="00D43659">
        <w:rPr>
          <w:rFonts w:ascii="Arial" w:hAnsi="Arial" w:cs="Arial"/>
          <w:lang w:val="en-US"/>
        </w:rPr>
        <w:t>.</w:t>
      </w:r>
      <w:r w:rsidR="00613DF2">
        <w:rPr>
          <w:rFonts w:ascii="Arial" w:hAnsi="Arial" w:cs="Arial"/>
          <w:lang w:val="en-US"/>
        </w:rPr>
        <w:t xml:space="preserve"> </w:t>
      </w:r>
      <w:r w:rsidR="009D57FF">
        <w:rPr>
          <w:rFonts w:ascii="Arial" w:hAnsi="Arial" w:cs="Arial"/>
          <w:bCs/>
          <w:szCs w:val="24"/>
        </w:rPr>
        <w:t>W</w:t>
      </w:r>
      <w:r w:rsidR="00234C1D">
        <w:rPr>
          <w:rFonts w:ascii="Arial" w:hAnsi="Arial" w:cs="Arial"/>
          <w:bCs/>
          <w:szCs w:val="24"/>
        </w:rPr>
        <w:t>e are p</w:t>
      </w:r>
      <w:r w:rsidR="00234C1D" w:rsidRPr="00234C1D">
        <w:rPr>
          <w:rFonts w:ascii="Arial" w:hAnsi="Arial" w:cs="Arial"/>
          <w:bCs/>
          <w:szCs w:val="24"/>
        </w:rPr>
        <w:t xml:space="preserve">ositive </w:t>
      </w:r>
      <w:r w:rsidR="009D57FF">
        <w:rPr>
          <w:rFonts w:ascii="Arial" w:hAnsi="Arial" w:cs="Arial"/>
          <w:bCs/>
          <w:szCs w:val="24"/>
        </w:rPr>
        <w:t xml:space="preserve">about </w:t>
      </w:r>
      <w:r w:rsidR="00234C1D">
        <w:rPr>
          <w:rFonts w:ascii="Arial" w:hAnsi="Arial" w:cs="Arial"/>
          <w:bCs/>
          <w:szCs w:val="24"/>
        </w:rPr>
        <w:t xml:space="preserve">the </w:t>
      </w:r>
      <w:r w:rsidR="009D57FF">
        <w:rPr>
          <w:rFonts w:ascii="Arial" w:hAnsi="Arial" w:cs="Arial"/>
          <w:bCs/>
          <w:szCs w:val="24"/>
        </w:rPr>
        <w:t xml:space="preserve">longer term </w:t>
      </w:r>
      <w:r w:rsidR="00234C1D" w:rsidRPr="00234C1D">
        <w:rPr>
          <w:rFonts w:ascii="Arial" w:hAnsi="Arial" w:cs="Arial"/>
          <w:bCs/>
          <w:szCs w:val="24"/>
        </w:rPr>
        <w:t xml:space="preserve">outlook for </w:t>
      </w:r>
      <w:r w:rsidR="00234C1D">
        <w:rPr>
          <w:rFonts w:ascii="Arial" w:hAnsi="Arial" w:cs="Arial"/>
          <w:bCs/>
          <w:szCs w:val="24"/>
        </w:rPr>
        <w:t xml:space="preserve">the </w:t>
      </w:r>
      <w:r w:rsidR="00234C1D" w:rsidRPr="00234C1D">
        <w:rPr>
          <w:rFonts w:ascii="Arial" w:hAnsi="Arial" w:cs="Arial"/>
          <w:bCs/>
          <w:szCs w:val="24"/>
        </w:rPr>
        <w:t>home improvement sector</w:t>
      </w:r>
      <w:r w:rsidR="00234C1D">
        <w:rPr>
          <w:rFonts w:ascii="Arial" w:hAnsi="Arial" w:cs="Arial"/>
          <w:bCs/>
          <w:szCs w:val="24"/>
        </w:rPr>
        <w:t xml:space="preserve"> and </w:t>
      </w:r>
      <w:r w:rsidR="009D57FF">
        <w:rPr>
          <w:rFonts w:ascii="Arial" w:hAnsi="Arial" w:cs="Arial"/>
          <w:bCs/>
          <w:szCs w:val="24"/>
        </w:rPr>
        <w:t xml:space="preserve">we </w:t>
      </w:r>
      <w:r w:rsidR="00914A2E">
        <w:rPr>
          <w:rFonts w:ascii="Arial" w:hAnsi="Arial" w:cs="Arial"/>
          <w:bCs/>
          <w:szCs w:val="24"/>
        </w:rPr>
        <w:t xml:space="preserve">are focused on </w:t>
      </w:r>
      <w:r w:rsidR="00603E1C" w:rsidRPr="00F4488B">
        <w:rPr>
          <w:rFonts w:ascii="Arial" w:hAnsi="Arial" w:cs="Arial"/>
          <w:bCs/>
          <w:szCs w:val="24"/>
        </w:rPr>
        <w:t>deliver</w:t>
      </w:r>
      <w:r w:rsidR="00914A2E">
        <w:rPr>
          <w:rFonts w:ascii="Arial" w:hAnsi="Arial" w:cs="Arial"/>
          <w:bCs/>
          <w:szCs w:val="24"/>
        </w:rPr>
        <w:t>ing</w:t>
      </w:r>
      <w:r w:rsidR="00603E1C" w:rsidRPr="00F4488B">
        <w:rPr>
          <w:rFonts w:ascii="Arial" w:hAnsi="Arial" w:cs="Arial"/>
          <w:bCs/>
          <w:szCs w:val="24"/>
        </w:rPr>
        <w:t xml:space="preserve"> growth in sales, margin and returns</w:t>
      </w:r>
      <w:r w:rsidR="00234C1D">
        <w:rPr>
          <w:rFonts w:ascii="Arial" w:hAnsi="Arial" w:cs="Arial"/>
          <w:bCs/>
          <w:szCs w:val="24"/>
        </w:rPr>
        <w:t>.</w:t>
      </w:r>
      <w:bookmarkEnd w:id="21"/>
      <w:r w:rsidR="001317AC">
        <w:rPr>
          <w:rFonts w:ascii="Arial" w:hAnsi="Arial" w:cs="Arial"/>
          <w:color w:val="000000"/>
          <w:highlight w:val="yellow"/>
          <w:lang w:val="en-US"/>
        </w:rPr>
        <w:br w:type="page"/>
      </w:r>
    </w:p>
    <w:p w14:paraId="176C87B3" w14:textId="77777777" w:rsidR="00C62542" w:rsidRPr="00A845B7" w:rsidRDefault="00C62542" w:rsidP="00C62542">
      <w:pPr>
        <w:jc w:val="left"/>
        <w:rPr>
          <w:rFonts w:ascii="Arial" w:hAnsi="Arial" w:cs="Arial"/>
          <w:b/>
          <w:bCs/>
        </w:rPr>
      </w:pPr>
      <w:r w:rsidRPr="00A845B7">
        <w:rPr>
          <w:rFonts w:ascii="Arial" w:hAnsi="Arial" w:cs="Arial"/>
          <w:b/>
          <w:bCs/>
        </w:rPr>
        <w:lastRenderedPageBreak/>
        <w:t xml:space="preserve">Section 2: Trading review by </w:t>
      </w:r>
      <w:r w:rsidR="00130A12" w:rsidRPr="00A845B7">
        <w:rPr>
          <w:rFonts w:ascii="Arial" w:hAnsi="Arial" w:cs="Arial"/>
          <w:b/>
          <w:bCs/>
        </w:rPr>
        <w:t>division</w:t>
      </w:r>
      <w:r w:rsidRPr="00A845B7">
        <w:rPr>
          <w:rFonts w:ascii="Arial" w:hAnsi="Arial" w:cs="Arial"/>
          <w:b/>
          <w:bCs/>
        </w:rPr>
        <w:t xml:space="preserve">  </w:t>
      </w:r>
    </w:p>
    <w:p w14:paraId="399E927A" w14:textId="77777777" w:rsidR="00DA4C33" w:rsidRDefault="00DA4C33" w:rsidP="00C62542">
      <w:pPr>
        <w:jc w:val="left"/>
        <w:rPr>
          <w:rFonts w:ascii="Arial" w:hAnsi="Arial" w:cs="Arial"/>
          <w:b/>
          <w:bCs/>
          <w:sz w:val="24"/>
          <w:szCs w:val="24"/>
        </w:rPr>
      </w:pPr>
    </w:p>
    <w:p w14:paraId="136631DB" w14:textId="77777777" w:rsidR="00DA4C33" w:rsidRPr="00F9080F" w:rsidRDefault="00DA4C33" w:rsidP="00C62542">
      <w:pPr>
        <w:jc w:val="left"/>
        <w:rPr>
          <w:rFonts w:ascii="Arial" w:hAnsi="Arial" w:cs="Arial"/>
          <w:bCs/>
          <w:i/>
        </w:rPr>
      </w:pPr>
      <w:r w:rsidRPr="00F9080F">
        <w:rPr>
          <w:rFonts w:ascii="Arial" w:hAnsi="Arial" w:cs="Arial"/>
          <w:bCs/>
          <w:i/>
        </w:rPr>
        <w:t>Note: all commentary below is in constant currencies</w:t>
      </w:r>
    </w:p>
    <w:p w14:paraId="529368BD" w14:textId="77777777" w:rsidR="00C62542" w:rsidRDefault="00C62542" w:rsidP="007D43ED">
      <w:pPr>
        <w:jc w:val="left"/>
        <w:rPr>
          <w:rFonts w:ascii="Arial" w:hAnsi="Arial" w:cs="Arial"/>
          <w:b/>
          <w:bCs/>
          <w:sz w:val="24"/>
          <w:szCs w:val="24"/>
        </w:rPr>
      </w:pPr>
    </w:p>
    <w:p w14:paraId="7C25EDC1" w14:textId="34F5746E" w:rsidR="007D43ED" w:rsidRPr="00A845B7" w:rsidRDefault="007D43ED" w:rsidP="007D43ED">
      <w:pPr>
        <w:jc w:val="left"/>
        <w:rPr>
          <w:rFonts w:ascii="Arial" w:hAnsi="Arial" w:cs="Arial"/>
          <w:b/>
          <w:bCs/>
        </w:rPr>
      </w:pPr>
      <w:r w:rsidRPr="00A845B7">
        <w:rPr>
          <w:rFonts w:ascii="Arial" w:hAnsi="Arial" w:cs="Arial"/>
          <w:b/>
          <w:bCs/>
        </w:rPr>
        <w:t>UK &amp; IRELAND</w:t>
      </w:r>
      <w:r w:rsidR="00D5103C">
        <w:rPr>
          <w:rFonts w:ascii="Arial" w:hAnsi="Arial" w:cs="Arial"/>
          <w:b/>
          <w:bCs/>
        </w:rPr>
        <w:t>*</w:t>
      </w:r>
    </w:p>
    <w:p w14:paraId="561EEFCF" w14:textId="77777777" w:rsidR="007D43ED" w:rsidRPr="00A845B7" w:rsidRDefault="007D43ED" w:rsidP="007D43ED">
      <w:pPr>
        <w:jc w:val="left"/>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1354"/>
        <w:gridCol w:w="1350"/>
        <w:gridCol w:w="1650"/>
        <w:gridCol w:w="1800"/>
        <w:gridCol w:w="1201"/>
      </w:tblGrid>
      <w:tr w:rsidR="007D43ED" w:rsidRPr="00A845B7" w14:paraId="5BAC6C99" w14:textId="77777777" w:rsidTr="006F78D1">
        <w:tc>
          <w:tcPr>
            <w:tcW w:w="1269" w:type="pct"/>
            <w:tcBorders>
              <w:bottom w:val="single" w:sz="4" w:space="0" w:color="auto"/>
            </w:tcBorders>
          </w:tcPr>
          <w:p w14:paraId="7BE2CB36" w14:textId="77777777" w:rsidR="007D43ED" w:rsidRPr="00A845B7" w:rsidRDefault="007D43ED" w:rsidP="00C51098">
            <w:pPr>
              <w:rPr>
                <w:rFonts w:ascii="Arial" w:hAnsi="Arial" w:cs="Arial"/>
              </w:rPr>
            </w:pPr>
            <w:r w:rsidRPr="00A845B7">
              <w:rPr>
                <w:rFonts w:ascii="Arial" w:hAnsi="Arial" w:cs="Arial"/>
              </w:rPr>
              <w:t>£m</w:t>
            </w:r>
          </w:p>
        </w:tc>
        <w:tc>
          <w:tcPr>
            <w:tcW w:w="687" w:type="pct"/>
            <w:tcBorders>
              <w:bottom w:val="single" w:sz="4" w:space="0" w:color="auto"/>
            </w:tcBorders>
          </w:tcPr>
          <w:p w14:paraId="469ACFDA" w14:textId="128D56BD" w:rsidR="007D43ED" w:rsidRPr="00A845B7" w:rsidRDefault="007D43ED">
            <w:pPr>
              <w:jc w:val="right"/>
              <w:rPr>
                <w:rFonts w:ascii="Arial" w:hAnsi="Arial" w:cs="Arial"/>
              </w:rPr>
            </w:pPr>
            <w:r w:rsidRPr="00A845B7">
              <w:rPr>
                <w:rFonts w:ascii="Arial" w:hAnsi="Arial" w:cs="Arial"/>
                <w:b/>
                <w:bCs/>
              </w:rPr>
              <w:t>201</w:t>
            </w:r>
            <w:r w:rsidR="00AC4048">
              <w:rPr>
                <w:rFonts w:ascii="Arial" w:hAnsi="Arial" w:cs="Arial"/>
                <w:b/>
                <w:bCs/>
              </w:rPr>
              <w:t>8</w:t>
            </w:r>
            <w:r w:rsidR="002F5458" w:rsidRPr="00A845B7">
              <w:rPr>
                <w:rFonts w:ascii="Arial" w:hAnsi="Arial" w:cs="Arial"/>
                <w:b/>
                <w:bCs/>
              </w:rPr>
              <w:t>/1</w:t>
            </w:r>
            <w:r w:rsidR="00AC4048">
              <w:rPr>
                <w:rFonts w:ascii="Arial" w:hAnsi="Arial" w:cs="Arial"/>
                <w:b/>
                <w:bCs/>
              </w:rPr>
              <w:t>9</w:t>
            </w:r>
          </w:p>
        </w:tc>
        <w:tc>
          <w:tcPr>
            <w:tcW w:w="685" w:type="pct"/>
            <w:tcBorders>
              <w:bottom w:val="single" w:sz="4" w:space="0" w:color="auto"/>
            </w:tcBorders>
          </w:tcPr>
          <w:p w14:paraId="3C24B423" w14:textId="26FCDA3A" w:rsidR="007D43ED" w:rsidRPr="00A845B7" w:rsidRDefault="007D43ED">
            <w:pPr>
              <w:jc w:val="right"/>
              <w:rPr>
                <w:rFonts w:ascii="Arial" w:hAnsi="Arial" w:cs="Arial"/>
                <w:b/>
                <w:bCs/>
              </w:rPr>
            </w:pPr>
            <w:r w:rsidRPr="00A845B7">
              <w:rPr>
                <w:rFonts w:ascii="Arial" w:hAnsi="Arial" w:cs="Arial"/>
                <w:b/>
                <w:bCs/>
              </w:rPr>
              <w:t>201</w:t>
            </w:r>
            <w:r w:rsidR="00AC4048">
              <w:rPr>
                <w:rFonts w:ascii="Arial" w:hAnsi="Arial" w:cs="Arial"/>
                <w:b/>
                <w:bCs/>
              </w:rPr>
              <w:t>7</w:t>
            </w:r>
            <w:r w:rsidR="002F5458" w:rsidRPr="00A845B7">
              <w:rPr>
                <w:rFonts w:ascii="Arial" w:hAnsi="Arial" w:cs="Arial"/>
                <w:b/>
                <w:bCs/>
              </w:rPr>
              <w:t>/1</w:t>
            </w:r>
            <w:r w:rsidR="00AC4048">
              <w:rPr>
                <w:rFonts w:ascii="Arial" w:hAnsi="Arial" w:cs="Arial"/>
                <w:b/>
                <w:bCs/>
              </w:rPr>
              <w:t>8</w:t>
            </w:r>
          </w:p>
        </w:tc>
        <w:tc>
          <w:tcPr>
            <w:tcW w:w="837" w:type="pct"/>
            <w:tcBorders>
              <w:bottom w:val="single" w:sz="4" w:space="0" w:color="auto"/>
            </w:tcBorders>
          </w:tcPr>
          <w:p w14:paraId="671F89AA" w14:textId="77777777" w:rsidR="007D43ED" w:rsidRPr="00A845B7" w:rsidRDefault="007D43ED" w:rsidP="00C51098">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3FF12EA0" w14:textId="77777777" w:rsidR="007D43ED" w:rsidRPr="00A845B7" w:rsidRDefault="007D43ED" w:rsidP="00C51098">
            <w:pPr>
              <w:jc w:val="right"/>
              <w:rPr>
                <w:rFonts w:ascii="Arial" w:hAnsi="Arial" w:cs="Arial"/>
                <w:b/>
                <w:bCs/>
              </w:rPr>
            </w:pPr>
          </w:p>
        </w:tc>
        <w:tc>
          <w:tcPr>
            <w:tcW w:w="913" w:type="pct"/>
            <w:tcBorders>
              <w:bottom w:val="single" w:sz="4" w:space="0" w:color="auto"/>
            </w:tcBorders>
          </w:tcPr>
          <w:p w14:paraId="2296913C" w14:textId="77777777" w:rsidR="007D43ED" w:rsidRPr="00A845B7" w:rsidRDefault="007D43ED" w:rsidP="00C51098">
            <w:pPr>
              <w:jc w:val="right"/>
              <w:rPr>
                <w:rFonts w:ascii="Arial" w:hAnsi="Arial" w:cs="Arial"/>
                <w:b/>
                <w:bCs/>
              </w:rPr>
            </w:pPr>
            <w:r w:rsidRPr="00A845B7">
              <w:rPr>
                <w:rFonts w:ascii="Arial" w:hAnsi="Arial" w:cs="Arial"/>
                <w:b/>
                <w:bCs/>
              </w:rPr>
              <w:t>% Constant</w:t>
            </w:r>
          </w:p>
          <w:p w14:paraId="054E6DDD" w14:textId="77777777" w:rsidR="007D43ED" w:rsidRPr="00A845B7" w:rsidRDefault="007D43ED" w:rsidP="00C51098">
            <w:pPr>
              <w:jc w:val="right"/>
              <w:rPr>
                <w:rFonts w:ascii="Arial" w:hAnsi="Arial" w:cs="Arial"/>
                <w:b/>
                <w:bCs/>
              </w:rPr>
            </w:pPr>
            <w:r w:rsidRPr="00A845B7">
              <w:rPr>
                <w:rFonts w:ascii="Arial" w:hAnsi="Arial" w:cs="Arial"/>
                <w:b/>
                <w:bCs/>
              </w:rPr>
              <w:t>Currency</w:t>
            </w:r>
          </w:p>
          <w:p w14:paraId="2CD95A34" w14:textId="77777777" w:rsidR="007D43ED" w:rsidRPr="00A845B7" w:rsidRDefault="007D43ED" w:rsidP="00C51098">
            <w:pPr>
              <w:jc w:val="right"/>
              <w:rPr>
                <w:rFonts w:ascii="Arial" w:hAnsi="Arial" w:cs="Arial"/>
                <w:b/>
                <w:bCs/>
              </w:rPr>
            </w:pPr>
            <w:r w:rsidRPr="00A845B7">
              <w:rPr>
                <w:rFonts w:ascii="Arial" w:hAnsi="Arial" w:cs="Arial"/>
                <w:b/>
                <w:bCs/>
              </w:rPr>
              <w:t xml:space="preserve">Change  </w:t>
            </w:r>
          </w:p>
        </w:tc>
        <w:tc>
          <w:tcPr>
            <w:tcW w:w="609" w:type="pct"/>
            <w:tcBorders>
              <w:bottom w:val="single" w:sz="4" w:space="0" w:color="auto"/>
            </w:tcBorders>
          </w:tcPr>
          <w:p w14:paraId="29664918" w14:textId="77777777" w:rsidR="007D43ED" w:rsidRPr="00A845B7" w:rsidRDefault="007D43ED" w:rsidP="00C51098">
            <w:pPr>
              <w:ind w:hanging="108"/>
              <w:jc w:val="right"/>
              <w:rPr>
                <w:rFonts w:ascii="Arial" w:hAnsi="Arial" w:cs="Arial"/>
                <w:b/>
                <w:bCs/>
              </w:rPr>
            </w:pPr>
            <w:r w:rsidRPr="00A845B7">
              <w:rPr>
                <w:rFonts w:ascii="Arial" w:hAnsi="Arial" w:cs="Arial"/>
                <w:b/>
                <w:bCs/>
              </w:rPr>
              <w:t>% LFL</w:t>
            </w:r>
          </w:p>
          <w:p w14:paraId="540EED24" w14:textId="77777777" w:rsidR="007D43ED" w:rsidRPr="00A845B7" w:rsidRDefault="007D43ED" w:rsidP="00C51098">
            <w:pPr>
              <w:ind w:hanging="108"/>
              <w:jc w:val="right"/>
              <w:rPr>
                <w:rFonts w:ascii="Arial" w:hAnsi="Arial" w:cs="Arial"/>
                <w:b/>
                <w:bCs/>
              </w:rPr>
            </w:pPr>
            <w:r w:rsidRPr="00A845B7">
              <w:rPr>
                <w:rFonts w:ascii="Arial" w:hAnsi="Arial" w:cs="Arial"/>
                <w:b/>
                <w:bCs/>
              </w:rPr>
              <w:t>Change</w:t>
            </w:r>
          </w:p>
        </w:tc>
      </w:tr>
      <w:tr w:rsidR="007D43ED" w:rsidRPr="0042729E" w14:paraId="05066346" w14:textId="77777777" w:rsidTr="006F78D1">
        <w:trPr>
          <w:trHeight w:val="147"/>
        </w:trPr>
        <w:tc>
          <w:tcPr>
            <w:tcW w:w="1269" w:type="pct"/>
            <w:tcBorders>
              <w:bottom w:val="single" w:sz="4" w:space="0" w:color="auto"/>
            </w:tcBorders>
          </w:tcPr>
          <w:p w14:paraId="00CF005A" w14:textId="77777777" w:rsidR="007D43ED" w:rsidRPr="00A845B7" w:rsidRDefault="007D43ED" w:rsidP="00C51098">
            <w:pPr>
              <w:rPr>
                <w:rFonts w:ascii="Arial" w:hAnsi="Arial" w:cs="Arial"/>
                <w:b/>
              </w:rPr>
            </w:pPr>
            <w:r w:rsidRPr="00A845B7">
              <w:rPr>
                <w:rFonts w:ascii="Arial" w:hAnsi="Arial" w:cs="Arial"/>
                <w:b/>
                <w:bCs/>
              </w:rPr>
              <w:t>Sales</w:t>
            </w:r>
          </w:p>
        </w:tc>
        <w:tc>
          <w:tcPr>
            <w:tcW w:w="687" w:type="pct"/>
            <w:tcBorders>
              <w:bottom w:val="single" w:sz="4" w:space="0" w:color="auto"/>
            </w:tcBorders>
          </w:tcPr>
          <w:p w14:paraId="204D3D36" w14:textId="4D4CBBB6" w:rsidR="007D43ED" w:rsidRPr="00C14FDE" w:rsidRDefault="005E7894" w:rsidP="00C51098">
            <w:pPr>
              <w:jc w:val="right"/>
              <w:rPr>
                <w:rFonts w:ascii="Arial" w:hAnsi="Arial" w:cs="Arial"/>
              </w:rPr>
            </w:pPr>
            <w:r w:rsidRPr="00C14FDE">
              <w:rPr>
                <w:rFonts w:ascii="Arial" w:hAnsi="Arial" w:cs="Arial"/>
              </w:rPr>
              <w:t>5,0</w:t>
            </w:r>
            <w:r w:rsidR="00C14FDE" w:rsidRPr="005D6FAA">
              <w:rPr>
                <w:rFonts w:ascii="Arial" w:hAnsi="Arial" w:cs="Arial"/>
              </w:rPr>
              <w:t>61</w:t>
            </w:r>
          </w:p>
        </w:tc>
        <w:tc>
          <w:tcPr>
            <w:tcW w:w="685" w:type="pct"/>
            <w:tcBorders>
              <w:bottom w:val="single" w:sz="4" w:space="0" w:color="auto"/>
            </w:tcBorders>
          </w:tcPr>
          <w:p w14:paraId="4E320327" w14:textId="3788F0E8" w:rsidR="007D43ED" w:rsidRPr="005E7894" w:rsidRDefault="00AC4048" w:rsidP="00C51098">
            <w:pPr>
              <w:jc w:val="right"/>
              <w:rPr>
                <w:rFonts w:ascii="Arial" w:hAnsi="Arial" w:cs="Arial"/>
              </w:rPr>
            </w:pPr>
            <w:r>
              <w:rPr>
                <w:rFonts w:ascii="Arial" w:hAnsi="Arial" w:cs="Arial"/>
              </w:rPr>
              <w:t>5,003</w:t>
            </w:r>
          </w:p>
        </w:tc>
        <w:tc>
          <w:tcPr>
            <w:tcW w:w="837" w:type="pct"/>
            <w:tcBorders>
              <w:bottom w:val="single" w:sz="4" w:space="0" w:color="auto"/>
            </w:tcBorders>
          </w:tcPr>
          <w:p w14:paraId="6FAFDFE5" w14:textId="511BC635" w:rsidR="007D43ED" w:rsidRPr="005D6FAA" w:rsidRDefault="000533AE" w:rsidP="00C51098">
            <w:pPr>
              <w:jc w:val="right"/>
              <w:rPr>
                <w:rFonts w:ascii="Arial" w:hAnsi="Arial" w:cs="Arial"/>
                <w:highlight w:val="yellow"/>
              </w:rPr>
            </w:pPr>
            <w:r w:rsidRPr="0050560E">
              <w:rPr>
                <w:rFonts w:ascii="Arial" w:hAnsi="Arial" w:cs="Arial"/>
              </w:rPr>
              <w:t>+</w:t>
            </w:r>
            <w:r w:rsidR="0050560E" w:rsidRPr="005D6FAA">
              <w:rPr>
                <w:rFonts w:ascii="Arial" w:hAnsi="Arial" w:cs="Arial"/>
              </w:rPr>
              <w:t>1</w:t>
            </w:r>
            <w:r w:rsidR="00A950C9" w:rsidRPr="0050560E">
              <w:rPr>
                <w:rFonts w:ascii="Arial" w:hAnsi="Arial" w:cs="Arial"/>
              </w:rPr>
              <w:t>.</w:t>
            </w:r>
            <w:r w:rsidR="00523B78">
              <w:rPr>
                <w:rFonts w:ascii="Arial" w:hAnsi="Arial" w:cs="Arial"/>
              </w:rPr>
              <w:t>1</w:t>
            </w:r>
            <w:r w:rsidR="002E5D72" w:rsidRPr="0050560E">
              <w:rPr>
                <w:rFonts w:ascii="Arial" w:hAnsi="Arial" w:cs="Arial"/>
              </w:rPr>
              <w:t>%</w:t>
            </w:r>
          </w:p>
        </w:tc>
        <w:tc>
          <w:tcPr>
            <w:tcW w:w="913" w:type="pct"/>
            <w:tcBorders>
              <w:bottom w:val="single" w:sz="4" w:space="0" w:color="auto"/>
            </w:tcBorders>
          </w:tcPr>
          <w:p w14:paraId="492D4BED" w14:textId="740CC4BF" w:rsidR="007D43ED" w:rsidRPr="00523B78" w:rsidRDefault="000533AE" w:rsidP="00C51098">
            <w:pPr>
              <w:jc w:val="right"/>
              <w:rPr>
                <w:rFonts w:ascii="Arial" w:hAnsi="Arial" w:cs="Arial"/>
              </w:rPr>
            </w:pPr>
            <w:r w:rsidRPr="00523B78">
              <w:rPr>
                <w:rFonts w:ascii="Arial" w:hAnsi="Arial" w:cs="Arial"/>
              </w:rPr>
              <w:t>+</w:t>
            </w:r>
            <w:r w:rsidR="00523B78" w:rsidRPr="005D6FAA">
              <w:rPr>
                <w:rFonts w:ascii="Arial" w:hAnsi="Arial" w:cs="Arial"/>
              </w:rPr>
              <w:t>1</w:t>
            </w:r>
            <w:r w:rsidR="00253C4D" w:rsidRPr="00523B78">
              <w:rPr>
                <w:rFonts w:ascii="Arial" w:hAnsi="Arial" w:cs="Arial"/>
              </w:rPr>
              <w:t>.</w:t>
            </w:r>
            <w:r w:rsidR="00523B78" w:rsidRPr="005D6FAA">
              <w:rPr>
                <w:rFonts w:ascii="Arial" w:hAnsi="Arial" w:cs="Arial"/>
              </w:rPr>
              <w:t>1</w:t>
            </w:r>
            <w:r w:rsidR="002E5D72" w:rsidRPr="00523B78">
              <w:rPr>
                <w:rFonts w:ascii="Arial" w:hAnsi="Arial" w:cs="Arial"/>
              </w:rPr>
              <w:t>%</w:t>
            </w:r>
          </w:p>
        </w:tc>
        <w:tc>
          <w:tcPr>
            <w:tcW w:w="609" w:type="pct"/>
            <w:tcBorders>
              <w:bottom w:val="single" w:sz="4" w:space="0" w:color="auto"/>
            </w:tcBorders>
            <w:shd w:val="clear" w:color="auto" w:fill="auto"/>
          </w:tcPr>
          <w:p w14:paraId="69C6A720" w14:textId="6CC722E9" w:rsidR="007D43ED" w:rsidRPr="00523B78" w:rsidRDefault="00C14FDE" w:rsidP="00C51098">
            <w:pPr>
              <w:jc w:val="right"/>
              <w:rPr>
                <w:rFonts w:ascii="Arial" w:hAnsi="Arial" w:cs="Arial"/>
              </w:rPr>
            </w:pPr>
            <w:r w:rsidRPr="005D6FAA">
              <w:rPr>
                <w:rFonts w:ascii="Arial" w:hAnsi="Arial" w:cs="Arial"/>
              </w:rPr>
              <w:t>(</w:t>
            </w:r>
            <w:proofErr w:type="gramStart"/>
            <w:r w:rsidR="005E7894" w:rsidRPr="00523B78">
              <w:rPr>
                <w:rFonts w:ascii="Arial" w:hAnsi="Arial" w:cs="Arial"/>
              </w:rPr>
              <w:t>0</w:t>
            </w:r>
            <w:r w:rsidR="002E5D72" w:rsidRPr="00523B78">
              <w:rPr>
                <w:rFonts w:ascii="Arial" w:hAnsi="Arial" w:cs="Arial"/>
              </w:rPr>
              <w:t>.</w:t>
            </w:r>
            <w:r w:rsidRPr="005D6FAA">
              <w:rPr>
                <w:rFonts w:ascii="Arial" w:hAnsi="Arial" w:cs="Arial"/>
              </w:rPr>
              <w:t>8)</w:t>
            </w:r>
            <w:r w:rsidR="002E5D72" w:rsidRPr="00523B78">
              <w:rPr>
                <w:rFonts w:ascii="Arial" w:hAnsi="Arial" w:cs="Arial"/>
              </w:rPr>
              <w:t>%</w:t>
            </w:r>
            <w:proofErr w:type="gramEnd"/>
          </w:p>
        </w:tc>
      </w:tr>
      <w:tr w:rsidR="007D43ED" w:rsidRPr="0042729E" w14:paraId="0843722B" w14:textId="77777777" w:rsidTr="006F78D1">
        <w:trPr>
          <w:gridAfter w:val="1"/>
          <w:wAfter w:w="609" w:type="pct"/>
        </w:trPr>
        <w:tc>
          <w:tcPr>
            <w:tcW w:w="1269" w:type="pct"/>
            <w:tcBorders>
              <w:top w:val="nil"/>
              <w:left w:val="nil"/>
              <w:bottom w:val="single" w:sz="4" w:space="0" w:color="auto"/>
              <w:right w:val="nil"/>
            </w:tcBorders>
          </w:tcPr>
          <w:p w14:paraId="611B3671" w14:textId="77777777" w:rsidR="007D43ED" w:rsidRPr="00A845B7" w:rsidRDefault="007D43ED" w:rsidP="00C51098">
            <w:pPr>
              <w:rPr>
                <w:rFonts w:ascii="Arial" w:hAnsi="Arial" w:cs="Arial"/>
                <w:bCs/>
              </w:rPr>
            </w:pPr>
          </w:p>
        </w:tc>
        <w:tc>
          <w:tcPr>
            <w:tcW w:w="687" w:type="pct"/>
            <w:tcBorders>
              <w:top w:val="nil"/>
              <w:left w:val="nil"/>
              <w:bottom w:val="single" w:sz="4" w:space="0" w:color="auto"/>
              <w:right w:val="nil"/>
            </w:tcBorders>
          </w:tcPr>
          <w:p w14:paraId="6C0467DD" w14:textId="77777777" w:rsidR="007D43ED" w:rsidRPr="005D6FAA" w:rsidRDefault="007D43ED" w:rsidP="00C51098">
            <w:pPr>
              <w:jc w:val="right"/>
              <w:rPr>
                <w:rFonts w:ascii="Arial" w:hAnsi="Arial" w:cs="Arial"/>
              </w:rPr>
            </w:pPr>
          </w:p>
        </w:tc>
        <w:tc>
          <w:tcPr>
            <w:tcW w:w="685" w:type="pct"/>
            <w:tcBorders>
              <w:top w:val="nil"/>
              <w:left w:val="nil"/>
              <w:bottom w:val="single" w:sz="4" w:space="0" w:color="auto"/>
              <w:right w:val="nil"/>
            </w:tcBorders>
          </w:tcPr>
          <w:p w14:paraId="001168D3" w14:textId="77777777" w:rsidR="007D43ED" w:rsidRPr="00A845B7" w:rsidRDefault="007D43ED" w:rsidP="00C51098">
            <w:pPr>
              <w:jc w:val="right"/>
              <w:rPr>
                <w:rFonts w:ascii="Arial" w:hAnsi="Arial" w:cs="Arial"/>
              </w:rPr>
            </w:pPr>
          </w:p>
        </w:tc>
        <w:tc>
          <w:tcPr>
            <w:tcW w:w="837" w:type="pct"/>
            <w:tcBorders>
              <w:top w:val="nil"/>
              <w:left w:val="nil"/>
              <w:bottom w:val="single" w:sz="4" w:space="0" w:color="auto"/>
              <w:right w:val="nil"/>
            </w:tcBorders>
          </w:tcPr>
          <w:p w14:paraId="36EF0A8B" w14:textId="77777777" w:rsidR="007D43ED" w:rsidRPr="0018703F" w:rsidRDefault="007D43ED" w:rsidP="00C51098">
            <w:pPr>
              <w:jc w:val="right"/>
              <w:rPr>
                <w:rFonts w:ascii="Arial" w:hAnsi="Arial" w:cs="Arial"/>
                <w:highlight w:val="yellow"/>
              </w:rPr>
            </w:pPr>
          </w:p>
        </w:tc>
        <w:tc>
          <w:tcPr>
            <w:tcW w:w="913" w:type="pct"/>
            <w:tcBorders>
              <w:top w:val="nil"/>
              <w:left w:val="nil"/>
              <w:bottom w:val="single" w:sz="4" w:space="0" w:color="auto"/>
              <w:right w:val="nil"/>
            </w:tcBorders>
          </w:tcPr>
          <w:p w14:paraId="0B745091" w14:textId="77777777" w:rsidR="007D43ED" w:rsidRPr="0018703F" w:rsidRDefault="007D43ED" w:rsidP="00C51098">
            <w:pPr>
              <w:jc w:val="right"/>
              <w:rPr>
                <w:rFonts w:ascii="Arial" w:hAnsi="Arial" w:cs="Arial"/>
                <w:highlight w:val="yellow"/>
              </w:rPr>
            </w:pPr>
          </w:p>
        </w:tc>
      </w:tr>
      <w:tr w:rsidR="007D43ED" w:rsidRPr="0042729E" w14:paraId="0237D137" w14:textId="77777777" w:rsidTr="006F78D1">
        <w:trPr>
          <w:gridAfter w:val="1"/>
          <w:wAfter w:w="609" w:type="pct"/>
        </w:trPr>
        <w:tc>
          <w:tcPr>
            <w:tcW w:w="1269" w:type="pct"/>
            <w:tcBorders>
              <w:top w:val="single" w:sz="4" w:space="0" w:color="auto"/>
            </w:tcBorders>
          </w:tcPr>
          <w:p w14:paraId="1E7F8489" w14:textId="77777777" w:rsidR="007D43ED" w:rsidRPr="00A845B7" w:rsidRDefault="007D43ED" w:rsidP="00C51098">
            <w:pPr>
              <w:rPr>
                <w:rFonts w:ascii="Arial" w:hAnsi="Arial" w:cs="Arial"/>
                <w:b/>
              </w:rPr>
            </w:pPr>
            <w:r w:rsidRPr="00A845B7">
              <w:rPr>
                <w:rFonts w:ascii="Arial" w:hAnsi="Arial" w:cs="Arial"/>
                <w:b/>
                <w:bCs/>
              </w:rPr>
              <w:t>Retail profit</w:t>
            </w:r>
          </w:p>
        </w:tc>
        <w:tc>
          <w:tcPr>
            <w:tcW w:w="687" w:type="pct"/>
            <w:tcBorders>
              <w:top w:val="single" w:sz="4" w:space="0" w:color="auto"/>
            </w:tcBorders>
          </w:tcPr>
          <w:p w14:paraId="1D0C35FE" w14:textId="623830FD" w:rsidR="007D43ED" w:rsidRPr="00C14FDE" w:rsidRDefault="003559CA">
            <w:pPr>
              <w:jc w:val="right"/>
              <w:rPr>
                <w:rFonts w:ascii="Arial" w:hAnsi="Arial" w:cs="Arial"/>
              </w:rPr>
            </w:pPr>
            <w:r w:rsidRPr="00C14FDE">
              <w:rPr>
                <w:rFonts w:ascii="Arial" w:hAnsi="Arial" w:cs="Arial"/>
              </w:rPr>
              <w:t>3</w:t>
            </w:r>
            <w:r w:rsidR="00C14FDE" w:rsidRPr="005D6FAA">
              <w:rPr>
                <w:rFonts w:ascii="Arial" w:hAnsi="Arial" w:cs="Arial"/>
              </w:rPr>
              <w:t>99</w:t>
            </w:r>
          </w:p>
        </w:tc>
        <w:tc>
          <w:tcPr>
            <w:tcW w:w="685" w:type="pct"/>
            <w:tcBorders>
              <w:top w:val="single" w:sz="4" w:space="0" w:color="auto"/>
            </w:tcBorders>
          </w:tcPr>
          <w:p w14:paraId="788009EB" w14:textId="20BC4B5B" w:rsidR="007D43ED" w:rsidRPr="00B3045C" w:rsidRDefault="00274B89">
            <w:pPr>
              <w:jc w:val="right"/>
              <w:rPr>
                <w:rFonts w:ascii="Arial" w:hAnsi="Arial" w:cs="Arial"/>
              </w:rPr>
            </w:pPr>
            <w:r w:rsidRPr="00B3045C">
              <w:rPr>
                <w:rFonts w:ascii="Arial" w:hAnsi="Arial" w:cs="Arial"/>
              </w:rPr>
              <w:t>3</w:t>
            </w:r>
            <w:r w:rsidR="00AC4048">
              <w:rPr>
                <w:rFonts w:ascii="Arial" w:hAnsi="Arial" w:cs="Arial"/>
              </w:rPr>
              <w:t>75</w:t>
            </w:r>
          </w:p>
        </w:tc>
        <w:tc>
          <w:tcPr>
            <w:tcW w:w="837" w:type="pct"/>
            <w:tcBorders>
              <w:top w:val="single" w:sz="4" w:space="0" w:color="auto"/>
            </w:tcBorders>
          </w:tcPr>
          <w:p w14:paraId="6309627F" w14:textId="08B23A30" w:rsidR="007D43ED" w:rsidRPr="005D6FAA" w:rsidRDefault="0047756B">
            <w:pPr>
              <w:jc w:val="right"/>
              <w:rPr>
                <w:rFonts w:ascii="Arial" w:hAnsi="Arial" w:cs="Arial"/>
                <w:highlight w:val="yellow"/>
              </w:rPr>
            </w:pPr>
            <w:r w:rsidRPr="0050560E">
              <w:rPr>
                <w:rFonts w:ascii="Arial" w:hAnsi="Arial" w:cs="Arial"/>
              </w:rPr>
              <w:t>+</w:t>
            </w:r>
            <w:r w:rsidR="0050560E" w:rsidRPr="005D6FAA">
              <w:rPr>
                <w:rFonts w:ascii="Arial" w:hAnsi="Arial" w:cs="Arial"/>
              </w:rPr>
              <w:t>6</w:t>
            </w:r>
            <w:r w:rsidR="00A45362" w:rsidRPr="0050560E">
              <w:rPr>
                <w:rFonts w:ascii="Arial" w:hAnsi="Arial" w:cs="Arial"/>
              </w:rPr>
              <w:t>.</w:t>
            </w:r>
            <w:r w:rsidR="00523B78">
              <w:rPr>
                <w:rFonts w:ascii="Arial" w:hAnsi="Arial" w:cs="Arial"/>
              </w:rPr>
              <w:t>0</w:t>
            </w:r>
            <w:r w:rsidR="00316CF3" w:rsidRPr="0050560E">
              <w:rPr>
                <w:rFonts w:ascii="Arial" w:hAnsi="Arial" w:cs="Arial"/>
              </w:rPr>
              <w:t>%</w:t>
            </w:r>
          </w:p>
        </w:tc>
        <w:tc>
          <w:tcPr>
            <w:tcW w:w="913" w:type="pct"/>
            <w:tcBorders>
              <w:top w:val="single" w:sz="4" w:space="0" w:color="auto"/>
            </w:tcBorders>
          </w:tcPr>
          <w:p w14:paraId="7A149227" w14:textId="386EEE39" w:rsidR="007D43ED" w:rsidRPr="005D6FAA" w:rsidRDefault="0047756B" w:rsidP="00DC3143">
            <w:pPr>
              <w:jc w:val="right"/>
              <w:rPr>
                <w:rFonts w:ascii="Arial" w:hAnsi="Arial" w:cs="Arial"/>
                <w:highlight w:val="yellow"/>
              </w:rPr>
            </w:pPr>
            <w:r w:rsidRPr="00523B78">
              <w:rPr>
                <w:rFonts w:ascii="Arial" w:hAnsi="Arial" w:cs="Arial"/>
              </w:rPr>
              <w:t>+</w:t>
            </w:r>
            <w:r w:rsidR="00523B78" w:rsidRPr="005D6FAA">
              <w:rPr>
                <w:rFonts w:ascii="Arial" w:hAnsi="Arial" w:cs="Arial"/>
              </w:rPr>
              <w:t>6</w:t>
            </w:r>
            <w:r w:rsidR="00A45362" w:rsidRPr="00523B78">
              <w:rPr>
                <w:rFonts w:ascii="Arial" w:hAnsi="Arial" w:cs="Arial"/>
              </w:rPr>
              <w:t>.</w:t>
            </w:r>
            <w:r w:rsidR="00B3045C" w:rsidRPr="00523B78">
              <w:rPr>
                <w:rFonts w:ascii="Arial" w:hAnsi="Arial" w:cs="Arial"/>
              </w:rPr>
              <w:t>0</w:t>
            </w:r>
            <w:r w:rsidR="00721073" w:rsidRPr="00523B78">
              <w:rPr>
                <w:rFonts w:ascii="Arial" w:hAnsi="Arial" w:cs="Arial"/>
              </w:rPr>
              <w:t>%</w:t>
            </w:r>
          </w:p>
        </w:tc>
      </w:tr>
    </w:tbl>
    <w:p w14:paraId="3261E5F3" w14:textId="77777777" w:rsidR="007D43ED" w:rsidRDefault="007D43ED" w:rsidP="007D43ED">
      <w:pPr>
        <w:jc w:val="left"/>
        <w:rPr>
          <w:rFonts w:ascii="Arial" w:hAnsi="Arial" w:cs="Arial"/>
          <w:sz w:val="24"/>
          <w:szCs w:val="24"/>
        </w:rPr>
      </w:pPr>
    </w:p>
    <w:p w14:paraId="70BF733E" w14:textId="79794473" w:rsidR="00E16A6C" w:rsidRPr="00A12C1E" w:rsidRDefault="007D43ED">
      <w:pPr>
        <w:jc w:val="left"/>
        <w:rPr>
          <w:rFonts w:ascii="Arial" w:hAnsi="Arial" w:cs="Arial"/>
        </w:rPr>
      </w:pPr>
      <w:bookmarkStart w:id="23" w:name="_Hlk508969362"/>
      <w:bookmarkStart w:id="24" w:name="_Hlk508967106"/>
      <w:r w:rsidRPr="005E7894">
        <w:rPr>
          <w:rFonts w:ascii="Arial" w:hAnsi="Arial" w:cs="Arial"/>
        </w:rPr>
        <w:t xml:space="preserve">Kingfisher UK &amp; Ireland sales were up </w:t>
      </w:r>
      <w:r w:rsidR="00523B78">
        <w:rPr>
          <w:rFonts w:ascii="Arial" w:hAnsi="Arial" w:cs="Arial"/>
        </w:rPr>
        <w:t>1</w:t>
      </w:r>
      <w:r w:rsidR="0050560E" w:rsidRPr="005D6FAA">
        <w:rPr>
          <w:rFonts w:ascii="Arial" w:hAnsi="Arial" w:cs="Arial"/>
        </w:rPr>
        <w:t>.</w:t>
      </w:r>
      <w:r w:rsidR="00523B78" w:rsidRPr="005D6FAA">
        <w:rPr>
          <w:rFonts w:ascii="Arial" w:hAnsi="Arial" w:cs="Arial"/>
        </w:rPr>
        <w:t>1</w:t>
      </w:r>
      <w:r w:rsidRPr="005E7894">
        <w:rPr>
          <w:rFonts w:ascii="Arial" w:hAnsi="Arial" w:cs="Arial"/>
        </w:rPr>
        <w:t xml:space="preserve">% </w:t>
      </w:r>
      <w:r w:rsidRPr="0050560E">
        <w:rPr>
          <w:rFonts w:ascii="Arial" w:hAnsi="Arial" w:cs="Arial"/>
        </w:rPr>
        <w:t>(</w:t>
      </w:r>
      <w:r w:rsidR="00693334">
        <w:rPr>
          <w:rFonts w:ascii="Arial" w:hAnsi="Arial" w:cs="Arial"/>
        </w:rPr>
        <w:t>-</w:t>
      </w:r>
      <w:r w:rsidR="00E344C4" w:rsidRPr="0050560E">
        <w:rPr>
          <w:rFonts w:ascii="Arial" w:hAnsi="Arial" w:cs="Arial"/>
        </w:rPr>
        <w:t>0</w:t>
      </w:r>
      <w:r w:rsidR="00253C4D" w:rsidRPr="0050560E">
        <w:rPr>
          <w:rFonts w:ascii="Arial" w:hAnsi="Arial" w:cs="Arial"/>
        </w:rPr>
        <w:t>.</w:t>
      </w:r>
      <w:r w:rsidR="0050560E" w:rsidRPr="005D6FAA">
        <w:rPr>
          <w:rFonts w:ascii="Arial" w:hAnsi="Arial" w:cs="Arial"/>
        </w:rPr>
        <w:t>8</w:t>
      </w:r>
      <w:r w:rsidR="00253C4D" w:rsidRPr="005E7894">
        <w:rPr>
          <w:rFonts w:ascii="Arial" w:hAnsi="Arial" w:cs="Arial"/>
        </w:rPr>
        <w:t>%</w:t>
      </w:r>
      <w:r w:rsidRPr="005E7894">
        <w:rPr>
          <w:rFonts w:ascii="Arial" w:hAnsi="Arial" w:cs="Arial"/>
        </w:rPr>
        <w:t xml:space="preserve"> LFL) to £</w:t>
      </w:r>
      <w:r w:rsidR="005E7894" w:rsidRPr="0050560E">
        <w:rPr>
          <w:rFonts w:ascii="Arial" w:hAnsi="Arial" w:cs="Arial"/>
        </w:rPr>
        <w:t>5</w:t>
      </w:r>
      <w:r w:rsidR="002E5D72" w:rsidRPr="0050560E">
        <w:rPr>
          <w:rFonts w:ascii="Arial" w:hAnsi="Arial" w:cs="Arial"/>
        </w:rPr>
        <w:t>,</w:t>
      </w:r>
      <w:r w:rsidR="005E7894" w:rsidRPr="0050560E">
        <w:rPr>
          <w:rFonts w:ascii="Arial" w:hAnsi="Arial" w:cs="Arial"/>
        </w:rPr>
        <w:t>0</w:t>
      </w:r>
      <w:r w:rsidR="0050560E" w:rsidRPr="005D6FAA">
        <w:rPr>
          <w:rFonts w:ascii="Arial" w:hAnsi="Arial" w:cs="Arial"/>
        </w:rPr>
        <w:t>61</w:t>
      </w:r>
      <w:r w:rsidR="006006C6" w:rsidRPr="005E7894">
        <w:rPr>
          <w:rFonts w:ascii="Arial" w:hAnsi="Arial" w:cs="Arial"/>
        </w:rPr>
        <w:t xml:space="preserve"> </w:t>
      </w:r>
      <w:r w:rsidRPr="005E7894">
        <w:rPr>
          <w:rFonts w:ascii="Arial" w:hAnsi="Arial" w:cs="Arial"/>
        </w:rPr>
        <w:t>million</w:t>
      </w:r>
      <w:r w:rsidR="0027369E" w:rsidRPr="005E7894">
        <w:rPr>
          <w:rFonts w:ascii="Arial" w:hAnsi="Arial" w:cs="Arial"/>
        </w:rPr>
        <w:t xml:space="preserve"> </w:t>
      </w:r>
      <w:r w:rsidR="0003145B" w:rsidRPr="0003145B">
        <w:rPr>
          <w:rFonts w:ascii="Arial" w:hAnsi="Arial" w:cs="Arial"/>
        </w:rPr>
        <w:t>within the context of a weak consumer backdrop</w:t>
      </w:r>
      <w:r w:rsidR="0003145B">
        <w:rPr>
          <w:rFonts w:ascii="Arial" w:hAnsi="Arial" w:cs="Arial"/>
        </w:rPr>
        <w:t xml:space="preserve">. </w:t>
      </w:r>
      <w:r w:rsidR="00693334" w:rsidRPr="0003145B">
        <w:rPr>
          <w:rFonts w:ascii="Arial" w:hAnsi="Arial" w:cs="Arial"/>
        </w:rPr>
        <w:t xml:space="preserve">Gross margin </w:t>
      </w:r>
      <w:r w:rsidR="00693334">
        <w:rPr>
          <w:rFonts w:ascii="Arial" w:hAnsi="Arial" w:cs="Arial"/>
        </w:rPr>
        <w:t>increased by 20</w:t>
      </w:r>
      <w:r w:rsidR="00693334" w:rsidRPr="0003145B">
        <w:rPr>
          <w:rFonts w:ascii="Arial" w:hAnsi="Arial" w:cs="Arial"/>
        </w:rPr>
        <w:t xml:space="preserve"> basis points</w:t>
      </w:r>
      <w:r w:rsidR="007B5FAB">
        <w:rPr>
          <w:rFonts w:ascii="Arial" w:hAnsi="Arial" w:cs="Arial"/>
        </w:rPr>
        <w:t xml:space="preserve"> and</w:t>
      </w:r>
      <w:r w:rsidR="00693334">
        <w:rPr>
          <w:rFonts w:ascii="Arial" w:hAnsi="Arial" w:cs="Arial"/>
        </w:rPr>
        <w:t xml:space="preserve"> </w:t>
      </w:r>
      <w:r w:rsidR="007B5FAB">
        <w:rPr>
          <w:rFonts w:ascii="Arial" w:hAnsi="Arial" w:cs="Arial"/>
        </w:rPr>
        <w:t>costs were tightly managed resulting in</w:t>
      </w:r>
      <w:r w:rsidR="00693334">
        <w:rPr>
          <w:rFonts w:ascii="Arial" w:hAnsi="Arial" w:cs="Arial"/>
        </w:rPr>
        <w:t xml:space="preserve"> r</w:t>
      </w:r>
      <w:r w:rsidR="0003145B" w:rsidRPr="00B3045C">
        <w:rPr>
          <w:rFonts w:ascii="Arial" w:hAnsi="Arial" w:cs="Arial"/>
        </w:rPr>
        <w:t xml:space="preserve">etail profit </w:t>
      </w:r>
      <w:r w:rsidR="00693334">
        <w:rPr>
          <w:rFonts w:ascii="Arial" w:hAnsi="Arial" w:cs="Arial"/>
        </w:rPr>
        <w:t>up</w:t>
      </w:r>
      <w:r w:rsidR="0003145B" w:rsidRPr="00B3045C">
        <w:rPr>
          <w:rFonts w:ascii="Arial" w:hAnsi="Arial" w:cs="Arial"/>
        </w:rPr>
        <w:t xml:space="preserve"> </w:t>
      </w:r>
      <w:r w:rsidR="00523B78">
        <w:rPr>
          <w:rFonts w:ascii="Arial" w:hAnsi="Arial" w:cs="Arial"/>
        </w:rPr>
        <w:t>6.</w:t>
      </w:r>
      <w:r w:rsidR="004023C9">
        <w:rPr>
          <w:rFonts w:ascii="Arial" w:hAnsi="Arial" w:cs="Arial"/>
        </w:rPr>
        <w:t>0</w:t>
      </w:r>
      <w:r w:rsidR="0003145B" w:rsidRPr="00B3045C">
        <w:rPr>
          <w:rFonts w:ascii="Arial" w:hAnsi="Arial" w:cs="Arial"/>
        </w:rPr>
        <w:t>% to £</w:t>
      </w:r>
      <w:r w:rsidR="0003145B" w:rsidRPr="0050560E">
        <w:rPr>
          <w:rFonts w:ascii="Arial" w:hAnsi="Arial" w:cs="Arial"/>
        </w:rPr>
        <w:t>3</w:t>
      </w:r>
      <w:r w:rsidR="0050560E" w:rsidRPr="005D6FAA">
        <w:rPr>
          <w:rFonts w:ascii="Arial" w:hAnsi="Arial" w:cs="Arial"/>
        </w:rPr>
        <w:t>99</w:t>
      </w:r>
      <w:r w:rsidR="0003145B" w:rsidRPr="00B3045C">
        <w:rPr>
          <w:rFonts w:ascii="Arial" w:hAnsi="Arial" w:cs="Arial"/>
        </w:rPr>
        <w:t xml:space="preserve"> million</w:t>
      </w:r>
      <w:r w:rsidR="00697318">
        <w:rPr>
          <w:rFonts w:ascii="Arial" w:hAnsi="Arial" w:cs="Arial"/>
        </w:rPr>
        <w:t>.</w:t>
      </w:r>
      <w:r w:rsidR="00693334">
        <w:rPr>
          <w:rFonts w:ascii="Arial" w:hAnsi="Arial" w:cs="Arial"/>
        </w:rPr>
        <w:t xml:space="preserve"> </w:t>
      </w:r>
    </w:p>
    <w:bookmarkEnd w:id="23"/>
    <w:p w14:paraId="7BB50BCE" w14:textId="77777777" w:rsidR="007D43ED" w:rsidRPr="0042729E" w:rsidRDefault="007D43ED" w:rsidP="007D43ED">
      <w:pPr>
        <w:jc w:val="left"/>
        <w:rPr>
          <w:rFonts w:ascii="Arial" w:hAnsi="Arial" w:cs="Arial"/>
          <w:sz w:val="24"/>
          <w:szCs w:val="24"/>
          <w:highlight w:val="yellow"/>
        </w:rPr>
      </w:pPr>
    </w:p>
    <w:p w14:paraId="25AEE7FC" w14:textId="3776BA9D" w:rsidR="00A12C1E" w:rsidRDefault="007D43ED" w:rsidP="00704A7F">
      <w:pPr>
        <w:jc w:val="left"/>
        <w:rPr>
          <w:rFonts w:ascii="Arial" w:hAnsi="Arial" w:cs="Arial"/>
        </w:rPr>
      </w:pPr>
      <w:r w:rsidRPr="005E7894">
        <w:rPr>
          <w:rFonts w:ascii="Arial" w:hAnsi="Arial" w:cs="Arial"/>
          <w:b/>
          <w:bCs/>
        </w:rPr>
        <w:t>B&amp;Q</w:t>
      </w:r>
      <w:r w:rsidRPr="005E7894">
        <w:rPr>
          <w:rFonts w:ascii="Arial" w:hAnsi="Arial" w:cs="Arial"/>
        </w:rPr>
        <w:t xml:space="preserve"> total sales </w:t>
      </w:r>
      <w:r w:rsidR="002E5D72" w:rsidRPr="005E7894">
        <w:rPr>
          <w:rFonts w:ascii="Arial" w:hAnsi="Arial" w:cs="Arial"/>
        </w:rPr>
        <w:t xml:space="preserve">declined by </w:t>
      </w:r>
      <w:r w:rsidR="0050560E" w:rsidRPr="005D6FAA">
        <w:rPr>
          <w:rFonts w:ascii="Arial" w:hAnsi="Arial" w:cs="Arial"/>
        </w:rPr>
        <w:t>2</w:t>
      </w:r>
      <w:r w:rsidR="00850AD2" w:rsidRPr="00523B78">
        <w:rPr>
          <w:rFonts w:ascii="Arial" w:hAnsi="Arial" w:cs="Arial"/>
        </w:rPr>
        <w:t>.</w:t>
      </w:r>
      <w:r w:rsidR="0050560E" w:rsidRPr="00523B78">
        <w:rPr>
          <w:rFonts w:ascii="Arial" w:hAnsi="Arial" w:cs="Arial"/>
        </w:rPr>
        <w:t>8</w:t>
      </w:r>
      <w:r w:rsidRPr="0050560E">
        <w:rPr>
          <w:rFonts w:ascii="Arial" w:hAnsi="Arial" w:cs="Arial"/>
        </w:rPr>
        <w:t xml:space="preserve">% </w:t>
      </w:r>
      <w:r w:rsidR="00E27B2D" w:rsidRPr="0050560E">
        <w:rPr>
          <w:rFonts w:ascii="Arial" w:hAnsi="Arial" w:cs="Arial"/>
        </w:rPr>
        <w:t>to £3,</w:t>
      </w:r>
      <w:r w:rsidR="0050560E" w:rsidRPr="005D6FAA">
        <w:rPr>
          <w:rFonts w:ascii="Arial" w:hAnsi="Arial" w:cs="Arial"/>
        </w:rPr>
        <w:t>390</w:t>
      </w:r>
      <w:r w:rsidR="00E27B2D" w:rsidRPr="005E7894">
        <w:rPr>
          <w:rFonts w:ascii="Arial" w:hAnsi="Arial" w:cs="Arial"/>
        </w:rPr>
        <w:t xml:space="preserve"> million</w:t>
      </w:r>
      <w:r w:rsidR="00A12C1E">
        <w:rPr>
          <w:rFonts w:ascii="Arial" w:hAnsi="Arial" w:cs="Arial"/>
        </w:rPr>
        <w:t xml:space="preserve">. LFL sales declined by </w:t>
      </w:r>
      <w:r w:rsidR="0050560E" w:rsidRPr="005D6FAA">
        <w:rPr>
          <w:rFonts w:ascii="Arial" w:hAnsi="Arial" w:cs="Arial"/>
        </w:rPr>
        <w:t>3.0</w:t>
      </w:r>
      <w:r w:rsidR="00A12C1E">
        <w:rPr>
          <w:rFonts w:ascii="Arial" w:hAnsi="Arial" w:cs="Arial"/>
        </w:rPr>
        <w:t>%.</w:t>
      </w:r>
      <w:r w:rsidR="00A12C1E" w:rsidRPr="00AC598B">
        <w:rPr>
          <w:rFonts w:ascii="Arial" w:hAnsi="Arial" w:cs="Arial"/>
        </w:rPr>
        <w:t xml:space="preserve"> </w:t>
      </w:r>
      <w:r w:rsidR="0014065D">
        <w:rPr>
          <w:rFonts w:ascii="Arial" w:hAnsi="Arial" w:cs="Arial"/>
        </w:rPr>
        <w:t>The discontinuation of installations impacted LFL by</w:t>
      </w:r>
      <w:r w:rsidR="006A3DF8">
        <w:rPr>
          <w:rFonts w:ascii="Arial" w:hAnsi="Arial" w:cs="Arial"/>
        </w:rPr>
        <w:t xml:space="preserve"> c. 2</w:t>
      </w:r>
      <w:r w:rsidR="0014065D">
        <w:rPr>
          <w:rFonts w:ascii="Arial" w:hAnsi="Arial" w:cs="Arial"/>
        </w:rPr>
        <w:t xml:space="preserve">% in H2 and in </w:t>
      </w:r>
      <w:r w:rsidR="006A3DF8">
        <w:rPr>
          <w:rFonts w:ascii="Arial" w:hAnsi="Arial" w:cs="Arial"/>
        </w:rPr>
        <w:t>c. 1</w:t>
      </w:r>
      <w:r w:rsidR="0014065D">
        <w:rPr>
          <w:rFonts w:ascii="Arial" w:hAnsi="Arial" w:cs="Arial"/>
        </w:rPr>
        <w:t xml:space="preserve">% the full year. </w:t>
      </w:r>
      <w:r w:rsidR="00704A7F" w:rsidRPr="00704A7F">
        <w:rPr>
          <w:rFonts w:ascii="Arial" w:hAnsi="Arial" w:cs="Arial"/>
        </w:rPr>
        <w:t>LFL sales of</w:t>
      </w:r>
      <w:r w:rsidR="007B5FAB">
        <w:rPr>
          <w:rFonts w:ascii="Arial" w:hAnsi="Arial" w:cs="Arial"/>
        </w:rPr>
        <w:t xml:space="preserve"> w</w:t>
      </w:r>
      <w:r w:rsidR="00704A7F" w:rsidRPr="00704A7F">
        <w:rPr>
          <w:rFonts w:ascii="Arial" w:hAnsi="Arial" w:cs="Arial"/>
        </w:rPr>
        <w:t xml:space="preserve">eather-related categories increased by </w:t>
      </w:r>
      <w:r w:rsidR="00523B78" w:rsidRPr="008635E6">
        <w:rPr>
          <w:rFonts w:ascii="Arial" w:hAnsi="Arial" w:cs="Arial"/>
        </w:rPr>
        <w:t>1.</w:t>
      </w:r>
      <w:r w:rsidR="00A708EC">
        <w:rPr>
          <w:rFonts w:ascii="Arial" w:hAnsi="Arial" w:cs="Arial"/>
        </w:rPr>
        <w:t>8</w:t>
      </w:r>
      <w:r w:rsidR="00704A7F" w:rsidRPr="00704A7F">
        <w:rPr>
          <w:rFonts w:ascii="Arial" w:hAnsi="Arial" w:cs="Arial"/>
        </w:rPr>
        <w:t>% while sales of non-weather-related categories,</w:t>
      </w:r>
      <w:r w:rsidR="007B5FAB">
        <w:rPr>
          <w:rFonts w:ascii="Arial" w:hAnsi="Arial" w:cs="Arial"/>
        </w:rPr>
        <w:t xml:space="preserve"> </w:t>
      </w:r>
      <w:r w:rsidR="00704A7F" w:rsidRPr="00704A7F">
        <w:rPr>
          <w:rFonts w:ascii="Arial" w:hAnsi="Arial" w:cs="Arial"/>
        </w:rPr>
        <w:t xml:space="preserve">including showroom, were down </w:t>
      </w:r>
      <w:r w:rsidR="00113F34" w:rsidRPr="00C2187E">
        <w:rPr>
          <w:rFonts w:ascii="Arial" w:hAnsi="Arial" w:cs="Arial"/>
        </w:rPr>
        <w:t>4</w:t>
      </w:r>
      <w:r w:rsidR="00F811C3" w:rsidRPr="00F811C3">
        <w:rPr>
          <w:rFonts w:ascii="Arial" w:hAnsi="Arial" w:cs="Arial"/>
        </w:rPr>
        <w:t>.</w:t>
      </w:r>
      <w:r w:rsidR="00F811C3">
        <w:rPr>
          <w:rFonts w:ascii="Arial" w:hAnsi="Arial" w:cs="Arial"/>
        </w:rPr>
        <w:t>4</w:t>
      </w:r>
      <w:r w:rsidR="00704A7F" w:rsidRPr="00704A7F">
        <w:rPr>
          <w:rFonts w:ascii="Arial" w:hAnsi="Arial" w:cs="Arial"/>
        </w:rPr>
        <w:t>%</w:t>
      </w:r>
      <w:r w:rsidR="007B2D2F">
        <w:rPr>
          <w:rFonts w:ascii="Arial" w:hAnsi="Arial" w:cs="Arial"/>
        </w:rPr>
        <w:t xml:space="preserve">. </w:t>
      </w:r>
    </w:p>
    <w:p w14:paraId="79211C9F" w14:textId="7A011DFC" w:rsidR="007D43ED" w:rsidRDefault="007D43ED" w:rsidP="007D43ED">
      <w:pPr>
        <w:jc w:val="left"/>
        <w:rPr>
          <w:rFonts w:ascii="Arial" w:hAnsi="Arial" w:cs="Arial"/>
          <w:highlight w:val="yellow"/>
        </w:rPr>
      </w:pPr>
    </w:p>
    <w:p w14:paraId="17E85059" w14:textId="4CFA15B7" w:rsidR="00B906B8" w:rsidRDefault="00B906B8" w:rsidP="00B906B8">
      <w:pPr>
        <w:jc w:val="left"/>
        <w:rPr>
          <w:rFonts w:ascii="Arial" w:hAnsi="Arial" w:cs="Arial"/>
          <w:highlight w:val="yellow"/>
        </w:rPr>
      </w:pPr>
      <w:r w:rsidRPr="00B906B8">
        <w:rPr>
          <w:rFonts w:ascii="Arial" w:hAnsi="Arial" w:cs="Arial"/>
        </w:rPr>
        <w:t xml:space="preserve">B&amp;Q’s total online sales continued to make good progress with sales growing by </w:t>
      </w:r>
      <w:r w:rsidR="0050560E">
        <w:rPr>
          <w:rFonts w:ascii="Arial" w:hAnsi="Arial" w:cs="Arial"/>
        </w:rPr>
        <w:t>9</w:t>
      </w:r>
      <w:r w:rsidRPr="00B906B8">
        <w:rPr>
          <w:rFonts w:ascii="Arial" w:hAnsi="Arial" w:cs="Arial"/>
        </w:rPr>
        <w:t>% (including</w:t>
      </w:r>
      <w:r w:rsidR="00113F34">
        <w:rPr>
          <w:rFonts w:ascii="Arial" w:hAnsi="Arial" w:cs="Arial"/>
        </w:rPr>
        <w:t xml:space="preserve"> </w:t>
      </w:r>
      <w:r w:rsidRPr="00B906B8">
        <w:rPr>
          <w:rFonts w:ascii="Arial" w:hAnsi="Arial" w:cs="Arial"/>
        </w:rPr>
        <w:t xml:space="preserve">click &amp; collect </w:t>
      </w:r>
      <w:r w:rsidR="00113F34">
        <w:rPr>
          <w:rFonts w:ascii="Arial" w:hAnsi="Arial" w:cs="Arial"/>
        </w:rPr>
        <w:t xml:space="preserve">up </w:t>
      </w:r>
      <w:r w:rsidR="0050560E">
        <w:rPr>
          <w:rFonts w:ascii="Arial" w:hAnsi="Arial" w:cs="Arial"/>
        </w:rPr>
        <w:t>42</w:t>
      </w:r>
      <w:r w:rsidRPr="00B906B8">
        <w:rPr>
          <w:rFonts w:ascii="Arial" w:hAnsi="Arial" w:cs="Arial"/>
        </w:rPr>
        <w:t xml:space="preserve">% and mobile </w:t>
      </w:r>
      <w:r w:rsidR="00113F34">
        <w:rPr>
          <w:rFonts w:ascii="Arial" w:hAnsi="Arial" w:cs="Arial"/>
        </w:rPr>
        <w:t>up</w:t>
      </w:r>
      <w:r w:rsidRPr="00B906B8">
        <w:rPr>
          <w:rFonts w:ascii="Arial" w:hAnsi="Arial" w:cs="Arial"/>
        </w:rPr>
        <w:t xml:space="preserve"> </w:t>
      </w:r>
      <w:r w:rsidRPr="00523B78">
        <w:rPr>
          <w:rFonts w:ascii="Arial" w:hAnsi="Arial" w:cs="Arial"/>
        </w:rPr>
        <w:t>4</w:t>
      </w:r>
      <w:r w:rsidR="00523B78" w:rsidRPr="00523B78">
        <w:rPr>
          <w:rFonts w:ascii="Arial" w:hAnsi="Arial" w:cs="Arial"/>
        </w:rPr>
        <w:t>4</w:t>
      </w:r>
      <w:r w:rsidRPr="00B906B8">
        <w:rPr>
          <w:rFonts w:ascii="Arial" w:hAnsi="Arial" w:cs="Arial"/>
        </w:rPr>
        <w:t>%)</w:t>
      </w:r>
      <w:r w:rsidR="006F062D">
        <w:rPr>
          <w:rFonts w:ascii="Arial" w:hAnsi="Arial" w:cs="Arial"/>
        </w:rPr>
        <w:t xml:space="preserve"> and now </w:t>
      </w:r>
      <w:r w:rsidR="006F062D" w:rsidRPr="00B906B8">
        <w:rPr>
          <w:rFonts w:ascii="Arial" w:hAnsi="Arial" w:cs="Arial"/>
        </w:rPr>
        <w:t xml:space="preserve">represent </w:t>
      </w:r>
      <w:r w:rsidR="006F062D">
        <w:rPr>
          <w:rFonts w:ascii="Arial" w:hAnsi="Arial" w:cs="Arial"/>
        </w:rPr>
        <w:t>5</w:t>
      </w:r>
      <w:r w:rsidR="006F062D" w:rsidRPr="00B906B8">
        <w:rPr>
          <w:rFonts w:ascii="Arial" w:hAnsi="Arial" w:cs="Arial"/>
        </w:rPr>
        <w:t>% of total</w:t>
      </w:r>
      <w:r w:rsidR="006F062D">
        <w:rPr>
          <w:rFonts w:ascii="Arial" w:hAnsi="Arial" w:cs="Arial"/>
        </w:rPr>
        <w:t xml:space="preserve"> </w:t>
      </w:r>
      <w:r w:rsidR="006F062D" w:rsidRPr="00B906B8">
        <w:rPr>
          <w:rFonts w:ascii="Arial" w:hAnsi="Arial" w:cs="Arial"/>
        </w:rPr>
        <w:t>sales</w:t>
      </w:r>
      <w:r w:rsidR="006F062D">
        <w:rPr>
          <w:rFonts w:ascii="Arial" w:hAnsi="Arial" w:cs="Arial"/>
        </w:rPr>
        <w:t>.</w:t>
      </w:r>
    </w:p>
    <w:p w14:paraId="6030713C" w14:textId="77777777" w:rsidR="007D43ED" w:rsidRPr="0042729E" w:rsidRDefault="007D43ED" w:rsidP="007D43ED">
      <w:pPr>
        <w:jc w:val="left"/>
        <w:rPr>
          <w:rFonts w:ascii="Arial" w:hAnsi="Arial" w:cs="Arial"/>
          <w:highlight w:val="yellow"/>
        </w:rPr>
      </w:pPr>
    </w:p>
    <w:p w14:paraId="3D74EA8E" w14:textId="621BAA54" w:rsidR="007D43ED" w:rsidRPr="0018703F" w:rsidRDefault="007D43ED" w:rsidP="00B906B8">
      <w:pPr>
        <w:pStyle w:val="PlainText"/>
        <w:rPr>
          <w:rFonts w:ascii="Arial" w:hAnsi="Arial" w:cs="Arial"/>
          <w:sz w:val="22"/>
          <w:szCs w:val="22"/>
          <w:highlight w:val="yellow"/>
        </w:rPr>
      </w:pPr>
      <w:bookmarkStart w:id="25" w:name="_Hlk506991464"/>
      <w:r w:rsidRPr="005E7894">
        <w:rPr>
          <w:rFonts w:ascii="Arial" w:hAnsi="Arial" w:cs="Arial"/>
          <w:b/>
          <w:sz w:val="22"/>
          <w:szCs w:val="22"/>
        </w:rPr>
        <w:t>Screwfix</w:t>
      </w:r>
      <w:r w:rsidRPr="005E7894">
        <w:rPr>
          <w:rFonts w:ascii="Arial" w:hAnsi="Arial" w:cs="Arial"/>
          <w:sz w:val="22"/>
          <w:szCs w:val="22"/>
        </w:rPr>
        <w:t xml:space="preserve"> total sales </w:t>
      </w:r>
      <w:r w:rsidR="003559CA">
        <w:rPr>
          <w:rFonts w:ascii="Arial" w:hAnsi="Arial" w:cs="Arial"/>
          <w:sz w:val="22"/>
          <w:szCs w:val="22"/>
        </w:rPr>
        <w:t xml:space="preserve">increased </w:t>
      </w:r>
      <w:r w:rsidRPr="005E7894">
        <w:rPr>
          <w:rFonts w:ascii="Arial" w:hAnsi="Arial" w:cs="Arial"/>
          <w:sz w:val="22"/>
          <w:szCs w:val="22"/>
        </w:rPr>
        <w:t xml:space="preserve">by </w:t>
      </w:r>
      <w:r w:rsidR="005E7894" w:rsidRPr="00523B78">
        <w:rPr>
          <w:rFonts w:ascii="Arial" w:hAnsi="Arial" w:cs="Arial"/>
          <w:sz w:val="22"/>
          <w:szCs w:val="22"/>
        </w:rPr>
        <w:t>1</w:t>
      </w:r>
      <w:r w:rsidR="0050560E" w:rsidRPr="005D6FAA">
        <w:rPr>
          <w:rFonts w:ascii="Arial" w:hAnsi="Arial" w:cs="Arial"/>
          <w:sz w:val="22"/>
          <w:szCs w:val="22"/>
        </w:rPr>
        <w:t>0</w:t>
      </w:r>
      <w:r w:rsidR="00850AD2" w:rsidRPr="00523B78">
        <w:rPr>
          <w:rFonts w:ascii="Arial" w:hAnsi="Arial" w:cs="Arial"/>
          <w:sz w:val="22"/>
          <w:szCs w:val="22"/>
        </w:rPr>
        <w:t>.</w:t>
      </w:r>
      <w:r w:rsidR="0050560E" w:rsidRPr="005D6FAA">
        <w:rPr>
          <w:rFonts w:ascii="Arial" w:hAnsi="Arial" w:cs="Arial"/>
          <w:sz w:val="22"/>
          <w:szCs w:val="22"/>
        </w:rPr>
        <w:t>3</w:t>
      </w:r>
      <w:r w:rsidRPr="0050560E">
        <w:rPr>
          <w:rFonts w:ascii="Arial" w:hAnsi="Arial" w:cs="Arial"/>
          <w:sz w:val="22"/>
          <w:szCs w:val="22"/>
        </w:rPr>
        <w:t>% (+</w:t>
      </w:r>
      <w:r w:rsidR="0050560E" w:rsidRPr="005D6FAA">
        <w:rPr>
          <w:rFonts w:ascii="Arial" w:hAnsi="Arial" w:cs="Arial"/>
          <w:sz w:val="22"/>
          <w:szCs w:val="22"/>
        </w:rPr>
        <w:t>4</w:t>
      </w:r>
      <w:r w:rsidR="00850AD2" w:rsidRPr="0050560E">
        <w:rPr>
          <w:rFonts w:ascii="Arial" w:hAnsi="Arial" w:cs="Arial"/>
          <w:sz w:val="22"/>
          <w:szCs w:val="22"/>
        </w:rPr>
        <w:t>.</w:t>
      </w:r>
      <w:r w:rsidR="005E7894" w:rsidRPr="0050560E">
        <w:rPr>
          <w:rFonts w:ascii="Arial" w:hAnsi="Arial" w:cs="Arial"/>
          <w:sz w:val="22"/>
          <w:szCs w:val="22"/>
        </w:rPr>
        <w:t>1</w:t>
      </w:r>
      <w:r w:rsidRPr="0050560E">
        <w:rPr>
          <w:rFonts w:ascii="Arial" w:hAnsi="Arial" w:cs="Arial"/>
          <w:sz w:val="22"/>
          <w:szCs w:val="22"/>
        </w:rPr>
        <w:t>% LFL) to £</w:t>
      </w:r>
      <w:r w:rsidR="00850AD2" w:rsidRPr="0050560E">
        <w:rPr>
          <w:rFonts w:ascii="Arial" w:hAnsi="Arial" w:cs="Arial"/>
          <w:sz w:val="22"/>
          <w:szCs w:val="22"/>
        </w:rPr>
        <w:t>1,</w:t>
      </w:r>
      <w:r w:rsidR="0050560E" w:rsidRPr="0050560E">
        <w:rPr>
          <w:rFonts w:ascii="Arial" w:hAnsi="Arial" w:cs="Arial"/>
          <w:sz w:val="22"/>
          <w:szCs w:val="22"/>
        </w:rPr>
        <w:t>671</w:t>
      </w:r>
      <w:r w:rsidR="00E95DC2" w:rsidRPr="005E7894">
        <w:rPr>
          <w:rFonts w:ascii="Arial" w:hAnsi="Arial" w:cs="Arial"/>
          <w:sz w:val="22"/>
          <w:szCs w:val="22"/>
        </w:rPr>
        <w:t xml:space="preserve"> </w:t>
      </w:r>
      <w:r w:rsidRPr="005E7894">
        <w:rPr>
          <w:rFonts w:ascii="Arial" w:hAnsi="Arial" w:cs="Arial"/>
          <w:sz w:val="22"/>
          <w:szCs w:val="22"/>
        </w:rPr>
        <w:t>million</w:t>
      </w:r>
      <w:r w:rsidR="00B906B8">
        <w:rPr>
          <w:rFonts w:ascii="Arial" w:hAnsi="Arial" w:cs="Arial"/>
          <w:sz w:val="22"/>
          <w:szCs w:val="22"/>
        </w:rPr>
        <w:t xml:space="preserve">, </w:t>
      </w:r>
      <w:r w:rsidR="00B906B8" w:rsidRPr="00B906B8">
        <w:rPr>
          <w:rFonts w:ascii="Arial" w:hAnsi="Arial" w:cs="Arial"/>
          <w:sz w:val="22"/>
          <w:szCs w:val="22"/>
        </w:rPr>
        <w:t>driven by specialist trade desks</w:t>
      </w:r>
      <w:r w:rsidR="00B906B8">
        <w:rPr>
          <w:rFonts w:ascii="Arial" w:hAnsi="Arial" w:cs="Arial"/>
          <w:sz w:val="22"/>
          <w:szCs w:val="22"/>
        </w:rPr>
        <w:t xml:space="preserve"> </w:t>
      </w:r>
      <w:r w:rsidR="00B906B8" w:rsidRPr="00B906B8">
        <w:rPr>
          <w:rFonts w:ascii="Arial" w:hAnsi="Arial" w:cs="Arial"/>
          <w:sz w:val="22"/>
          <w:szCs w:val="22"/>
        </w:rPr>
        <w:t xml:space="preserve">exclusive to plumbers and electricians, strong digital growth </w:t>
      </w:r>
      <w:r w:rsidR="00B906B8" w:rsidRPr="0050560E">
        <w:rPr>
          <w:rFonts w:ascii="Arial" w:hAnsi="Arial" w:cs="Arial"/>
          <w:sz w:val="22"/>
          <w:szCs w:val="22"/>
        </w:rPr>
        <w:t>of 1</w:t>
      </w:r>
      <w:r w:rsidR="0050560E" w:rsidRPr="0050560E">
        <w:rPr>
          <w:rFonts w:ascii="Arial" w:hAnsi="Arial" w:cs="Arial"/>
          <w:sz w:val="22"/>
          <w:szCs w:val="22"/>
        </w:rPr>
        <w:t>9</w:t>
      </w:r>
      <w:r w:rsidR="00B906B8" w:rsidRPr="00B906B8">
        <w:rPr>
          <w:rFonts w:ascii="Arial" w:hAnsi="Arial" w:cs="Arial"/>
          <w:sz w:val="22"/>
          <w:szCs w:val="22"/>
        </w:rPr>
        <w:t xml:space="preserve">% (e.g. mobile </w:t>
      </w:r>
      <w:r w:rsidR="00B906B8" w:rsidRPr="00523B78">
        <w:rPr>
          <w:rFonts w:ascii="Arial" w:hAnsi="Arial" w:cs="Arial"/>
          <w:sz w:val="22"/>
          <w:szCs w:val="22"/>
        </w:rPr>
        <w:t>+ 4</w:t>
      </w:r>
      <w:r w:rsidR="00523B78" w:rsidRPr="00523B78">
        <w:rPr>
          <w:rFonts w:ascii="Arial" w:hAnsi="Arial" w:cs="Arial"/>
          <w:sz w:val="22"/>
          <w:szCs w:val="22"/>
        </w:rPr>
        <w:t>4</w:t>
      </w:r>
      <w:r w:rsidR="00B906B8" w:rsidRPr="00B906B8">
        <w:rPr>
          <w:rFonts w:ascii="Arial" w:hAnsi="Arial" w:cs="Arial"/>
          <w:sz w:val="22"/>
          <w:szCs w:val="22"/>
        </w:rPr>
        <w:t>%; click &amp;</w:t>
      </w:r>
      <w:r w:rsidR="00B906B8">
        <w:rPr>
          <w:rFonts w:ascii="Arial" w:hAnsi="Arial" w:cs="Arial"/>
          <w:sz w:val="22"/>
          <w:szCs w:val="22"/>
        </w:rPr>
        <w:t xml:space="preserve"> </w:t>
      </w:r>
      <w:r w:rsidR="00B906B8" w:rsidRPr="00B906B8">
        <w:rPr>
          <w:rFonts w:ascii="Arial" w:hAnsi="Arial" w:cs="Arial"/>
          <w:sz w:val="22"/>
          <w:szCs w:val="22"/>
        </w:rPr>
        <w:t xml:space="preserve">collect </w:t>
      </w:r>
      <w:r w:rsidR="00B906B8" w:rsidRPr="0050560E">
        <w:rPr>
          <w:rFonts w:ascii="Arial" w:hAnsi="Arial" w:cs="Arial"/>
          <w:sz w:val="22"/>
          <w:szCs w:val="22"/>
        </w:rPr>
        <w:t>+2</w:t>
      </w:r>
      <w:r w:rsidR="0050560E" w:rsidRPr="0050560E">
        <w:rPr>
          <w:rFonts w:ascii="Arial" w:hAnsi="Arial" w:cs="Arial"/>
          <w:sz w:val="22"/>
          <w:szCs w:val="22"/>
        </w:rPr>
        <w:t>3</w:t>
      </w:r>
      <w:r w:rsidR="00B906B8" w:rsidRPr="00B906B8">
        <w:rPr>
          <w:rFonts w:ascii="Arial" w:hAnsi="Arial" w:cs="Arial"/>
          <w:sz w:val="22"/>
          <w:szCs w:val="22"/>
        </w:rPr>
        <w:t xml:space="preserve">%) and the continued rollout of new outlets. </w:t>
      </w:r>
      <w:r w:rsidR="00523B78">
        <w:rPr>
          <w:rFonts w:ascii="Arial" w:hAnsi="Arial" w:cs="Arial"/>
          <w:sz w:val="22"/>
          <w:szCs w:val="22"/>
        </w:rPr>
        <w:t>50</w:t>
      </w:r>
      <w:r w:rsidR="00B906B8" w:rsidRPr="00B906B8">
        <w:rPr>
          <w:rFonts w:ascii="Arial" w:hAnsi="Arial" w:cs="Arial"/>
          <w:sz w:val="22"/>
          <w:szCs w:val="22"/>
        </w:rPr>
        <w:t xml:space="preserve"> new outlets were opened, taking the</w:t>
      </w:r>
      <w:r w:rsidR="00B906B8">
        <w:rPr>
          <w:rFonts w:ascii="Arial" w:hAnsi="Arial" w:cs="Arial"/>
          <w:sz w:val="22"/>
          <w:szCs w:val="22"/>
        </w:rPr>
        <w:t xml:space="preserve"> </w:t>
      </w:r>
      <w:r w:rsidR="00B906B8" w:rsidRPr="00B906B8">
        <w:rPr>
          <w:rFonts w:ascii="Arial" w:hAnsi="Arial" w:cs="Arial"/>
          <w:sz w:val="22"/>
          <w:szCs w:val="22"/>
        </w:rPr>
        <w:t xml:space="preserve">total to </w:t>
      </w:r>
      <w:r w:rsidR="00523B78">
        <w:rPr>
          <w:rFonts w:ascii="Arial" w:hAnsi="Arial" w:cs="Arial"/>
          <w:sz w:val="22"/>
          <w:szCs w:val="22"/>
        </w:rPr>
        <w:t>627</w:t>
      </w:r>
      <w:r w:rsidR="00772419">
        <w:rPr>
          <w:rFonts w:ascii="Arial" w:hAnsi="Arial" w:cs="Arial"/>
          <w:sz w:val="22"/>
          <w:szCs w:val="22"/>
        </w:rPr>
        <w:t xml:space="preserve"> and a fourth distribution centre was opened in Lichfield in May</w:t>
      </w:r>
      <w:r w:rsidR="00B906B8">
        <w:rPr>
          <w:rFonts w:ascii="Arial" w:hAnsi="Arial" w:cs="Arial"/>
          <w:sz w:val="22"/>
          <w:szCs w:val="22"/>
        </w:rPr>
        <w:t xml:space="preserve">. </w:t>
      </w:r>
      <w:r w:rsidR="007B5FAB">
        <w:rPr>
          <w:rFonts w:ascii="Arial" w:hAnsi="Arial" w:cs="Arial"/>
          <w:sz w:val="22"/>
          <w:szCs w:val="22"/>
        </w:rPr>
        <w:t xml:space="preserve">We have increased our </w:t>
      </w:r>
      <w:r w:rsidR="00CF6B8E" w:rsidRPr="00A12C1E">
        <w:rPr>
          <w:rFonts w:ascii="Arial" w:hAnsi="Arial" w:cs="Arial"/>
          <w:sz w:val="22"/>
          <w:szCs w:val="22"/>
        </w:rPr>
        <w:t xml:space="preserve">overall target </w:t>
      </w:r>
      <w:r w:rsidR="007B5FAB">
        <w:rPr>
          <w:rFonts w:ascii="Arial" w:hAnsi="Arial" w:cs="Arial"/>
          <w:sz w:val="22"/>
          <w:szCs w:val="22"/>
        </w:rPr>
        <w:t xml:space="preserve">to </w:t>
      </w:r>
      <w:r w:rsidR="002C4FF8">
        <w:rPr>
          <w:rFonts w:ascii="Arial" w:hAnsi="Arial" w:cs="Arial"/>
          <w:sz w:val="22"/>
          <w:szCs w:val="22"/>
        </w:rPr>
        <w:t xml:space="preserve">approximately </w:t>
      </w:r>
      <w:r w:rsidR="00B906B8">
        <w:rPr>
          <w:rFonts w:ascii="Arial" w:hAnsi="Arial" w:cs="Arial"/>
          <w:sz w:val="22"/>
          <w:szCs w:val="22"/>
        </w:rPr>
        <w:t>8</w:t>
      </w:r>
      <w:r w:rsidR="00CF6B8E" w:rsidRPr="00A12C1E">
        <w:rPr>
          <w:rFonts w:ascii="Arial" w:hAnsi="Arial" w:cs="Arial"/>
          <w:sz w:val="22"/>
          <w:szCs w:val="22"/>
        </w:rPr>
        <w:t>00 outlets in the UK</w:t>
      </w:r>
      <w:r w:rsidR="00B906B8">
        <w:rPr>
          <w:rFonts w:ascii="Arial" w:hAnsi="Arial" w:cs="Arial"/>
          <w:sz w:val="22"/>
          <w:szCs w:val="22"/>
        </w:rPr>
        <w:t>, up from</w:t>
      </w:r>
      <w:r w:rsidR="007B5FAB">
        <w:rPr>
          <w:rFonts w:ascii="Arial" w:hAnsi="Arial" w:cs="Arial"/>
          <w:sz w:val="22"/>
          <w:szCs w:val="22"/>
        </w:rPr>
        <w:t xml:space="preserve"> </w:t>
      </w:r>
      <w:r w:rsidR="002C4FF8">
        <w:rPr>
          <w:rFonts w:ascii="Arial" w:hAnsi="Arial" w:cs="Arial"/>
          <w:sz w:val="22"/>
          <w:szCs w:val="22"/>
        </w:rPr>
        <w:t>approximately</w:t>
      </w:r>
      <w:r w:rsidR="00B906B8">
        <w:rPr>
          <w:rFonts w:ascii="Arial" w:hAnsi="Arial" w:cs="Arial"/>
          <w:sz w:val="22"/>
          <w:szCs w:val="22"/>
        </w:rPr>
        <w:t xml:space="preserve"> 700 previously</w:t>
      </w:r>
      <w:r w:rsidR="007B5FAB">
        <w:rPr>
          <w:rFonts w:ascii="Arial" w:hAnsi="Arial" w:cs="Arial"/>
          <w:sz w:val="22"/>
          <w:szCs w:val="22"/>
        </w:rPr>
        <w:t xml:space="preserve"> </w:t>
      </w:r>
      <w:proofErr w:type="gramStart"/>
      <w:r w:rsidR="007B5FAB">
        <w:rPr>
          <w:rFonts w:ascii="Arial" w:hAnsi="Arial" w:cs="Arial"/>
          <w:sz w:val="22"/>
          <w:szCs w:val="22"/>
        </w:rPr>
        <w:t xml:space="preserve">and </w:t>
      </w:r>
      <w:r w:rsidR="00804116">
        <w:rPr>
          <w:rFonts w:ascii="Arial" w:hAnsi="Arial" w:cs="Arial"/>
          <w:sz w:val="22"/>
          <w:szCs w:val="22"/>
        </w:rPr>
        <w:t>also</w:t>
      </w:r>
      <w:proofErr w:type="gramEnd"/>
      <w:r w:rsidR="00804116">
        <w:rPr>
          <w:rFonts w:ascii="Arial" w:hAnsi="Arial" w:cs="Arial"/>
          <w:sz w:val="22"/>
          <w:szCs w:val="22"/>
        </w:rPr>
        <w:t xml:space="preserve"> </w:t>
      </w:r>
      <w:r w:rsidR="007B5FAB">
        <w:rPr>
          <w:rFonts w:ascii="Arial" w:hAnsi="Arial" w:cs="Arial"/>
          <w:sz w:val="22"/>
          <w:szCs w:val="22"/>
        </w:rPr>
        <w:t>intend to open stores in</w:t>
      </w:r>
      <w:r w:rsidR="00DB19E7">
        <w:rPr>
          <w:rFonts w:ascii="Arial" w:hAnsi="Arial" w:cs="Arial"/>
          <w:sz w:val="22"/>
          <w:szCs w:val="22"/>
        </w:rPr>
        <w:t xml:space="preserve"> the Republic of</w:t>
      </w:r>
      <w:r w:rsidR="007B5FAB">
        <w:rPr>
          <w:rFonts w:ascii="Arial" w:hAnsi="Arial" w:cs="Arial"/>
          <w:sz w:val="22"/>
          <w:szCs w:val="22"/>
        </w:rPr>
        <w:t xml:space="preserve"> Ireland </w:t>
      </w:r>
      <w:r w:rsidR="00804116">
        <w:rPr>
          <w:rFonts w:ascii="Arial" w:hAnsi="Arial" w:cs="Arial"/>
          <w:sz w:val="22"/>
          <w:szCs w:val="22"/>
        </w:rPr>
        <w:t>from</w:t>
      </w:r>
      <w:r w:rsidR="007B5FAB">
        <w:rPr>
          <w:rFonts w:ascii="Arial" w:hAnsi="Arial" w:cs="Arial"/>
          <w:sz w:val="22"/>
          <w:szCs w:val="22"/>
        </w:rPr>
        <w:t xml:space="preserve"> </w:t>
      </w:r>
      <w:r w:rsidR="002C4FF8">
        <w:rPr>
          <w:rFonts w:ascii="Arial" w:hAnsi="Arial" w:cs="Arial"/>
          <w:sz w:val="22"/>
          <w:szCs w:val="22"/>
        </w:rPr>
        <w:t xml:space="preserve">2019 </w:t>
      </w:r>
      <w:r w:rsidR="007B5FAB">
        <w:rPr>
          <w:rFonts w:ascii="Arial" w:hAnsi="Arial" w:cs="Arial"/>
          <w:sz w:val="22"/>
          <w:szCs w:val="22"/>
        </w:rPr>
        <w:t>to complement our existing online presence</w:t>
      </w:r>
      <w:r w:rsidR="00AF31F4" w:rsidRPr="00A12C1E">
        <w:rPr>
          <w:rFonts w:ascii="Arial" w:hAnsi="Arial" w:cs="Arial"/>
          <w:sz w:val="22"/>
          <w:szCs w:val="22"/>
        </w:rPr>
        <w:t>.</w:t>
      </w:r>
    </w:p>
    <w:bookmarkEnd w:id="24"/>
    <w:bookmarkEnd w:id="25"/>
    <w:p w14:paraId="495728AB" w14:textId="77777777" w:rsidR="002F5458" w:rsidRPr="0042729E" w:rsidRDefault="002F5458">
      <w:pPr>
        <w:jc w:val="left"/>
        <w:rPr>
          <w:rFonts w:ascii="Arial" w:hAnsi="Arial" w:cs="Arial"/>
          <w:sz w:val="24"/>
          <w:szCs w:val="24"/>
          <w:highlight w:val="yellow"/>
        </w:rPr>
      </w:pPr>
      <w:r w:rsidRPr="0042729E">
        <w:rPr>
          <w:rFonts w:ascii="Arial" w:hAnsi="Arial" w:cs="Arial"/>
          <w:sz w:val="24"/>
          <w:szCs w:val="24"/>
          <w:highlight w:val="yellow"/>
        </w:rPr>
        <w:br w:type="page"/>
      </w:r>
    </w:p>
    <w:p w14:paraId="2FC01538" w14:textId="24068160" w:rsidR="002F5458" w:rsidRPr="00A845B7" w:rsidRDefault="002F5458" w:rsidP="002F5458">
      <w:pPr>
        <w:jc w:val="left"/>
        <w:rPr>
          <w:rFonts w:ascii="Arial" w:hAnsi="Arial" w:cs="Arial"/>
        </w:rPr>
      </w:pPr>
      <w:r w:rsidRPr="00A845B7">
        <w:rPr>
          <w:rFonts w:ascii="Arial" w:hAnsi="Arial" w:cs="Arial"/>
          <w:b/>
          <w:bCs/>
        </w:rPr>
        <w:lastRenderedPageBreak/>
        <w:t>FRANCE</w:t>
      </w:r>
      <w:r w:rsidR="00D5103C">
        <w:rPr>
          <w:rFonts w:ascii="Arial" w:hAnsi="Arial" w:cs="Arial"/>
          <w:b/>
          <w:bCs/>
        </w:rPr>
        <w:t>*</w:t>
      </w:r>
    </w:p>
    <w:p w14:paraId="76FACACD" w14:textId="77777777" w:rsidR="002F5458" w:rsidRPr="00A845B7" w:rsidRDefault="002F5458" w:rsidP="002F5458">
      <w:pPr>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376"/>
        <w:gridCol w:w="1218"/>
        <w:gridCol w:w="1676"/>
        <w:gridCol w:w="1827"/>
        <w:gridCol w:w="1218"/>
      </w:tblGrid>
      <w:tr w:rsidR="002F5458" w:rsidRPr="00A845B7" w14:paraId="0A837FF4" w14:textId="77777777" w:rsidTr="006F78D1">
        <w:tc>
          <w:tcPr>
            <w:tcW w:w="1289" w:type="pct"/>
            <w:tcBorders>
              <w:bottom w:val="single" w:sz="4" w:space="0" w:color="auto"/>
            </w:tcBorders>
          </w:tcPr>
          <w:p w14:paraId="0E4302ED" w14:textId="77777777" w:rsidR="002F5458" w:rsidRPr="00A845B7" w:rsidRDefault="002F5458" w:rsidP="009C6430">
            <w:pPr>
              <w:rPr>
                <w:rFonts w:ascii="Arial" w:hAnsi="Arial" w:cs="Arial"/>
              </w:rPr>
            </w:pPr>
            <w:r w:rsidRPr="00A845B7">
              <w:rPr>
                <w:rFonts w:ascii="Arial" w:hAnsi="Arial" w:cs="Arial"/>
              </w:rPr>
              <w:t>£m</w:t>
            </w:r>
          </w:p>
        </w:tc>
        <w:tc>
          <w:tcPr>
            <w:tcW w:w="698" w:type="pct"/>
            <w:tcBorders>
              <w:bottom w:val="single" w:sz="4" w:space="0" w:color="auto"/>
            </w:tcBorders>
          </w:tcPr>
          <w:p w14:paraId="3BD3F9AB" w14:textId="1A1E012C" w:rsidR="002F5458" w:rsidRPr="00A845B7" w:rsidRDefault="002F5458" w:rsidP="009C6430">
            <w:pPr>
              <w:jc w:val="right"/>
              <w:rPr>
                <w:rFonts w:ascii="Arial" w:hAnsi="Arial" w:cs="Arial"/>
              </w:rPr>
            </w:pPr>
            <w:r w:rsidRPr="00A845B7">
              <w:rPr>
                <w:rFonts w:ascii="Arial" w:hAnsi="Arial" w:cs="Arial"/>
                <w:b/>
                <w:bCs/>
              </w:rPr>
              <w:t>201</w:t>
            </w:r>
            <w:r w:rsidR="005A65ED">
              <w:rPr>
                <w:rFonts w:ascii="Arial" w:hAnsi="Arial" w:cs="Arial"/>
                <w:b/>
                <w:bCs/>
              </w:rPr>
              <w:t>8</w:t>
            </w:r>
            <w:r w:rsidRPr="00A845B7">
              <w:rPr>
                <w:rFonts w:ascii="Arial" w:hAnsi="Arial" w:cs="Arial"/>
                <w:b/>
                <w:bCs/>
              </w:rPr>
              <w:t>/1</w:t>
            </w:r>
            <w:r w:rsidR="005A65ED">
              <w:rPr>
                <w:rFonts w:ascii="Arial" w:hAnsi="Arial" w:cs="Arial"/>
                <w:b/>
                <w:bCs/>
              </w:rPr>
              <w:t>9</w:t>
            </w:r>
          </w:p>
        </w:tc>
        <w:tc>
          <w:tcPr>
            <w:tcW w:w="618" w:type="pct"/>
            <w:tcBorders>
              <w:bottom w:val="single" w:sz="4" w:space="0" w:color="auto"/>
            </w:tcBorders>
          </w:tcPr>
          <w:p w14:paraId="4E1DD81B" w14:textId="361E4213" w:rsidR="002F5458" w:rsidRPr="00A845B7" w:rsidRDefault="002F5458" w:rsidP="009C6430">
            <w:pPr>
              <w:jc w:val="right"/>
              <w:rPr>
                <w:rFonts w:ascii="Arial" w:hAnsi="Arial" w:cs="Arial"/>
                <w:b/>
                <w:bCs/>
              </w:rPr>
            </w:pPr>
            <w:r w:rsidRPr="00A845B7">
              <w:rPr>
                <w:rFonts w:ascii="Arial" w:hAnsi="Arial" w:cs="Arial"/>
                <w:b/>
                <w:bCs/>
              </w:rPr>
              <w:t>201</w:t>
            </w:r>
            <w:r w:rsidR="005A65ED">
              <w:rPr>
                <w:rFonts w:ascii="Arial" w:hAnsi="Arial" w:cs="Arial"/>
                <w:b/>
                <w:bCs/>
              </w:rPr>
              <w:t>7</w:t>
            </w:r>
            <w:r w:rsidRPr="00A845B7">
              <w:rPr>
                <w:rFonts w:ascii="Arial" w:hAnsi="Arial" w:cs="Arial"/>
                <w:b/>
                <w:bCs/>
              </w:rPr>
              <w:t>/1</w:t>
            </w:r>
            <w:r w:rsidR="005A65ED">
              <w:rPr>
                <w:rFonts w:ascii="Arial" w:hAnsi="Arial" w:cs="Arial"/>
                <w:b/>
                <w:bCs/>
              </w:rPr>
              <w:t>8</w:t>
            </w:r>
          </w:p>
        </w:tc>
        <w:tc>
          <w:tcPr>
            <w:tcW w:w="850" w:type="pct"/>
            <w:tcBorders>
              <w:bottom w:val="single" w:sz="4" w:space="0" w:color="auto"/>
            </w:tcBorders>
          </w:tcPr>
          <w:p w14:paraId="69F86C7B" w14:textId="77777777" w:rsidR="002F5458" w:rsidRPr="00A845B7" w:rsidRDefault="002F5458" w:rsidP="009C6430">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7A66A15E" w14:textId="77777777" w:rsidR="002F5458" w:rsidRPr="00A845B7" w:rsidRDefault="002F5458" w:rsidP="009C6430">
            <w:pPr>
              <w:jc w:val="right"/>
              <w:rPr>
                <w:rFonts w:ascii="Arial" w:hAnsi="Arial" w:cs="Arial"/>
                <w:b/>
                <w:bCs/>
              </w:rPr>
            </w:pPr>
          </w:p>
        </w:tc>
        <w:tc>
          <w:tcPr>
            <w:tcW w:w="927" w:type="pct"/>
            <w:tcBorders>
              <w:bottom w:val="single" w:sz="4" w:space="0" w:color="auto"/>
            </w:tcBorders>
          </w:tcPr>
          <w:p w14:paraId="4E49888F" w14:textId="77777777" w:rsidR="002F5458" w:rsidRPr="00A845B7" w:rsidRDefault="002F5458" w:rsidP="009C6430">
            <w:pPr>
              <w:jc w:val="right"/>
              <w:rPr>
                <w:rFonts w:ascii="Arial" w:hAnsi="Arial" w:cs="Arial"/>
                <w:b/>
                <w:bCs/>
              </w:rPr>
            </w:pPr>
            <w:r w:rsidRPr="00A845B7">
              <w:rPr>
                <w:rFonts w:ascii="Arial" w:hAnsi="Arial" w:cs="Arial"/>
                <w:b/>
                <w:bCs/>
              </w:rPr>
              <w:t>% Constant</w:t>
            </w:r>
          </w:p>
          <w:p w14:paraId="7608C810" w14:textId="77777777" w:rsidR="002F5458" w:rsidRPr="00A845B7" w:rsidRDefault="002F5458" w:rsidP="009C6430">
            <w:pPr>
              <w:jc w:val="right"/>
              <w:rPr>
                <w:rFonts w:ascii="Arial" w:hAnsi="Arial" w:cs="Arial"/>
                <w:b/>
                <w:bCs/>
              </w:rPr>
            </w:pPr>
            <w:r w:rsidRPr="00A845B7">
              <w:rPr>
                <w:rFonts w:ascii="Arial" w:hAnsi="Arial" w:cs="Arial"/>
                <w:b/>
                <w:bCs/>
              </w:rPr>
              <w:t>Currency</w:t>
            </w:r>
          </w:p>
          <w:p w14:paraId="49F00027" w14:textId="77777777" w:rsidR="002F5458" w:rsidRPr="00A845B7" w:rsidRDefault="002F5458" w:rsidP="009C6430">
            <w:pPr>
              <w:jc w:val="right"/>
              <w:rPr>
                <w:rFonts w:ascii="Arial" w:hAnsi="Arial" w:cs="Arial"/>
                <w:b/>
                <w:bCs/>
              </w:rPr>
            </w:pPr>
            <w:r w:rsidRPr="00A845B7">
              <w:rPr>
                <w:rFonts w:ascii="Arial" w:hAnsi="Arial" w:cs="Arial"/>
                <w:b/>
                <w:bCs/>
              </w:rPr>
              <w:t xml:space="preserve">Change  </w:t>
            </w:r>
          </w:p>
        </w:tc>
        <w:tc>
          <w:tcPr>
            <w:tcW w:w="618" w:type="pct"/>
            <w:tcBorders>
              <w:bottom w:val="single" w:sz="4" w:space="0" w:color="auto"/>
            </w:tcBorders>
          </w:tcPr>
          <w:p w14:paraId="1742B934" w14:textId="77777777" w:rsidR="002F5458" w:rsidRPr="00A845B7" w:rsidRDefault="002F5458" w:rsidP="009C6430">
            <w:pPr>
              <w:ind w:hanging="108"/>
              <w:jc w:val="right"/>
              <w:rPr>
                <w:rFonts w:ascii="Arial" w:hAnsi="Arial" w:cs="Arial"/>
                <w:b/>
                <w:bCs/>
              </w:rPr>
            </w:pPr>
            <w:r w:rsidRPr="00A845B7">
              <w:rPr>
                <w:rFonts w:ascii="Arial" w:hAnsi="Arial" w:cs="Arial"/>
                <w:b/>
                <w:bCs/>
              </w:rPr>
              <w:t>% LFL</w:t>
            </w:r>
          </w:p>
          <w:p w14:paraId="75C7BBFB" w14:textId="77777777" w:rsidR="002F5458" w:rsidRPr="00A845B7" w:rsidRDefault="002F5458" w:rsidP="009C6430">
            <w:pPr>
              <w:ind w:hanging="108"/>
              <w:jc w:val="right"/>
              <w:rPr>
                <w:rFonts w:ascii="Arial" w:hAnsi="Arial" w:cs="Arial"/>
                <w:b/>
                <w:bCs/>
              </w:rPr>
            </w:pPr>
            <w:r w:rsidRPr="00A845B7">
              <w:rPr>
                <w:rFonts w:ascii="Arial" w:hAnsi="Arial" w:cs="Arial"/>
                <w:b/>
                <w:bCs/>
              </w:rPr>
              <w:t>Change</w:t>
            </w:r>
          </w:p>
        </w:tc>
      </w:tr>
      <w:tr w:rsidR="002F5458" w:rsidRPr="0042729E" w14:paraId="0704B13B" w14:textId="77777777" w:rsidTr="006F78D1">
        <w:trPr>
          <w:trHeight w:val="147"/>
        </w:trPr>
        <w:tc>
          <w:tcPr>
            <w:tcW w:w="1289" w:type="pct"/>
            <w:tcBorders>
              <w:bottom w:val="single" w:sz="4" w:space="0" w:color="auto"/>
            </w:tcBorders>
          </w:tcPr>
          <w:p w14:paraId="71D0592D" w14:textId="77777777" w:rsidR="002F5458" w:rsidRPr="00A845B7" w:rsidRDefault="002F5458" w:rsidP="009C6430">
            <w:pPr>
              <w:rPr>
                <w:rFonts w:ascii="Arial" w:hAnsi="Arial" w:cs="Arial"/>
                <w:b/>
              </w:rPr>
            </w:pPr>
            <w:r w:rsidRPr="00A845B7">
              <w:rPr>
                <w:rFonts w:ascii="Arial" w:hAnsi="Arial" w:cs="Arial"/>
                <w:b/>
                <w:bCs/>
              </w:rPr>
              <w:t>Sales</w:t>
            </w:r>
          </w:p>
        </w:tc>
        <w:tc>
          <w:tcPr>
            <w:tcW w:w="698" w:type="pct"/>
            <w:tcBorders>
              <w:bottom w:val="single" w:sz="4" w:space="0" w:color="auto"/>
            </w:tcBorders>
          </w:tcPr>
          <w:p w14:paraId="60FA13A0" w14:textId="41D99E0E" w:rsidR="002F5458" w:rsidRPr="0050560E" w:rsidRDefault="00850AD2" w:rsidP="009C6430">
            <w:pPr>
              <w:jc w:val="right"/>
              <w:rPr>
                <w:rFonts w:ascii="Arial" w:hAnsi="Arial" w:cs="Arial"/>
              </w:rPr>
            </w:pPr>
            <w:r w:rsidRPr="0050560E">
              <w:rPr>
                <w:rFonts w:ascii="Arial" w:hAnsi="Arial" w:cs="Arial"/>
              </w:rPr>
              <w:t>4,</w:t>
            </w:r>
            <w:r w:rsidR="0050560E" w:rsidRPr="005D6FAA">
              <w:rPr>
                <w:rFonts w:ascii="Arial" w:hAnsi="Arial" w:cs="Arial"/>
              </w:rPr>
              <w:t>272</w:t>
            </w:r>
          </w:p>
        </w:tc>
        <w:tc>
          <w:tcPr>
            <w:tcW w:w="618" w:type="pct"/>
            <w:tcBorders>
              <w:bottom w:val="single" w:sz="4" w:space="0" w:color="auto"/>
            </w:tcBorders>
          </w:tcPr>
          <w:p w14:paraId="74CFB9C3" w14:textId="5491600B" w:rsidR="002F5458" w:rsidRPr="0050560E" w:rsidRDefault="00D13923" w:rsidP="009C6430">
            <w:pPr>
              <w:jc w:val="right"/>
              <w:rPr>
                <w:rFonts w:ascii="Arial" w:hAnsi="Arial" w:cs="Arial"/>
              </w:rPr>
            </w:pPr>
            <w:r w:rsidRPr="0050560E">
              <w:rPr>
                <w:rFonts w:ascii="Arial" w:hAnsi="Arial" w:cs="Arial"/>
              </w:rPr>
              <w:t>4,</w:t>
            </w:r>
            <w:r w:rsidR="005A65ED" w:rsidRPr="0050560E">
              <w:rPr>
                <w:rFonts w:ascii="Arial" w:hAnsi="Arial" w:cs="Arial"/>
              </w:rPr>
              <w:t>387</w:t>
            </w:r>
          </w:p>
        </w:tc>
        <w:tc>
          <w:tcPr>
            <w:tcW w:w="850" w:type="pct"/>
            <w:tcBorders>
              <w:bottom w:val="single" w:sz="4" w:space="0" w:color="auto"/>
            </w:tcBorders>
          </w:tcPr>
          <w:p w14:paraId="60166978" w14:textId="2B25E37E" w:rsidR="002F5458" w:rsidRPr="0050560E" w:rsidRDefault="0050560E">
            <w:pPr>
              <w:jc w:val="right"/>
              <w:rPr>
                <w:rFonts w:ascii="Arial" w:hAnsi="Arial" w:cs="Arial"/>
              </w:rPr>
            </w:pPr>
            <w:r w:rsidRPr="005D6FAA">
              <w:rPr>
                <w:rFonts w:ascii="Arial" w:hAnsi="Arial" w:cs="Arial"/>
              </w:rPr>
              <w:t>(</w:t>
            </w:r>
            <w:proofErr w:type="gramStart"/>
            <w:r w:rsidRPr="005D6FAA">
              <w:rPr>
                <w:rFonts w:ascii="Arial" w:hAnsi="Arial" w:cs="Arial"/>
              </w:rPr>
              <w:t>2</w:t>
            </w:r>
            <w:r w:rsidR="005D6074" w:rsidRPr="0050560E">
              <w:rPr>
                <w:rFonts w:ascii="Arial" w:hAnsi="Arial" w:cs="Arial"/>
              </w:rPr>
              <w:t>.</w:t>
            </w:r>
            <w:r w:rsidRPr="005D6FAA">
              <w:rPr>
                <w:rFonts w:ascii="Arial" w:hAnsi="Arial" w:cs="Arial"/>
              </w:rPr>
              <w:t>6)</w:t>
            </w:r>
            <w:r w:rsidR="002E5D72" w:rsidRPr="0050560E">
              <w:rPr>
                <w:rFonts w:ascii="Arial" w:hAnsi="Arial" w:cs="Arial"/>
              </w:rPr>
              <w:t>%</w:t>
            </w:r>
            <w:proofErr w:type="gramEnd"/>
          </w:p>
        </w:tc>
        <w:tc>
          <w:tcPr>
            <w:tcW w:w="927" w:type="pct"/>
            <w:tcBorders>
              <w:bottom w:val="single" w:sz="4" w:space="0" w:color="auto"/>
            </w:tcBorders>
          </w:tcPr>
          <w:p w14:paraId="56D915B5" w14:textId="67952F50" w:rsidR="002F5458" w:rsidRPr="00523B78" w:rsidRDefault="006D7DB0" w:rsidP="009C6430">
            <w:pPr>
              <w:jc w:val="right"/>
              <w:rPr>
                <w:rFonts w:ascii="Arial" w:hAnsi="Arial" w:cs="Arial"/>
              </w:rPr>
            </w:pPr>
            <w:r w:rsidRPr="00523B78">
              <w:rPr>
                <w:rFonts w:ascii="Arial" w:hAnsi="Arial" w:cs="Arial"/>
              </w:rPr>
              <w:t>(</w:t>
            </w:r>
            <w:proofErr w:type="gramStart"/>
            <w:r w:rsidR="005E7894" w:rsidRPr="00523B78">
              <w:rPr>
                <w:rFonts w:ascii="Arial" w:hAnsi="Arial" w:cs="Arial"/>
              </w:rPr>
              <w:t>3</w:t>
            </w:r>
            <w:r w:rsidRPr="00523B78">
              <w:rPr>
                <w:rFonts w:ascii="Arial" w:hAnsi="Arial" w:cs="Arial"/>
              </w:rPr>
              <w:t>.</w:t>
            </w:r>
            <w:r w:rsidR="00523B78" w:rsidRPr="005D6FAA">
              <w:rPr>
                <w:rFonts w:ascii="Arial" w:hAnsi="Arial" w:cs="Arial"/>
              </w:rPr>
              <w:t>4</w:t>
            </w:r>
            <w:r w:rsidRPr="00523B78">
              <w:rPr>
                <w:rFonts w:ascii="Arial" w:hAnsi="Arial" w:cs="Arial"/>
              </w:rPr>
              <w:t>)</w:t>
            </w:r>
            <w:r w:rsidR="002E5D72" w:rsidRPr="00523B78">
              <w:rPr>
                <w:rFonts w:ascii="Arial" w:hAnsi="Arial" w:cs="Arial"/>
              </w:rPr>
              <w:t>%</w:t>
            </w:r>
            <w:proofErr w:type="gramEnd"/>
          </w:p>
        </w:tc>
        <w:tc>
          <w:tcPr>
            <w:tcW w:w="618" w:type="pct"/>
            <w:tcBorders>
              <w:bottom w:val="single" w:sz="4" w:space="0" w:color="auto"/>
            </w:tcBorders>
          </w:tcPr>
          <w:p w14:paraId="612296EB" w14:textId="61450865" w:rsidR="002F5458" w:rsidRPr="00523B78" w:rsidRDefault="0047756B" w:rsidP="009C6430">
            <w:pPr>
              <w:jc w:val="right"/>
              <w:rPr>
                <w:rFonts w:ascii="Arial" w:hAnsi="Arial" w:cs="Arial"/>
              </w:rPr>
            </w:pPr>
            <w:r w:rsidRPr="00523B78">
              <w:rPr>
                <w:rFonts w:ascii="Arial" w:hAnsi="Arial" w:cs="Arial"/>
              </w:rPr>
              <w:t>(</w:t>
            </w:r>
            <w:proofErr w:type="gramStart"/>
            <w:r w:rsidR="005E7894" w:rsidRPr="00523B78">
              <w:rPr>
                <w:rFonts w:ascii="Arial" w:hAnsi="Arial" w:cs="Arial"/>
              </w:rPr>
              <w:t>3</w:t>
            </w:r>
            <w:r w:rsidR="00850AD2" w:rsidRPr="00523B78">
              <w:rPr>
                <w:rFonts w:ascii="Arial" w:hAnsi="Arial" w:cs="Arial"/>
              </w:rPr>
              <w:t>.</w:t>
            </w:r>
            <w:r w:rsidR="0050560E" w:rsidRPr="005D6FAA">
              <w:rPr>
                <w:rFonts w:ascii="Arial" w:hAnsi="Arial" w:cs="Arial"/>
              </w:rPr>
              <w:t>7</w:t>
            </w:r>
            <w:r w:rsidRPr="00523B78">
              <w:rPr>
                <w:rFonts w:ascii="Arial" w:hAnsi="Arial" w:cs="Arial"/>
              </w:rPr>
              <w:t>)</w:t>
            </w:r>
            <w:r w:rsidR="002E5D72" w:rsidRPr="00523B78">
              <w:rPr>
                <w:rFonts w:ascii="Arial" w:hAnsi="Arial" w:cs="Arial"/>
              </w:rPr>
              <w:t>%</w:t>
            </w:r>
            <w:proofErr w:type="gramEnd"/>
          </w:p>
        </w:tc>
      </w:tr>
      <w:tr w:rsidR="002F5458" w:rsidRPr="0042729E" w14:paraId="457E8A83" w14:textId="77777777" w:rsidTr="006F78D1">
        <w:trPr>
          <w:gridAfter w:val="1"/>
          <w:wAfter w:w="618" w:type="pct"/>
        </w:trPr>
        <w:tc>
          <w:tcPr>
            <w:tcW w:w="1289" w:type="pct"/>
            <w:tcBorders>
              <w:top w:val="nil"/>
              <w:left w:val="nil"/>
              <w:bottom w:val="single" w:sz="4" w:space="0" w:color="auto"/>
              <w:right w:val="nil"/>
            </w:tcBorders>
          </w:tcPr>
          <w:p w14:paraId="5A0FE193" w14:textId="77777777" w:rsidR="002F5458" w:rsidRPr="00A845B7" w:rsidRDefault="002F5458" w:rsidP="009C6430">
            <w:pPr>
              <w:rPr>
                <w:rFonts w:ascii="Arial" w:hAnsi="Arial" w:cs="Arial"/>
                <w:bCs/>
              </w:rPr>
            </w:pPr>
          </w:p>
        </w:tc>
        <w:tc>
          <w:tcPr>
            <w:tcW w:w="698" w:type="pct"/>
            <w:tcBorders>
              <w:top w:val="nil"/>
              <w:left w:val="nil"/>
              <w:bottom w:val="single" w:sz="4" w:space="0" w:color="auto"/>
              <w:right w:val="nil"/>
            </w:tcBorders>
          </w:tcPr>
          <w:p w14:paraId="2E4DA6A2" w14:textId="77777777" w:rsidR="002F5458" w:rsidRPr="005A65ED" w:rsidRDefault="002F5458" w:rsidP="009C6430">
            <w:pPr>
              <w:jc w:val="right"/>
              <w:rPr>
                <w:rFonts w:ascii="Arial" w:hAnsi="Arial" w:cs="Arial"/>
                <w:highlight w:val="yellow"/>
              </w:rPr>
            </w:pPr>
          </w:p>
        </w:tc>
        <w:tc>
          <w:tcPr>
            <w:tcW w:w="618" w:type="pct"/>
            <w:tcBorders>
              <w:top w:val="nil"/>
              <w:left w:val="nil"/>
              <w:bottom w:val="single" w:sz="4" w:space="0" w:color="auto"/>
              <w:right w:val="nil"/>
            </w:tcBorders>
          </w:tcPr>
          <w:p w14:paraId="73FE73B5" w14:textId="77777777" w:rsidR="002F5458" w:rsidRPr="00A845B7" w:rsidRDefault="002F5458" w:rsidP="009C6430">
            <w:pPr>
              <w:jc w:val="right"/>
              <w:rPr>
                <w:rFonts w:ascii="Arial" w:hAnsi="Arial" w:cs="Arial"/>
              </w:rPr>
            </w:pPr>
          </w:p>
        </w:tc>
        <w:tc>
          <w:tcPr>
            <w:tcW w:w="850" w:type="pct"/>
            <w:tcBorders>
              <w:top w:val="nil"/>
              <w:left w:val="nil"/>
              <w:bottom w:val="single" w:sz="4" w:space="0" w:color="auto"/>
              <w:right w:val="nil"/>
            </w:tcBorders>
          </w:tcPr>
          <w:p w14:paraId="03A9E550" w14:textId="77777777" w:rsidR="002F5458" w:rsidRPr="0018703F" w:rsidRDefault="002F5458" w:rsidP="009C6430">
            <w:pPr>
              <w:jc w:val="right"/>
              <w:rPr>
                <w:rFonts w:ascii="Arial" w:hAnsi="Arial" w:cs="Arial"/>
                <w:highlight w:val="yellow"/>
              </w:rPr>
            </w:pPr>
          </w:p>
        </w:tc>
        <w:tc>
          <w:tcPr>
            <w:tcW w:w="927" w:type="pct"/>
            <w:tcBorders>
              <w:top w:val="nil"/>
              <w:left w:val="nil"/>
              <w:bottom w:val="single" w:sz="4" w:space="0" w:color="auto"/>
              <w:right w:val="nil"/>
            </w:tcBorders>
          </w:tcPr>
          <w:p w14:paraId="27CED999" w14:textId="77777777" w:rsidR="002F5458" w:rsidRPr="0018703F" w:rsidRDefault="002F5458" w:rsidP="009C6430">
            <w:pPr>
              <w:jc w:val="right"/>
              <w:rPr>
                <w:rFonts w:ascii="Arial" w:hAnsi="Arial" w:cs="Arial"/>
                <w:highlight w:val="yellow"/>
              </w:rPr>
            </w:pPr>
          </w:p>
        </w:tc>
      </w:tr>
      <w:tr w:rsidR="00E0450C" w:rsidRPr="0042729E" w14:paraId="4004A9E1" w14:textId="77777777" w:rsidTr="006F78D1">
        <w:trPr>
          <w:gridAfter w:val="1"/>
          <w:wAfter w:w="618" w:type="pct"/>
        </w:trPr>
        <w:tc>
          <w:tcPr>
            <w:tcW w:w="1289" w:type="pct"/>
            <w:tcBorders>
              <w:top w:val="single" w:sz="4" w:space="0" w:color="auto"/>
              <w:bottom w:val="single" w:sz="4" w:space="0" w:color="auto"/>
            </w:tcBorders>
          </w:tcPr>
          <w:p w14:paraId="2294ABD1" w14:textId="77777777" w:rsidR="00E0450C" w:rsidRPr="00A845B7" w:rsidRDefault="00E0450C" w:rsidP="00E0450C">
            <w:pPr>
              <w:rPr>
                <w:rFonts w:ascii="Arial" w:hAnsi="Arial" w:cs="Arial"/>
                <w:b/>
              </w:rPr>
            </w:pPr>
            <w:r w:rsidRPr="00A845B7">
              <w:rPr>
                <w:rFonts w:ascii="Arial" w:hAnsi="Arial" w:cs="Arial"/>
                <w:b/>
                <w:bCs/>
              </w:rPr>
              <w:t>Retail profit</w:t>
            </w:r>
          </w:p>
        </w:tc>
        <w:tc>
          <w:tcPr>
            <w:tcW w:w="698" w:type="pct"/>
            <w:tcBorders>
              <w:top w:val="single" w:sz="4" w:space="0" w:color="auto"/>
              <w:bottom w:val="single" w:sz="4" w:space="0" w:color="auto"/>
            </w:tcBorders>
          </w:tcPr>
          <w:p w14:paraId="3C903DCE" w14:textId="6DEB17BE" w:rsidR="00E0450C" w:rsidRPr="005D6FAA" w:rsidRDefault="0050560E" w:rsidP="00E0450C">
            <w:pPr>
              <w:jc w:val="right"/>
              <w:rPr>
                <w:rFonts w:ascii="Arial" w:hAnsi="Arial" w:cs="Arial"/>
                <w:highlight w:val="yellow"/>
              </w:rPr>
            </w:pPr>
            <w:r w:rsidRPr="005D6FAA">
              <w:rPr>
                <w:rFonts w:ascii="Arial" w:hAnsi="Arial" w:cs="Arial"/>
              </w:rPr>
              <w:t>209</w:t>
            </w:r>
          </w:p>
        </w:tc>
        <w:tc>
          <w:tcPr>
            <w:tcW w:w="618" w:type="pct"/>
            <w:tcBorders>
              <w:top w:val="single" w:sz="4" w:space="0" w:color="auto"/>
              <w:bottom w:val="single" w:sz="4" w:space="0" w:color="auto"/>
            </w:tcBorders>
          </w:tcPr>
          <w:p w14:paraId="049FC941" w14:textId="6EFAC7A3" w:rsidR="00E0450C" w:rsidRPr="00B3045C" w:rsidRDefault="00E0450C" w:rsidP="00E0450C">
            <w:pPr>
              <w:jc w:val="right"/>
              <w:rPr>
                <w:rFonts w:ascii="Arial" w:hAnsi="Arial" w:cs="Arial"/>
              </w:rPr>
            </w:pPr>
            <w:r w:rsidRPr="00B3045C">
              <w:rPr>
                <w:rFonts w:ascii="Arial" w:hAnsi="Arial" w:cs="Arial"/>
              </w:rPr>
              <w:t>3</w:t>
            </w:r>
            <w:r w:rsidR="005A65ED">
              <w:rPr>
                <w:rFonts w:ascii="Arial" w:hAnsi="Arial" w:cs="Arial"/>
              </w:rPr>
              <w:t>20</w:t>
            </w:r>
          </w:p>
        </w:tc>
        <w:tc>
          <w:tcPr>
            <w:tcW w:w="850" w:type="pct"/>
            <w:tcBorders>
              <w:top w:val="single" w:sz="4" w:space="0" w:color="auto"/>
              <w:bottom w:val="single" w:sz="4" w:space="0" w:color="auto"/>
            </w:tcBorders>
          </w:tcPr>
          <w:p w14:paraId="00F865AF" w14:textId="428762BA" w:rsidR="00E0450C" w:rsidRPr="005D6FAA" w:rsidRDefault="00B3045C" w:rsidP="00E0450C">
            <w:pPr>
              <w:jc w:val="right"/>
              <w:rPr>
                <w:rFonts w:ascii="Arial" w:hAnsi="Arial" w:cs="Arial"/>
                <w:highlight w:val="yellow"/>
              </w:rPr>
            </w:pPr>
            <w:r w:rsidRPr="0050560E">
              <w:rPr>
                <w:rFonts w:ascii="Arial" w:hAnsi="Arial" w:cs="Arial"/>
              </w:rPr>
              <w:t>(</w:t>
            </w:r>
            <w:proofErr w:type="gramStart"/>
            <w:r w:rsidR="0050560E" w:rsidRPr="005D6FAA">
              <w:rPr>
                <w:rFonts w:ascii="Arial" w:hAnsi="Arial" w:cs="Arial"/>
              </w:rPr>
              <w:t>34</w:t>
            </w:r>
            <w:r w:rsidR="00E0450C" w:rsidRPr="0050560E">
              <w:rPr>
                <w:rFonts w:ascii="Arial" w:hAnsi="Arial" w:cs="Arial"/>
              </w:rPr>
              <w:t>.</w:t>
            </w:r>
            <w:r w:rsidR="0050560E" w:rsidRPr="005D6FAA">
              <w:rPr>
                <w:rFonts w:ascii="Arial" w:hAnsi="Arial" w:cs="Arial"/>
              </w:rPr>
              <w:t>7</w:t>
            </w:r>
            <w:r w:rsidRPr="0050560E">
              <w:rPr>
                <w:rFonts w:ascii="Arial" w:hAnsi="Arial" w:cs="Arial"/>
              </w:rPr>
              <w:t>)</w:t>
            </w:r>
            <w:r w:rsidR="00E0450C" w:rsidRPr="0050560E">
              <w:rPr>
                <w:rFonts w:ascii="Arial" w:hAnsi="Arial" w:cs="Arial"/>
              </w:rPr>
              <w:t>%</w:t>
            </w:r>
            <w:proofErr w:type="gramEnd"/>
          </w:p>
        </w:tc>
        <w:tc>
          <w:tcPr>
            <w:tcW w:w="927" w:type="pct"/>
            <w:tcBorders>
              <w:top w:val="single" w:sz="4" w:space="0" w:color="auto"/>
              <w:bottom w:val="single" w:sz="4" w:space="0" w:color="auto"/>
            </w:tcBorders>
          </w:tcPr>
          <w:p w14:paraId="54619E59" w14:textId="4FAA45FD" w:rsidR="00E0450C" w:rsidRPr="00523B78" w:rsidRDefault="00E0450C" w:rsidP="00E0450C">
            <w:pPr>
              <w:jc w:val="right"/>
              <w:rPr>
                <w:rFonts w:ascii="Arial" w:hAnsi="Arial" w:cs="Arial"/>
              </w:rPr>
            </w:pPr>
            <w:r w:rsidRPr="00523B78">
              <w:rPr>
                <w:rFonts w:ascii="Arial" w:hAnsi="Arial" w:cs="Arial"/>
              </w:rPr>
              <w:t>(</w:t>
            </w:r>
            <w:proofErr w:type="gramStart"/>
            <w:r w:rsidR="00523B78" w:rsidRPr="005D6FAA">
              <w:rPr>
                <w:rFonts w:ascii="Arial" w:hAnsi="Arial" w:cs="Arial"/>
              </w:rPr>
              <w:t>35.2</w:t>
            </w:r>
            <w:r w:rsidR="00B3045C" w:rsidRPr="00523B78">
              <w:rPr>
                <w:rFonts w:ascii="Arial" w:hAnsi="Arial" w:cs="Arial"/>
              </w:rPr>
              <w:t>)</w:t>
            </w:r>
            <w:r w:rsidRPr="00523B78">
              <w:rPr>
                <w:rFonts w:ascii="Arial" w:hAnsi="Arial" w:cs="Arial"/>
              </w:rPr>
              <w:t>%</w:t>
            </w:r>
            <w:proofErr w:type="gramEnd"/>
          </w:p>
        </w:tc>
      </w:tr>
    </w:tbl>
    <w:p w14:paraId="0DF5F11C" w14:textId="77777777" w:rsidR="002F5458" w:rsidRDefault="002F5458" w:rsidP="002F5458">
      <w:pPr>
        <w:jc w:val="left"/>
        <w:rPr>
          <w:rFonts w:ascii="Arial" w:hAnsi="Arial" w:cs="Arial"/>
          <w:b/>
          <w:bCs/>
          <w:sz w:val="24"/>
          <w:szCs w:val="24"/>
        </w:rPr>
      </w:pPr>
    </w:p>
    <w:p w14:paraId="48DC32BD" w14:textId="7CCCCC62" w:rsidR="00B407FA" w:rsidRDefault="002F5458" w:rsidP="00704A7F">
      <w:pPr>
        <w:jc w:val="left"/>
        <w:rPr>
          <w:rFonts w:ascii="Arial" w:hAnsi="Arial" w:cs="Arial"/>
        </w:rPr>
      </w:pPr>
      <w:bookmarkStart w:id="26" w:name="_Hlk508895102"/>
      <w:r w:rsidRPr="00423845">
        <w:rPr>
          <w:rFonts w:ascii="Arial" w:hAnsi="Arial" w:cs="Arial"/>
          <w:bCs/>
        </w:rPr>
        <w:t xml:space="preserve">Kingfisher </w:t>
      </w:r>
      <w:r w:rsidRPr="00832149">
        <w:rPr>
          <w:rFonts w:ascii="Arial" w:hAnsi="Arial" w:cs="Arial"/>
          <w:bCs/>
        </w:rPr>
        <w:t xml:space="preserve">France </w:t>
      </w:r>
      <w:r w:rsidRPr="00940B1C">
        <w:rPr>
          <w:rFonts w:ascii="Arial" w:hAnsi="Arial" w:cs="Arial"/>
          <w:bCs/>
        </w:rPr>
        <w:t>sales</w:t>
      </w:r>
      <w:r w:rsidRPr="00423845">
        <w:rPr>
          <w:rFonts w:ascii="Arial" w:hAnsi="Arial" w:cs="Arial"/>
          <w:bCs/>
        </w:rPr>
        <w:t xml:space="preserve"> </w:t>
      </w:r>
      <w:r w:rsidR="00A4162D">
        <w:rPr>
          <w:rFonts w:ascii="Arial" w:hAnsi="Arial" w:cs="Arial"/>
          <w:bCs/>
        </w:rPr>
        <w:t>decreased</w:t>
      </w:r>
      <w:r w:rsidR="00A4162D" w:rsidRPr="00423845">
        <w:rPr>
          <w:rFonts w:ascii="Arial" w:hAnsi="Arial" w:cs="Arial"/>
          <w:bCs/>
        </w:rPr>
        <w:t xml:space="preserve"> </w:t>
      </w:r>
      <w:r w:rsidRPr="00423845">
        <w:rPr>
          <w:rFonts w:ascii="Arial" w:hAnsi="Arial" w:cs="Arial"/>
          <w:bCs/>
        </w:rPr>
        <w:t xml:space="preserve">by </w:t>
      </w:r>
      <w:r w:rsidR="002F04D6" w:rsidRPr="00FE04DA">
        <w:rPr>
          <w:rFonts w:ascii="Arial" w:hAnsi="Arial" w:cs="Arial"/>
          <w:bCs/>
        </w:rPr>
        <w:t>3</w:t>
      </w:r>
      <w:r w:rsidR="00A4162D" w:rsidRPr="00FE04DA">
        <w:rPr>
          <w:rFonts w:ascii="Arial" w:hAnsi="Arial" w:cs="Arial"/>
          <w:bCs/>
        </w:rPr>
        <w:t>.</w:t>
      </w:r>
      <w:r w:rsidR="00FE04DA">
        <w:rPr>
          <w:rFonts w:ascii="Arial" w:hAnsi="Arial" w:cs="Arial"/>
          <w:bCs/>
        </w:rPr>
        <w:t>4</w:t>
      </w:r>
      <w:r w:rsidRPr="00423845">
        <w:rPr>
          <w:rFonts w:ascii="Arial" w:hAnsi="Arial" w:cs="Arial"/>
          <w:bCs/>
        </w:rPr>
        <w:t xml:space="preserve">% </w:t>
      </w:r>
      <w:r w:rsidRPr="002F04D6">
        <w:rPr>
          <w:rFonts w:ascii="Arial" w:hAnsi="Arial" w:cs="Arial"/>
          <w:bCs/>
        </w:rPr>
        <w:t>(-</w:t>
      </w:r>
      <w:r w:rsidR="005E7894" w:rsidRPr="002F04D6">
        <w:rPr>
          <w:rFonts w:ascii="Arial" w:hAnsi="Arial" w:cs="Arial"/>
          <w:bCs/>
        </w:rPr>
        <w:t>3</w:t>
      </w:r>
      <w:r w:rsidR="006A32AE" w:rsidRPr="002F04D6">
        <w:rPr>
          <w:rFonts w:ascii="Arial" w:hAnsi="Arial" w:cs="Arial"/>
          <w:bCs/>
        </w:rPr>
        <w:t>.</w:t>
      </w:r>
      <w:r w:rsidR="002F04D6" w:rsidRPr="005D6FAA">
        <w:rPr>
          <w:rFonts w:ascii="Arial" w:hAnsi="Arial" w:cs="Arial"/>
          <w:bCs/>
        </w:rPr>
        <w:t>7</w:t>
      </w:r>
      <w:r w:rsidRPr="00423845">
        <w:rPr>
          <w:rFonts w:ascii="Arial" w:hAnsi="Arial" w:cs="Arial"/>
          <w:bCs/>
        </w:rPr>
        <w:t>% LFL) to £</w:t>
      </w:r>
      <w:r w:rsidR="006A32AE" w:rsidRPr="002F04D6">
        <w:rPr>
          <w:rFonts w:ascii="Arial" w:hAnsi="Arial" w:cs="Arial"/>
          <w:bCs/>
        </w:rPr>
        <w:t>4</w:t>
      </w:r>
      <w:r w:rsidR="009C6430" w:rsidRPr="002F04D6">
        <w:rPr>
          <w:rFonts w:ascii="Arial" w:hAnsi="Arial" w:cs="Arial"/>
          <w:bCs/>
        </w:rPr>
        <w:t>,</w:t>
      </w:r>
      <w:r w:rsidR="002F04D6" w:rsidRPr="005D6FAA">
        <w:rPr>
          <w:rFonts w:ascii="Arial" w:hAnsi="Arial" w:cs="Arial"/>
          <w:bCs/>
        </w:rPr>
        <w:t>272</w:t>
      </w:r>
      <w:r w:rsidRPr="00423845">
        <w:rPr>
          <w:rFonts w:ascii="Arial" w:hAnsi="Arial" w:cs="Arial"/>
          <w:bCs/>
        </w:rPr>
        <w:t xml:space="preserve"> million</w:t>
      </w:r>
      <w:r w:rsidR="00B407FA">
        <w:rPr>
          <w:rFonts w:ascii="Arial" w:hAnsi="Arial" w:cs="Arial"/>
          <w:bCs/>
        </w:rPr>
        <w:t xml:space="preserve"> </w:t>
      </w:r>
      <w:r w:rsidR="007B5FAB">
        <w:rPr>
          <w:rFonts w:ascii="Arial" w:hAnsi="Arial" w:cs="Arial"/>
          <w:bCs/>
        </w:rPr>
        <w:t xml:space="preserve">with </w:t>
      </w:r>
      <w:r w:rsidR="007B5FAB" w:rsidRPr="00704A7F">
        <w:rPr>
          <w:rFonts w:ascii="Arial" w:hAnsi="Arial" w:cs="Arial"/>
          <w:bCs/>
        </w:rPr>
        <w:t>improv</w:t>
      </w:r>
      <w:r w:rsidR="007B5FAB">
        <w:rPr>
          <w:rFonts w:ascii="Arial" w:hAnsi="Arial" w:cs="Arial"/>
          <w:bCs/>
        </w:rPr>
        <w:t>ed</w:t>
      </w:r>
      <w:r w:rsidR="007B5FAB" w:rsidRPr="00704A7F">
        <w:rPr>
          <w:rFonts w:ascii="Arial" w:hAnsi="Arial" w:cs="Arial"/>
          <w:bCs/>
        </w:rPr>
        <w:t xml:space="preserve"> sales performance at Brico Dépôt </w:t>
      </w:r>
      <w:r w:rsidR="007B5FAB">
        <w:rPr>
          <w:rFonts w:ascii="Arial" w:hAnsi="Arial" w:cs="Arial"/>
          <w:bCs/>
        </w:rPr>
        <w:t xml:space="preserve">offset by </w:t>
      </w:r>
      <w:r w:rsidR="006A3DF8">
        <w:rPr>
          <w:rFonts w:ascii="Arial" w:hAnsi="Arial" w:cs="Arial"/>
          <w:bCs/>
        </w:rPr>
        <w:t xml:space="preserve">a </w:t>
      </w:r>
      <w:r w:rsidR="00704A7F" w:rsidRPr="00704A7F">
        <w:rPr>
          <w:rFonts w:ascii="Arial" w:hAnsi="Arial" w:cs="Arial"/>
          <w:bCs/>
        </w:rPr>
        <w:t xml:space="preserve">weak performance </w:t>
      </w:r>
      <w:r w:rsidR="007B5FAB">
        <w:rPr>
          <w:rFonts w:ascii="Arial" w:hAnsi="Arial" w:cs="Arial"/>
          <w:bCs/>
        </w:rPr>
        <w:t>in</w:t>
      </w:r>
      <w:r w:rsidR="007B5FAB" w:rsidRPr="00704A7F">
        <w:rPr>
          <w:rFonts w:ascii="Arial" w:hAnsi="Arial" w:cs="Arial"/>
          <w:bCs/>
        </w:rPr>
        <w:t xml:space="preserve"> </w:t>
      </w:r>
      <w:r w:rsidR="00704A7F" w:rsidRPr="00704A7F">
        <w:rPr>
          <w:rFonts w:ascii="Arial" w:hAnsi="Arial" w:cs="Arial"/>
          <w:bCs/>
        </w:rPr>
        <w:t>Castorama</w:t>
      </w:r>
      <w:r w:rsidR="007B5FAB">
        <w:rPr>
          <w:rFonts w:ascii="Arial" w:hAnsi="Arial" w:cs="Arial"/>
          <w:bCs/>
        </w:rPr>
        <w:t>. Both businesses were</w:t>
      </w:r>
      <w:r w:rsidR="00235521">
        <w:rPr>
          <w:rFonts w:ascii="Arial" w:hAnsi="Arial" w:cs="Arial"/>
          <w:bCs/>
        </w:rPr>
        <w:t xml:space="preserve"> impact</w:t>
      </w:r>
      <w:r w:rsidR="007B5FAB">
        <w:rPr>
          <w:rFonts w:ascii="Arial" w:hAnsi="Arial" w:cs="Arial"/>
          <w:bCs/>
        </w:rPr>
        <w:t>ed</w:t>
      </w:r>
      <w:r w:rsidR="00235521">
        <w:rPr>
          <w:rFonts w:ascii="Arial" w:hAnsi="Arial" w:cs="Arial"/>
          <w:bCs/>
        </w:rPr>
        <w:t xml:space="preserve"> </w:t>
      </w:r>
      <w:r w:rsidR="007B5FAB">
        <w:rPr>
          <w:rFonts w:ascii="Arial" w:hAnsi="Arial" w:cs="Arial"/>
          <w:bCs/>
        </w:rPr>
        <w:t xml:space="preserve">by </w:t>
      </w:r>
      <w:r w:rsidR="00235521">
        <w:rPr>
          <w:rFonts w:ascii="Arial" w:hAnsi="Arial" w:cs="Arial"/>
          <w:bCs/>
        </w:rPr>
        <w:t xml:space="preserve">national demonstrations in Q4 </w:t>
      </w:r>
      <w:r w:rsidR="007B5FAB">
        <w:rPr>
          <w:rFonts w:ascii="Arial" w:hAnsi="Arial" w:cs="Arial"/>
          <w:bCs/>
        </w:rPr>
        <w:t xml:space="preserve">which </w:t>
      </w:r>
      <w:r w:rsidR="000F1AF2">
        <w:rPr>
          <w:rFonts w:ascii="Arial" w:hAnsi="Arial" w:cs="Arial"/>
          <w:bCs/>
        </w:rPr>
        <w:t xml:space="preserve">resulted </w:t>
      </w:r>
      <w:r w:rsidR="008673E9">
        <w:rPr>
          <w:rFonts w:ascii="Arial" w:hAnsi="Arial" w:cs="Arial"/>
          <w:bCs/>
        </w:rPr>
        <w:t xml:space="preserve">in difficulty </w:t>
      </w:r>
      <w:r w:rsidR="000F1AF2">
        <w:rPr>
          <w:rFonts w:ascii="Arial" w:hAnsi="Arial" w:cs="Arial"/>
          <w:bCs/>
        </w:rPr>
        <w:t>access</w:t>
      </w:r>
      <w:r w:rsidR="008673E9">
        <w:rPr>
          <w:rFonts w:ascii="Arial" w:hAnsi="Arial" w:cs="Arial"/>
          <w:bCs/>
        </w:rPr>
        <w:t>ing</w:t>
      </w:r>
      <w:r w:rsidR="000F1AF2">
        <w:rPr>
          <w:rFonts w:ascii="Arial" w:hAnsi="Arial" w:cs="Arial"/>
          <w:bCs/>
        </w:rPr>
        <w:t xml:space="preserve"> stores </w:t>
      </w:r>
      <w:r w:rsidR="008673E9">
        <w:rPr>
          <w:rFonts w:ascii="Arial" w:hAnsi="Arial" w:cs="Arial"/>
          <w:bCs/>
        </w:rPr>
        <w:t xml:space="preserve">and some </w:t>
      </w:r>
      <w:r w:rsidR="006147BA">
        <w:rPr>
          <w:rFonts w:ascii="Arial" w:hAnsi="Arial" w:cs="Arial"/>
          <w:bCs/>
        </w:rPr>
        <w:t xml:space="preserve">temporary </w:t>
      </w:r>
      <w:r w:rsidR="008673E9">
        <w:rPr>
          <w:rFonts w:ascii="Arial" w:hAnsi="Arial" w:cs="Arial"/>
          <w:bCs/>
        </w:rPr>
        <w:t xml:space="preserve">store closures. The estimated </w:t>
      </w:r>
      <w:r w:rsidR="008B09EA">
        <w:rPr>
          <w:rFonts w:ascii="Arial" w:hAnsi="Arial" w:cs="Arial"/>
          <w:bCs/>
        </w:rPr>
        <w:t xml:space="preserve">negative </w:t>
      </w:r>
      <w:r w:rsidR="007B5FAB">
        <w:rPr>
          <w:rFonts w:ascii="Arial" w:hAnsi="Arial" w:cs="Arial"/>
          <w:bCs/>
        </w:rPr>
        <w:t xml:space="preserve">impact on </w:t>
      </w:r>
      <w:r w:rsidR="008673E9">
        <w:rPr>
          <w:rFonts w:ascii="Arial" w:hAnsi="Arial" w:cs="Arial"/>
          <w:bCs/>
        </w:rPr>
        <w:t>France LFL was</w:t>
      </w:r>
      <w:r w:rsidR="006F5BE9">
        <w:rPr>
          <w:rFonts w:ascii="Arial" w:hAnsi="Arial" w:cs="Arial"/>
          <w:bCs/>
        </w:rPr>
        <w:t xml:space="preserve"> </w:t>
      </w:r>
      <w:r w:rsidR="008673E9">
        <w:rPr>
          <w:rFonts w:ascii="Arial" w:hAnsi="Arial" w:cs="Arial"/>
          <w:bCs/>
        </w:rPr>
        <w:t>c.</w:t>
      </w:r>
      <w:r w:rsidR="006F5BE9">
        <w:rPr>
          <w:rFonts w:ascii="Arial" w:hAnsi="Arial" w:cs="Arial"/>
          <w:bCs/>
        </w:rPr>
        <w:t xml:space="preserve"> </w:t>
      </w:r>
      <w:r w:rsidR="008673E9">
        <w:rPr>
          <w:rFonts w:ascii="Arial" w:hAnsi="Arial" w:cs="Arial"/>
          <w:bCs/>
        </w:rPr>
        <w:t xml:space="preserve">3% in Q4 </w:t>
      </w:r>
      <w:r w:rsidR="008673E9">
        <w:rPr>
          <w:rFonts w:ascii="Arial" w:hAnsi="Arial" w:cs="Arial"/>
        </w:rPr>
        <w:t xml:space="preserve">and </w:t>
      </w:r>
      <w:r w:rsidR="007B5FAB" w:rsidRPr="00AF307A">
        <w:rPr>
          <w:rFonts w:ascii="Arial" w:hAnsi="Arial" w:cs="Arial"/>
        </w:rPr>
        <w:t>c.</w:t>
      </w:r>
      <w:r w:rsidR="008673E9" w:rsidRPr="00AF307A">
        <w:rPr>
          <w:rFonts w:ascii="Arial" w:hAnsi="Arial" w:cs="Arial"/>
        </w:rPr>
        <w:t xml:space="preserve"> 0.5</w:t>
      </w:r>
      <w:r w:rsidR="007B5FAB" w:rsidRPr="00AF307A">
        <w:rPr>
          <w:rFonts w:ascii="Arial" w:hAnsi="Arial" w:cs="Arial"/>
        </w:rPr>
        <w:t>%</w:t>
      </w:r>
      <w:r w:rsidR="008673E9" w:rsidRPr="008673E9">
        <w:rPr>
          <w:rFonts w:ascii="Arial" w:hAnsi="Arial" w:cs="Arial"/>
        </w:rPr>
        <w:t xml:space="preserve"> in FY 18/19</w:t>
      </w:r>
      <w:r w:rsidR="00704A7F" w:rsidRPr="008673E9">
        <w:rPr>
          <w:rFonts w:ascii="Arial" w:hAnsi="Arial" w:cs="Arial"/>
          <w:bCs/>
        </w:rPr>
        <w:t>.</w:t>
      </w:r>
      <w:r w:rsidR="00704A7F">
        <w:rPr>
          <w:rFonts w:ascii="Arial" w:hAnsi="Arial" w:cs="Arial"/>
          <w:bCs/>
        </w:rPr>
        <w:t xml:space="preserve"> </w:t>
      </w:r>
      <w:r w:rsidR="00B407FA" w:rsidRPr="00AC598B">
        <w:rPr>
          <w:rFonts w:ascii="Arial" w:hAnsi="Arial" w:cs="Arial"/>
        </w:rPr>
        <w:t>According to Banque de France data</w:t>
      </w:r>
      <w:r w:rsidR="00B407FA" w:rsidRPr="00AC598B">
        <w:rPr>
          <w:rFonts w:ascii="Arial" w:hAnsi="Arial" w:cs="Arial"/>
          <w:bCs/>
        </w:rPr>
        <w:t>*</w:t>
      </w:r>
      <w:r w:rsidR="00B407FA" w:rsidRPr="00AC598B">
        <w:rPr>
          <w:rFonts w:ascii="Arial" w:hAnsi="Arial" w:cs="Arial"/>
        </w:rPr>
        <w:t xml:space="preserve">, sales for the home improvement market were </w:t>
      </w:r>
      <w:r w:rsidR="00704A7F">
        <w:rPr>
          <w:rFonts w:ascii="Arial" w:hAnsi="Arial" w:cs="Arial"/>
        </w:rPr>
        <w:t>down</w:t>
      </w:r>
      <w:r w:rsidR="00A4162D">
        <w:rPr>
          <w:rFonts w:ascii="Arial" w:hAnsi="Arial" w:cs="Arial"/>
        </w:rPr>
        <w:t xml:space="preserve"> </w:t>
      </w:r>
      <w:r w:rsidR="00A4162D" w:rsidRPr="002F04D6">
        <w:rPr>
          <w:rFonts w:ascii="Arial" w:hAnsi="Arial" w:cs="Arial"/>
        </w:rPr>
        <w:t>0.</w:t>
      </w:r>
      <w:r w:rsidR="007B5FAB">
        <w:rPr>
          <w:rFonts w:ascii="Arial" w:hAnsi="Arial" w:cs="Arial"/>
        </w:rPr>
        <w:t>5</w:t>
      </w:r>
      <w:r w:rsidR="00B407FA" w:rsidRPr="00AC598B">
        <w:rPr>
          <w:rFonts w:ascii="Arial" w:hAnsi="Arial" w:cs="Arial"/>
        </w:rPr>
        <w:t>%</w:t>
      </w:r>
      <w:r w:rsidR="002224AB">
        <w:rPr>
          <w:rFonts w:ascii="Arial" w:hAnsi="Arial" w:cs="Arial"/>
        </w:rPr>
        <w:t xml:space="preserve"> </w:t>
      </w:r>
      <w:r w:rsidR="00704A7F">
        <w:rPr>
          <w:rFonts w:ascii="Arial" w:hAnsi="Arial" w:cs="Arial"/>
        </w:rPr>
        <w:t>and continue to be volatile from month to month</w:t>
      </w:r>
      <w:r w:rsidR="00B407FA" w:rsidRPr="003409A1">
        <w:rPr>
          <w:rFonts w:ascii="Arial" w:hAnsi="Arial" w:cs="Arial"/>
        </w:rPr>
        <w:t>.</w:t>
      </w:r>
      <w:r w:rsidR="00B407FA" w:rsidRPr="00AC598B">
        <w:rPr>
          <w:rFonts w:ascii="Arial" w:hAnsi="Arial" w:cs="Arial"/>
        </w:rPr>
        <w:t xml:space="preserve"> </w:t>
      </w:r>
    </w:p>
    <w:bookmarkEnd w:id="26"/>
    <w:p w14:paraId="4D56390F" w14:textId="77777777" w:rsidR="00A77608" w:rsidRPr="0018703F" w:rsidRDefault="00A77608" w:rsidP="00BD5F44">
      <w:pPr>
        <w:jc w:val="left"/>
        <w:rPr>
          <w:rFonts w:ascii="Arial" w:hAnsi="Arial" w:cs="Arial"/>
          <w:highlight w:val="yellow"/>
        </w:rPr>
      </w:pPr>
    </w:p>
    <w:p w14:paraId="717F4878" w14:textId="6E0A8B9A" w:rsidR="00704A7F" w:rsidRDefault="00BD5F44" w:rsidP="00704A7F">
      <w:pPr>
        <w:spacing w:after="200"/>
        <w:contextualSpacing/>
        <w:jc w:val="left"/>
        <w:rPr>
          <w:rFonts w:ascii="Arial" w:hAnsi="Arial" w:cs="Arial"/>
        </w:rPr>
      </w:pPr>
      <w:r w:rsidRPr="00423845">
        <w:rPr>
          <w:rFonts w:ascii="Arial" w:hAnsi="Arial" w:cs="Arial"/>
          <w:b/>
          <w:bCs/>
        </w:rPr>
        <w:t>Castorama</w:t>
      </w:r>
      <w:r w:rsidRPr="00423845">
        <w:rPr>
          <w:rFonts w:ascii="Arial" w:hAnsi="Arial" w:cs="Arial"/>
        </w:rPr>
        <w:t xml:space="preserve"> total </w:t>
      </w:r>
      <w:r w:rsidR="00A77608" w:rsidRPr="00423845">
        <w:rPr>
          <w:rFonts w:ascii="Arial" w:hAnsi="Arial" w:cs="Arial"/>
        </w:rPr>
        <w:t xml:space="preserve">sales </w:t>
      </w:r>
      <w:r w:rsidR="00B407FA">
        <w:rPr>
          <w:rFonts w:ascii="Arial" w:hAnsi="Arial" w:cs="Arial"/>
        </w:rPr>
        <w:t xml:space="preserve">declined </w:t>
      </w:r>
      <w:r w:rsidRPr="00423845">
        <w:rPr>
          <w:rFonts w:ascii="Arial" w:hAnsi="Arial" w:cs="Arial"/>
        </w:rPr>
        <w:t xml:space="preserve">by </w:t>
      </w:r>
      <w:r w:rsidR="00FE04DA">
        <w:rPr>
          <w:rFonts w:ascii="Arial" w:hAnsi="Arial" w:cs="Arial"/>
        </w:rPr>
        <w:t>7.3</w:t>
      </w:r>
      <w:r w:rsidR="00B407FA">
        <w:rPr>
          <w:rFonts w:ascii="Arial" w:hAnsi="Arial" w:cs="Arial"/>
        </w:rPr>
        <w:t>%</w:t>
      </w:r>
      <w:r w:rsidRPr="00423845">
        <w:rPr>
          <w:rFonts w:ascii="Arial" w:hAnsi="Arial" w:cs="Arial"/>
        </w:rPr>
        <w:t xml:space="preserve"> (-</w:t>
      </w:r>
      <w:r w:rsidR="002F04D6" w:rsidRPr="005D6FAA">
        <w:rPr>
          <w:rFonts w:ascii="Arial" w:hAnsi="Arial" w:cs="Arial"/>
        </w:rPr>
        <w:t>7.1</w:t>
      </w:r>
      <w:r w:rsidRPr="00423845">
        <w:rPr>
          <w:rFonts w:ascii="Arial" w:hAnsi="Arial" w:cs="Arial"/>
        </w:rPr>
        <w:t>% LFL) to £</w:t>
      </w:r>
      <w:r w:rsidRPr="002F04D6">
        <w:rPr>
          <w:rFonts w:ascii="Arial" w:hAnsi="Arial" w:cs="Arial"/>
        </w:rPr>
        <w:t>2,</w:t>
      </w:r>
      <w:r w:rsidR="002F04D6" w:rsidRPr="002F04D6">
        <w:rPr>
          <w:rFonts w:ascii="Arial" w:hAnsi="Arial" w:cs="Arial"/>
        </w:rPr>
        <w:t>24</w:t>
      </w:r>
      <w:r w:rsidR="00FE04DA">
        <w:rPr>
          <w:rFonts w:ascii="Arial" w:hAnsi="Arial" w:cs="Arial"/>
        </w:rPr>
        <w:t>6</w:t>
      </w:r>
      <w:r w:rsidRPr="00423845">
        <w:rPr>
          <w:rFonts w:ascii="Arial" w:hAnsi="Arial" w:cs="Arial"/>
        </w:rPr>
        <w:t xml:space="preserve"> million</w:t>
      </w:r>
      <w:r w:rsidR="00704A7F">
        <w:rPr>
          <w:rFonts w:ascii="Arial" w:hAnsi="Arial" w:cs="Arial"/>
        </w:rPr>
        <w:t xml:space="preserve"> </w:t>
      </w:r>
      <w:r w:rsidR="00704A7F" w:rsidRPr="00704A7F">
        <w:rPr>
          <w:rFonts w:ascii="Arial" w:hAnsi="Arial" w:cs="Arial"/>
        </w:rPr>
        <w:t>reflecting weak footfall</w:t>
      </w:r>
      <w:r w:rsidR="00704A7F">
        <w:rPr>
          <w:rFonts w:ascii="Arial" w:hAnsi="Arial" w:cs="Arial"/>
        </w:rPr>
        <w:t xml:space="preserve">, </w:t>
      </w:r>
      <w:r w:rsidR="000F1AF2">
        <w:rPr>
          <w:rFonts w:ascii="Arial" w:hAnsi="Arial" w:cs="Arial"/>
        </w:rPr>
        <w:t xml:space="preserve">price repositioning, </w:t>
      </w:r>
      <w:r w:rsidR="00704A7F" w:rsidRPr="00704A7F">
        <w:rPr>
          <w:rFonts w:ascii="Arial" w:hAnsi="Arial" w:cs="Arial"/>
        </w:rPr>
        <w:t>the impact of transformation-related activity</w:t>
      </w:r>
      <w:r w:rsidR="00704A7F">
        <w:rPr>
          <w:rFonts w:ascii="Arial" w:hAnsi="Arial" w:cs="Arial"/>
        </w:rPr>
        <w:t xml:space="preserve"> and national demonstrations</w:t>
      </w:r>
      <w:r w:rsidR="003F209D">
        <w:rPr>
          <w:rFonts w:ascii="Arial" w:hAnsi="Arial" w:cs="Arial"/>
        </w:rPr>
        <w:t xml:space="preserve"> in Q4</w:t>
      </w:r>
      <w:r w:rsidRPr="00423845">
        <w:rPr>
          <w:rFonts w:ascii="Arial" w:hAnsi="Arial" w:cs="Arial"/>
        </w:rPr>
        <w:t xml:space="preserve">. </w:t>
      </w:r>
      <w:r w:rsidRPr="00FC41B5">
        <w:rPr>
          <w:rFonts w:ascii="Arial" w:hAnsi="Arial" w:cs="Arial"/>
        </w:rPr>
        <w:t xml:space="preserve">LFL sales of </w:t>
      </w:r>
      <w:r w:rsidR="00704A7F">
        <w:rPr>
          <w:rFonts w:ascii="Arial" w:hAnsi="Arial" w:cs="Arial"/>
        </w:rPr>
        <w:t xml:space="preserve">weather-related categories </w:t>
      </w:r>
      <w:r w:rsidRPr="00FC41B5">
        <w:rPr>
          <w:rFonts w:ascii="Arial" w:hAnsi="Arial" w:cs="Arial"/>
        </w:rPr>
        <w:t xml:space="preserve">were </w:t>
      </w:r>
      <w:r w:rsidRPr="00A92EAB">
        <w:rPr>
          <w:rFonts w:ascii="Arial" w:hAnsi="Arial" w:cs="Arial"/>
        </w:rPr>
        <w:t xml:space="preserve">down </w:t>
      </w:r>
      <w:r w:rsidR="00FE04DA">
        <w:rPr>
          <w:rFonts w:ascii="Arial" w:hAnsi="Arial" w:cs="Arial"/>
        </w:rPr>
        <w:t>6.5</w:t>
      </w:r>
      <w:r w:rsidRPr="002146A2">
        <w:rPr>
          <w:rFonts w:ascii="Arial" w:hAnsi="Arial" w:cs="Arial"/>
        </w:rPr>
        <w:t xml:space="preserve">% </w:t>
      </w:r>
      <w:r w:rsidRPr="00A92EAB">
        <w:rPr>
          <w:rFonts w:ascii="Arial" w:hAnsi="Arial" w:cs="Arial"/>
        </w:rPr>
        <w:t xml:space="preserve">and sales </w:t>
      </w:r>
      <w:r w:rsidR="00BE0CF5" w:rsidRPr="00A92EAB">
        <w:rPr>
          <w:rFonts w:ascii="Arial" w:hAnsi="Arial" w:cs="Arial"/>
        </w:rPr>
        <w:t xml:space="preserve">of </w:t>
      </w:r>
      <w:r w:rsidR="001E7802" w:rsidRPr="00A92EAB">
        <w:rPr>
          <w:rFonts w:ascii="Arial" w:hAnsi="Arial" w:cs="Arial"/>
        </w:rPr>
        <w:t>non-</w:t>
      </w:r>
      <w:r w:rsidR="00704A7F">
        <w:rPr>
          <w:rFonts w:ascii="Arial" w:hAnsi="Arial" w:cs="Arial"/>
        </w:rPr>
        <w:t>weather-related</w:t>
      </w:r>
      <w:r w:rsidR="00704A7F" w:rsidRPr="009165EA">
        <w:rPr>
          <w:rFonts w:ascii="Arial" w:hAnsi="Arial" w:cs="Arial"/>
        </w:rPr>
        <w:t xml:space="preserve"> </w:t>
      </w:r>
      <w:r w:rsidR="00704A7F">
        <w:rPr>
          <w:rFonts w:ascii="Arial" w:hAnsi="Arial" w:cs="Arial"/>
        </w:rPr>
        <w:t>categories</w:t>
      </w:r>
      <w:r w:rsidR="001E7802" w:rsidRPr="009165EA">
        <w:rPr>
          <w:rFonts w:ascii="Arial" w:hAnsi="Arial" w:cs="Arial"/>
        </w:rPr>
        <w:t>, including showroom</w:t>
      </w:r>
      <w:r w:rsidR="00832149">
        <w:rPr>
          <w:rFonts w:ascii="Arial" w:hAnsi="Arial" w:cs="Arial"/>
        </w:rPr>
        <w:t>,</w:t>
      </w:r>
      <w:r w:rsidRPr="009165EA">
        <w:rPr>
          <w:rFonts w:ascii="Arial" w:hAnsi="Arial" w:cs="Arial"/>
        </w:rPr>
        <w:t xml:space="preserve"> were down </w:t>
      </w:r>
      <w:r w:rsidR="00FE04DA">
        <w:rPr>
          <w:rFonts w:ascii="Arial" w:hAnsi="Arial" w:cs="Arial"/>
        </w:rPr>
        <w:t>7.4</w:t>
      </w:r>
      <w:r w:rsidRPr="002146A2">
        <w:rPr>
          <w:rFonts w:ascii="Arial" w:hAnsi="Arial" w:cs="Arial"/>
        </w:rPr>
        <w:t>%.</w:t>
      </w:r>
    </w:p>
    <w:p w14:paraId="59001AB9" w14:textId="77777777" w:rsidR="00704A7F" w:rsidRDefault="00704A7F" w:rsidP="00704A7F">
      <w:pPr>
        <w:spacing w:after="200"/>
        <w:contextualSpacing/>
        <w:jc w:val="left"/>
        <w:rPr>
          <w:rFonts w:ascii="Arial" w:hAnsi="Arial" w:cs="Arial"/>
          <w:b/>
          <w:bCs/>
        </w:rPr>
      </w:pPr>
    </w:p>
    <w:p w14:paraId="1228879A" w14:textId="259A8FED" w:rsidR="00FF20CA" w:rsidRDefault="00BD5F44" w:rsidP="00FF20CA">
      <w:pPr>
        <w:spacing w:after="200"/>
        <w:contextualSpacing/>
        <w:jc w:val="left"/>
        <w:rPr>
          <w:rFonts w:ascii="Arial" w:hAnsi="Arial" w:cs="Arial"/>
          <w:bCs/>
        </w:rPr>
      </w:pPr>
      <w:r w:rsidRPr="00A92EAB">
        <w:rPr>
          <w:rFonts w:ascii="Arial" w:hAnsi="Arial" w:cs="Arial"/>
          <w:b/>
          <w:bCs/>
        </w:rPr>
        <w:t>Brico Dépôt</w:t>
      </w:r>
      <w:r w:rsidRPr="00A92EAB">
        <w:rPr>
          <w:rFonts w:ascii="Arial" w:hAnsi="Arial" w:cs="Arial"/>
          <w:bCs/>
          <w:sz w:val="24"/>
          <w:szCs w:val="24"/>
        </w:rPr>
        <w:t xml:space="preserve"> </w:t>
      </w:r>
      <w:r w:rsidRPr="00A92EAB">
        <w:rPr>
          <w:rFonts w:ascii="Arial" w:hAnsi="Arial" w:cs="Arial"/>
          <w:bCs/>
        </w:rPr>
        <w:t xml:space="preserve">total sales </w:t>
      </w:r>
      <w:r w:rsidR="00704A7F">
        <w:rPr>
          <w:rFonts w:ascii="Arial" w:hAnsi="Arial" w:cs="Arial"/>
          <w:bCs/>
        </w:rPr>
        <w:t>grew</w:t>
      </w:r>
      <w:r w:rsidR="00FF20CA">
        <w:rPr>
          <w:rFonts w:ascii="Arial" w:hAnsi="Arial" w:cs="Arial"/>
          <w:bCs/>
        </w:rPr>
        <w:t xml:space="preserve"> </w:t>
      </w:r>
      <w:r w:rsidR="00423845" w:rsidRPr="009165EA">
        <w:rPr>
          <w:rFonts w:ascii="Arial" w:hAnsi="Arial" w:cs="Arial"/>
          <w:bCs/>
        </w:rPr>
        <w:t xml:space="preserve">by </w:t>
      </w:r>
      <w:r w:rsidR="00FE04DA">
        <w:rPr>
          <w:rFonts w:ascii="Arial" w:hAnsi="Arial" w:cs="Arial"/>
          <w:bCs/>
        </w:rPr>
        <w:t>1.4</w:t>
      </w:r>
      <w:r w:rsidR="00423845" w:rsidRPr="00A92EAB">
        <w:rPr>
          <w:rFonts w:ascii="Arial" w:hAnsi="Arial" w:cs="Arial"/>
          <w:bCs/>
        </w:rPr>
        <w:t>%</w:t>
      </w:r>
      <w:r w:rsidRPr="00A92EAB">
        <w:rPr>
          <w:rFonts w:ascii="Arial" w:hAnsi="Arial" w:cs="Arial"/>
          <w:bCs/>
        </w:rPr>
        <w:t xml:space="preserve"> </w:t>
      </w:r>
      <w:r w:rsidRPr="002F04D6">
        <w:rPr>
          <w:rFonts w:ascii="Arial" w:hAnsi="Arial" w:cs="Arial"/>
          <w:bCs/>
        </w:rPr>
        <w:t>(</w:t>
      </w:r>
      <w:r w:rsidR="00FF20CA" w:rsidRPr="005D6FAA">
        <w:rPr>
          <w:rFonts w:ascii="Arial" w:hAnsi="Arial" w:cs="Arial"/>
          <w:bCs/>
        </w:rPr>
        <w:t>+</w:t>
      </w:r>
      <w:r w:rsidR="002F04D6" w:rsidRPr="005D6FAA">
        <w:rPr>
          <w:rFonts w:ascii="Arial" w:hAnsi="Arial" w:cs="Arial"/>
          <w:bCs/>
        </w:rPr>
        <w:t>0.4</w:t>
      </w:r>
      <w:r w:rsidRPr="00A92EAB">
        <w:rPr>
          <w:rFonts w:ascii="Arial" w:hAnsi="Arial" w:cs="Arial"/>
          <w:bCs/>
        </w:rPr>
        <w:t xml:space="preserve">% LFL) </w:t>
      </w:r>
      <w:r w:rsidR="00B407FA" w:rsidRPr="00A92EAB">
        <w:rPr>
          <w:rFonts w:ascii="Arial" w:hAnsi="Arial" w:cs="Arial"/>
          <w:bCs/>
        </w:rPr>
        <w:t xml:space="preserve">to </w:t>
      </w:r>
      <w:r w:rsidRPr="00A92EAB">
        <w:rPr>
          <w:rFonts w:ascii="Arial" w:hAnsi="Arial" w:cs="Arial"/>
          <w:bCs/>
        </w:rPr>
        <w:t>£</w:t>
      </w:r>
      <w:r w:rsidR="002F04D6" w:rsidRPr="005D6FAA">
        <w:rPr>
          <w:rFonts w:ascii="Arial" w:hAnsi="Arial" w:cs="Arial"/>
          <w:bCs/>
        </w:rPr>
        <w:t>2,026</w:t>
      </w:r>
      <w:r w:rsidRPr="00A92EAB">
        <w:rPr>
          <w:rFonts w:ascii="Arial" w:hAnsi="Arial" w:cs="Arial"/>
          <w:bCs/>
        </w:rPr>
        <w:t xml:space="preserve"> million</w:t>
      </w:r>
      <w:r w:rsidR="00FF20CA">
        <w:rPr>
          <w:rFonts w:ascii="Arial" w:hAnsi="Arial" w:cs="Arial"/>
          <w:bCs/>
        </w:rPr>
        <w:t xml:space="preserve"> </w:t>
      </w:r>
      <w:r w:rsidR="00FF20CA" w:rsidRPr="00FF20CA">
        <w:rPr>
          <w:rFonts w:ascii="Arial" w:hAnsi="Arial" w:cs="Arial"/>
          <w:bCs/>
        </w:rPr>
        <w:t>reflecting a good performance of</w:t>
      </w:r>
      <w:r w:rsidR="00FF20CA">
        <w:rPr>
          <w:rFonts w:ascii="Arial" w:hAnsi="Arial" w:cs="Arial"/>
          <w:bCs/>
        </w:rPr>
        <w:t xml:space="preserve"> </w:t>
      </w:r>
      <w:r w:rsidR="00FF20CA" w:rsidRPr="00FF20CA">
        <w:rPr>
          <w:rFonts w:ascii="Arial" w:hAnsi="Arial" w:cs="Arial"/>
          <w:bCs/>
        </w:rPr>
        <w:t xml:space="preserve">the new unified </w:t>
      </w:r>
      <w:r w:rsidR="007B5FAB">
        <w:rPr>
          <w:rFonts w:ascii="Arial" w:hAnsi="Arial" w:cs="Arial"/>
          <w:bCs/>
        </w:rPr>
        <w:t xml:space="preserve">&amp; unique </w:t>
      </w:r>
      <w:r w:rsidR="00FF20CA" w:rsidRPr="00FF20CA">
        <w:rPr>
          <w:rFonts w:ascii="Arial" w:hAnsi="Arial" w:cs="Arial"/>
          <w:bCs/>
        </w:rPr>
        <w:t>ranges and supported by investment in marketing</w:t>
      </w:r>
      <w:r w:rsidR="00587B01">
        <w:rPr>
          <w:rFonts w:ascii="Arial" w:hAnsi="Arial" w:cs="Arial"/>
          <w:bCs/>
        </w:rPr>
        <w:t xml:space="preserve"> (representing the first year of LFL growth since 2011/12). </w:t>
      </w:r>
      <w:r w:rsidR="007B5FAB" w:rsidRPr="00AF307A">
        <w:rPr>
          <w:rFonts w:ascii="Arial" w:hAnsi="Arial" w:cs="Arial"/>
          <w:bCs/>
        </w:rPr>
        <w:t>Q4 performance was also impacted by national demonstrations</w:t>
      </w:r>
      <w:r w:rsidR="007B5FAB" w:rsidRPr="004177F1">
        <w:rPr>
          <w:rFonts w:ascii="Arial" w:hAnsi="Arial" w:cs="Arial"/>
          <w:bCs/>
        </w:rPr>
        <w:t>.</w:t>
      </w:r>
    </w:p>
    <w:p w14:paraId="66C658CC" w14:textId="77777777" w:rsidR="00FF20CA" w:rsidRDefault="00FF20CA" w:rsidP="00FF20CA">
      <w:pPr>
        <w:spacing w:after="200"/>
        <w:contextualSpacing/>
        <w:jc w:val="left"/>
        <w:rPr>
          <w:rFonts w:ascii="Arial" w:hAnsi="Arial" w:cs="Arial"/>
          <w:bCs/>
        </w:rPr>
      </w:pPr>
    </w:p>
    <w:p w14:paraId="7FD7CDAF" w14:textId="1504C7B3" w:rsidR="0049531E" w:rsidRPr="0018703F" w:rsidRDefault="00B407FA" w:rsidP="00FF20CA">
      <w:pPr>
        <w:spacing w:after="200"/>
        <w:contextualSpacing/>
        <w:jc w:val="left"/>
        <w:rPr>
          <w:rFonts w:ascii="Arial" w:hAnsi="Arial" w:cs="Arial"/>
          <w:highlight w:val="yellow"/>
        </w:rPr>
      </w:pPr>
      <w:r w:rsidRPr="00A92EAB">
        <w:rPr>
          <w:rFonts w:ascii="Arial" w:hAnsi="Arial" w:cs="Arial"/>
          <w:bCs/>
        </w:rPr>
        <w:t>Across the two businesses</w:t>
      </w:r>
      <w:r w:rsidR="00FF20CA">
        <w:rPr>
          <w:rFonts w:ascii="Arial" w:hAnsi="Arial" w:cs="Arial"/>
          <w:bCs/>
        </w:rPr>
        <w:t xml:space="preserve"> space remained broadly flat</w:t>
      </w:r>
      <w:r w:rsidR="00FE04DA">
        <w:rPr>
          <w:rFonts w:ascii="Arial" w:hAnsi="Arial" w:cs="Arial"/>
          <w:bCs/>
        </w:rPr>
        <w:t xml:space="preserve">, </w:t>
      </w:r>
      <w:r w:rsidR="00FE04DA" w:rsidRPr="00C2187E">
        <w:rPr>
          <w:rFonts w:ascii="Arial" w:hAnsi="Arial" w:cs="Arial"/>
          <w:bCs/>
        </w:rPr>
        <w:t xml:space="preserve">with Brico adding two net new stores and Castorama closing </w:t>
      </w:r>
      <w:r w:rsidR="0036421E" w:rsidRPr="00C2187E">
        <w:rPr>
          <w:rFonts w:ascii="Arial" w:hAnsi="Arial" w:cs="Arial"/>
          <w:bCs/>
        </w:rPr>
        <w:t xml:space="preserve">one </w:t>
      </w:r>
      <w:r w:rsidR="00FE04DA" w:rsidRPr="00C2187E">
        <w:rPr>
          <w:rFonts w:ascii="Arial" w:hAnsi="Arial" w:cs="Arial"/>
          <w:bCs/>
        </w:rPr>
        <w:t>net store</w:t>
      </w:r>
      <w:r w:rsidR="00FF20CA" w:rsidRPr="00772419">
        <w:rPr>
          <w:rFonts w:ascii="Arial" w:hAnsi="Arial" w:cs="Arial"/>
          <w:bCs/>
        </w:rPr>
        <w:t>.</w:t>
      </w:r>
      <w:r w:rsidR="00FF20CA">
        <w:rPr>
          <w:rFonts w:ascii="Arial" w:hAnsi="Arial" w:cs="Arial"/>
          <w:bCs/>
        </w:rPr>
        <w:t xml:space="preserve"> </w:t>
      </w:r>
    </w:p>
    <w:p w14:paraId="7655DA8B" w14:textId="77777777" w:rsidR="008B7E0D" w:rsidRDefault="008B7E0D" w:rsidP="00FF20CA">
      <w:pPr>
        <w:spacing w:after="200"/>
        <w:contextualSpacing/>
        <w:jc w:val="left"/>
        <w:rPr>
          <w:rFonts w:ascii="Arial" w:hAnsi="Arial" w:cs="Arial"/>
          <w:bCs/>
        </w:rPr>
      </w:pPr>
    </w:p>
    <w:p w14:paraId="09E94F08" w14:textId="665B90EC" w:rsidR="00FF20CA" w:rsidRDefault="00611CE2" w:rsidP="00FF20CA">
      <w:pPr>
        <w:spacing w:after="200"/>
        <w:contextualSpacing/>
        <w:jc w:val="left"/>
        <w:rPr>
          <w:rFonts w:ascii="Arial" w:hAnsi="Arial" w:cs="Arial"/>
          <w:bCs/>
        </w:rPr>
      </w:pPr>
      <w:r>
        <w:rPr>
          <w:rFonts w:ascii="Arial" w:hAnsi="Arial" w:cs="Arial"/>
          <w:bCs/>
        </w:rPr>
        <w:t>France g</w:t>
      </w:r>
      <w:r w:rsidR="00741BCA" w:rsidRPr="004177F1">
        <w:rPr>
          <w:rFonts w:ascii="Arial" w:hAnsi="Arial" w:cs="Arial"/>
          <w:bCs/>
        </w:rPr>
        <w:t xml:space="preserve">ross margin declined by 60 basis points </w:t>
      </w:r>
      <w:r w:rsidR="004177F1" w:rsidRPr="004177F1">
        <w:rPr>
          <w:rFonts w:ascii="Arial" w:hAnsi="Arial" w:cs="Arial"/>
          <w:bCs/>
        </w:rPr>
        <w:t xml:space="preserve">with </w:t>
      </w:r>
      <w:r w:rsidR="004177F1">
        <w:rPr>
          <w:rFonts w:ascii="Arial" w:hAnsi="Arial" w:cs="Arial"/>
          <w:bCs/>
        </w:rPr>
        <w:t>an increase at</w:t>
      </w:r>
      <w:r w:rsidR="004177F1" w:rsidRPr="004177F1">
        <w:rPr>
          <w:rFonts w:ascii="Arial" w:hAnsi="Arial" w:cs="Arial"/>
          <w:bCs/>
        </w:rPr>
        <w:t xml:space="preserve"> </w:t>
      </w:r>
      <w:r w:rsidR="004177F1" w:rsidRPr="00AF307A">
        <w:rPr>
          <w:rFonts w:ascii="Arial" w:hAnsi="Arial" w:cs="Arial"/>
          <w:bCs/>
        </w:rPr>
        <w:t xml:space="preserve">Brico Dépôt </w:t>
      </w:r>
      <w:r w:rsidR="004177F1" w:rsidRPr="004177F1">
        <w:rPr>
          <w:rFonts w:ascii="Arial" w:hAnsi="Arial" w:cs="Arial"/>
          <w:bCs/>
        </w:rPr>
        <w:t>offset by a dec</w:t>
      </w:r>
      <w:r w:rsidR="004177F1">
        <w:rPr>
          <w:rFonts w:ascii="Arial" w:hAnsi="Arial" w:cs="Arial"/>
          <w:bCs/>
        </w:rPr>
        <w:t>rease a</w:t>
      </w:r>
      <w:r w:rsidR="004177F1" w:rsidRPr="004177F1">
        <w:rPr>
          <w:rFonts w:ascii="Arial" w:hAnsi="Arial" w:cs="Arial"/>
          <w:bCs/>
        </w:rPr>
        <w:t>t</w:t>
      </w:r>
      <w:r w:rsidR="00741BCA" w:rsidRPr="004177F1">
        <w:rPr>
          <w:rFonts w:ascii="Arial" w:hAnsi="Arial" w:cs="Arial"/>
          <w:bCs/>
        </w:rPr>
        <w:t xml:space="preserve"> Castorama</w:t>
      </w:r>
      <w:r>
        <w:rPr>
          <w:rFonts w:ascii="Arial" w:hAnsi="Arial" w:cs="Arial"/>
          <w:bCs/>
        </w:rPr>
        <w:t>. The gross margin at Castorama was impacted by logistics and stock inefficiencies resulting in a c.80bps impact on France gross margin.</w:t>
      </w:r>
      <w:r w:rsidR="00772419">
        <w:rPr>
          <w:rFonts w:ascii="Arial" w:hAnsi="Arial" w:cs="Arial"/>
          <w:bCs/>
        </w:rPr>
        <w:t xml:space="preserve"> </w:t>
      </w:r>
      <w:r w:rsidR="00FF20CA" w:rsidRPr="00FF20CA">
        <w:rPr>
          <w:rFonts w:ascii="Arial" w:hAnsi="Arial" w:cs="Arial"/>
          <w:bCs/>
        </w:rPr>
        <w:t xml:space="preserve">Retail profit decreased by </w:t>
      </w:r>
      <w:r w:rsidR="00FE04DA">
        <w:rPr>
          <w:rFonts w:ascii="Arial" w:hAnsi="Arial" w:cs="Arial"/>
          <w:bCs/>
        </w:rPr>
        <w:t>35.2</w:t>
      </w:r>
      <w:r w:rsidR="00FF20CA" w:rsidRPr="00FF20CA">
        <w:rPr>
          <w:rFonts w:ascii="Arial" w:hAnsi="Arial" w:cs="Arial"/>
          <w:bCs/>
        </w:rPr>
        <w:t>% to £</w:t>
      </w:r>
      <w:r w:rsidR="002F04D6">
        <w:rPr>
          <w:rFonts w:ascii="Arial" w:hAnsi="Arial" w:cs="Arial"/>
          <w:bCs/>
        </w:rPr>
        <w:t>209</w:t>
      </w:r>
      <w:r w:rsidR="00FF20CA" w:rsidRPr="00FF20CA">
        <w:rPr>
          <w:rFonts w:ascii="Arial" w:hAnsi="Arial" w:cs="Arial"/>
          <w:bCs/>
        </w:rPr>
        <w:t xml:space="preserve"> million. This reflected weak sales, a decrease in gross</w:t>
      </w:r>
      <w:r w:rsidR="00741BCA">
        <w:rPr>
          <w:rFonts w:ascii="Arial" w:hAnsi="Arial" w:cs="Arial"/>
          <w:bCs/>
        </w:rPr>
        <w:t xml:space="preserve"> </w:t>
      </w:r>
      <w:r w:rsidR="00FF20CA" w:rsidRPr="00FF20CA">
        <w:rPr>
          <w:rFonts w:ascii="Arial" w:hAnsi="Arial" w:cs="Arial"/>
          <w:bCs/>
        </w:rPr>
        <w:t>margin and higher costs, including</w:t>
      </w:r>
      <w:r w:rsidR="00EB27A9">
        <w:rPr>
          <w:rFonts w:ascii="Arial" w:hAnsi="Arial" w:cs="Arial"/>
          <w:bCs/>
        </w:rPr>
        <w:t xml:space="preserve"> additional</w:t>
      </w:r>
      <w:r w:rsidR="00FF20CA" w:rsidRPr="00FF20CA">
        <w:rPr>
          <w:rFonts w:ascii="Arial" w:hAnsi="Arial" w:cs="Arial"/>
          <w:bCs/>
        </w:rPr>
        <w:t xml:space="preserve"> marketing </w:t>
      </w:r>
      <w:r w:rsidR="00FF20CA" w:rsidRPr="008673E9">
        <w:rPr>
          <w:rFonts w:ascii="Arial" w:hAnsi="Arial" w:cs="Arial"/>
          <w:bCs/>
        </w:rPr>
        <w:t xml:space="preserve">investment </w:t>
      </w:r>
      <w:r w:rsidR="00FF20CA" w:rsidRPr="00AF307A">
        <w:rPr>
          <w:rFonts w:ascii="Arial" w:hAnsi="Arial" w:cs="Arial"/>
          <w:bCs/>
        </w:rPr>
        <w:t xml:space="preserve">and </w:t>
      </w:r>
      <w:r w:rsidR="001A3861">
        <w:rPr>
          <w:rFonts w:ascii="Arial" w:hAnsi="Arial" w:cs="Arial"/>
          <w:bCs/>
        </w:rPr>
        <w:t>higher digital costs</w:t>
      </w:r>
      <w:r w:rsidR="00EB27A9" w:rsidRPr="008673E9">
        <w:rPr>
          <w:rFonts w:ascii="Arial" w:hAnsi="Arial" w:cs="Arial"/>
          <w:bCs/>
        </w:rPr>
        <w:t>.</w:t>
      </w:r>
      <w:r w:rsidR="00DA2403">
        <w:rPr>
          <w:rFonts w:ascii="Arial" w:hAnsi="Arial" w:cs="Arial"/>
          <w:bCs/>
        </w:rPr>
        <w:t xml:space="preserve"> </w:t>
      </w:r>
    </w:p>
    <w:p w14:paraId="125C588E" w14:textId="77777777" w:rsidR="007642BB" w:rsidRDefault="007642BB" w:rsidP="00CE4AC8">
      <w:pPr>
        <w:spacing w:after="200"/>
        <w:contextualSpacing/>
        <w:jc w:val="left"/>
        <w:rPr>
          <w:rFonts w:ascii="Arial" w:hAnsi="Arial" w:cs="Arial"/>
          <w:bCs/>
          <w:highlight w:val="green"/>
        </w:rPr>
      </w:pPr>
    </w:p>
    <w:p w14:paraId="0B54E7B4" w14:textId="5349AC52" w:rsidR="00CE4AC8" w:rsidRDefault="00CE4AC8" w:rsidP="00F538B1">
      <w:pPr>
        <w:spacing w:after="200"/>
        <w:contextualSpacing/>
        <w:jc w:val="left"/>
        <w:rPr>
          <w:rFonts w:ascii="Arial" w:hAnsi="Arial" w:cs="Arial"/>
          <w:bCs/>
        </w:rPr>
      </w:pPr>
    </w:p>
    <w:p w14:paraId="3C5EE43B" w14:textId="77777777" w:rsidR="00F538B1" w:rsidRPr="00C2187E" w:rsidRDefault="00F538B1" w:rsidP="00741CD2">
      <w:pPr>
        <w:spacing w:after="200"/>
        <w:contextualSpacing/>
        <w:jc w:val="left"/>
        <w:rPr>
          <w:rFonts w:ascii="Arial" w:hAnsi="Arial" w:cs="Arial"/>
          <w:bCs/>
          <w:highlight w:val="green"/>
        </w:rPr>
      </w:pPr>
    </w:p>
    <w:p w14:paraId="6FAAE300" w14:textId="77777777" w:rsidR="00BF6677" w:rsidRPr="00C2187E" w:rsidRDefault="00BF6677" w:rsidP="00873B00">
      <w:pPr>
        <w:spacing w:after="200"/>
        <w:contextualSpacing/>
        <w:jc w:val="left"/>
        <w:rPr>
          <w:rFonts w:ascii="Arial" w:hAnsi="Arial" w:cs="Arial"/>
          <w:bCs/>
          <w:highlight w:val="green"/>
        </w:rPr>
      </w:pPr>
    </w:p>
    <w:p w14:paraId="7B6F6981" w14:textId="45B2C609" w:rsidR="00587B01" w:rsidRDefault="00587B01">
      <w:pPr>
        <w:jc w:val="left"/>
        <w:rPr>
          <w:rFonts w:ascii="Arial" w:hAnsi="Arial" w:cs="Arial"/>
          <w:bCs/>
        </w:rPr>
      </w:pPr>
      <w:r>
        <w:rPr>
          <w:rFonts w:ascii="Arial" w:hAnsi="Arial" w:cs="Arial"/>
          <w:bCs/>
        </w:rPr>
        <w:br w:type="page"/>
      </w:r>
    </w:p>
    <w:p w14:paraId="2D34AE63" w14:textId="289E0A0E" w:rsidR="007D43ED" w:rsidRPr="00A845B7" w:rsidRDefault="007D43ED" w:rsidP="00AF307A">
      <w:pPr>
        <w:spacing w:after="200"/>
        <w:contextualSpacing/>
        <w:jc w:val="left"/>
        <w:rPr>
          <w:rFonts w:ascii="Arial" w:hAnsi="Arial" w:cs="Arial"/>
          <w:b/>
          <w:bCs/>
        </w:rPr>
      </w:pPr>
      <w:r w:rsidRPr="00A845B7">
        <w:rPr>
          <w:rFonts w:ascii="Arial" w:hAnsi="Arial" w:cs="Arial"/>
          <w:b/>
          <w:bCs/>
        </w:rPr>
        <w:lastRenderedPageBreak/>
        <w:t>OTHER INTERNATIONAL</w:t>
      </w:r>
      <w:r w:rsidR="00D5103C">
        <w:rPr>
          <w:rFonts w:ascii="Arial" w:hAnsi="Arial" w:cs="Arial"/>
          <w:b/>
          <w:bCs/>
        </w:rPr>
        <w:t>*</w:t>
      </w:r>
    </w:p>
    <w:p w14:paraId="5912D17F" w14:textId="77777777" w:rsidR="007D43ED" w:rsidRPr="00A845B7" w:rsidRDefault="007D43ED" w:rsidP="007D43ED">
      <w:pPr>
        <w:rPr>
          <w:rFonts w:ascii="Arial" w:hAnsi="Arial" w:cs="Arial"/>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1376"/>
        <w:gridCol w:w="1220"/>
        <w:gridCol w:w="1676"/>
        <w:gridCol w:w="1678"/>
        <w:gridCol w:w="1368"/>
      </w:tblGrid>
      <w:tr w:rsidR="006B02CB" w:rsidRPr="00A845B7" w14:paraId="5FEF95D4" w14:textId="77777777" w:rsidTr="00AF459E">
        <w:tc>
          <w:tcPr>
            <w:tcW w:w="1288" w:type="pct"/>
            <w:tcBorders>
              <w:bottom w:val="single" w:sz="4" w:space="0" w:color="auto"/>
            </w:tcBorders>
          </w:tcPr>
          <w:p w14:paraId="41FBE48E" w14:textId="77777777" w:rsidR="007D43ED" w:rsidRPr="00A845B7" w:rsidRDefault="007D43ED" w:rsidP="00C51098">
            <w:pPr>
              <w:rPr>
                <w:rFonts w:ascii="Arial" w:hAnsi="Arial" w:cs="Arial"/>
                <w:b/>
              </w:rPr>
            </w:pPr>
            <w:r w:rsidRPr="00A845B7">
              <w:rPr>
                <w:rFonts w:ascii="Arial" w:hAnsi="Arial" w:cs="Arial"/>
                <w:b/>
              </w:rPr>
              <w:t>£m</w:t>
            </w:r>
          </w:p>
        </w:tc>
        <w:tc>
          <w:tcPr>
            <w:tcW w:w="698" w:type="pct"/>
            <w:tcBorders>
              <w:bottom w:val="single" w:sz="4" w:space="0" w:color="auto"/>
            </w:tcBorders>
          </w:tcPr>
          <w:p w14:paraId="777BF93E" w14:textId="158A306D" w:rsidR="007D43ED" w:rsidRPr="00A845B7" w:rsidRDefault="007D43ED">
            <w:pPr>
              <w:jc w:val="right"/>
              <w:rPr>
                <w:rFonts w:ascii="Arial" w:hAnsi="Arial" w:cs="Arial"/>
              </w:rPr>
            </w:pPr>
            <w:r w:rsidRPr="00A845B7">
              <w:rPr>
                <w:rFonts w:ascii="Arial" w:hAnsi="Arial" w:cs="Arial"/>
                <w:b/>
                <w:bCs/>
              </w:rPr>
              <w:t>201</w:t>
            </w:r>
            <w:r w:rsidR="005A65ED">
              <w:rPr>
                <w:rFonts w:ascii="Arial" w:hAnsi="Arial" w:cs="Arial"/>
                <w:b/>
                <w:bCs/>
              </w:rPr>
              <w:t>8</w:t>
            </w:r>
            <w:r w:rsidR="00931630" w:rsidRPr="00A845B7">
              <w:rPr>
                <w:rFonts w:ascii="Arial" w:hAnsi="Arial" w:cs="Arial"/>
                <w:b/>
                <w:bCs/>
              </w:rPr>
              <w:t>/1</w:t>
            </w:r>
            <w:r w:rsidR="005A65ED">
              <w:rPr>
                <w:rFonts w:ascii="Arial" w:hAnsi="Arial" w:cs="Arial"/>
                <w:b/>
                <w:bCs/>
              </w:rPr>
              <w:t>9</w:t>
            </w:r>
          </w:p>
        </w:tc>
        <w:tc>
          <w:tcPr>
            <w:tcW w:w="619" w:type="pct"/>
            <w:tcBorders>
              <w:bottom w:val="single" w:sz="4" w:space="0" w:color="auto"/>
            </w:tcBorders>
          </w:tcPr>
          <w:p w14:paraId="6A15C1AC" w14:textId="0568627B" w:rsidR="007D43ED" w:rsidRPr="00A845B7" w:rsidRDefault="007D43ED">
            <w:pPr>
              <w:jc w:val="right"/>
              <w:rPr>
                <w:rFonts w:ascii="Arial" w:hAnsi="Arial" w:cs="Arial"/>
                <w:b/>
                <w:bCs/>
              </w:rPr>
            </w:pPr>
            <w:r w:rsidRPr="00A845B7">
              <w:rPr>
                <w:rFonts w:ascii="Arial" w:hAnsi="Arial" w:cs="Arial"/>
                <w:b/>
                <w:bCs/>
              </w:rPr>
              <w:t>201</w:t>
            </w:r>
            <w:r w:rsidR="005A65ED">
              <w:rPr>
                <w:rFonts w:ascii="Arial" w:hAnsi="Arial" w:cs="Arial"/>
                <w:b/>
                <w:bCs/>
              </w:rPr>
              <w:t>7</w:t>
            </w:r>
            <w:r w:rsidR="00931630" w:rsidRPr="00A845B7">
              <w:rPr>
                <w:rFonts w:ascii="Arial" w:hAnsi="Arial" w:cs="Arial"/>
                <w:b/>
                <w:bCs/>
              </w:rPr>
              <w:t>/1</w:t>
            </w:r>
            <w:r w:rsidR="005A65ED">
              <w:rPr>
                <w:rFonts w:ascii="Arial" w:hAnsi="Arial" w:cs="Arial"/>
                <w:b/>
                <w:bCs/>
              </w:rPr>
              <w:t>8</w:t>
            </w:r>
          </w:p>
        </w:tc>
        <w:tc>
          <w:tcPr>
            <w:tcW w:w="850" w:type="pct"/>
            <w:tcBorders>
              <w:bottom w:val="single" w:sz="4" w:space="0" w:color="auto"/>
            </w:tcBorders>
          </w:tcPr>
          <w:p w14:paraId="5FB3D0F4" w14:textId="77777777" w:rsidR="007D43ED" w:rsidRPr="00A845B7" w:rsidRDefault="007D43ED" w:rsidP="00C51098">
            <w:pPr>
              <w:jc w:val="right"/>
              <w:rPr>
                <w:rFonts w:ascii="Arial" w:hAnsi="Arial" w:cs="Arial"/>
                <w:b/>
                <w:bCs/>
              </w:rPr>
            </w:pPr>
            <w:r w:rsidRPr="00A845B7">
              <w:rPr>
                <w:rFonts w:ascii="Arial" w:hAnsi="Arial" w:cs="Arial"/>
                <w:b/>
                <w:bCs/>
              </w:rPr>
              <w:t>% Reported</w:t>
            </w:r>
            <w:r w:rsidRPr="00A845B7" w:rsidDel="00197636">
              <w:rPr>
                <w:rFonts w:ascii="Arial" w:hAnsi="Arial" w:cs="Arial"/>
                <w:b/>
                <w:bCs/>
              </w:rPr>
              <w:t xml:space="preserve"> </w:t>
            </w:r>
            <w:r w:rsidRPr="00A845B7">
              <w:rPr>
                <w:rFonts w:ascii="Arial" w:hAnsi="Arial" w:cs="Arial"/>
                <w:b/>
                <w:bCs/>
              </w:rPr>
              <w:t>Change</w:t>
            </w:r>
          </w:p>
          <w:p w14:paraId="106408F2" w14:textId="77777777" w:rsidR="007D43ED" w:rsidRPr="00A845B7" w:rsidRDefault="007D43ED" w:rsidP="00C51098">
            <w:pPr>
              <w:jc w:val="right"/>
              <w:rPr>
                <w:rFonts w:ascii="Arial" w:hAnsi="Arial" w:cs="Arial"/>
                <w:b/>
                <w:bCs/>
              </w:rPr>
            </w:pPr>
          </w:p>
        </w:tc>
        <w:tc>
          <w:tcPr>
            <w:tcW w:w="851" w:type="pct"/>
            <w:tcBorders>
              <w:bottom w:val="single" w:sz="4" w:space="0" w:color="auto"/>
            </w:tcBorders>
          </w:tcPr>
          <w:p w14:paraId="68B7D965" w14:textId="77777777" w:rsidR="007D43ED" w:rsidRPr="00A845B7" w:rsidRDefault="007D43ED" w:rsidP="00C51098">
            <w:pPr>
              <w:jc w:val="right"/>
              <w:rPr>
                <w:rFonts w:ascii="Arial" w:hAnsi="Arial" w:cs="Arial"/>
                <w:b/>
                <w:bCs/>
              </w:rPr>
            </w:pPr>
            <w:r w:rsidRPr="00A845B7">
              <w:rPr>
                <w:rFonts w:ascii="Arial" w:hAnsi="Arial" w:cs="Arial"/>
                <w:b/>
                <w:bCs/>
              </w:rPr>
              <w:t>% Constant</w:t>
            </w:r>
          </w:p>
          <w:p w14:paraId="701BDB58" w14:textId="77777777" w:rsidR="007D43ED" w:rsidRPr="00A845B7" w:rsidRDefault="007D43ED" w:rsidP="00C51098">
            <w:pPr>
              <w:jc w:val="right"/>
              <w:rPr>
                <w:rFonts w:ascii="Arial" w:hAnsi="Arial" w:cs="Arial"/>
                <w:b/>
                <w:bCs/>
              </w:rPr>
            </w:pPr>
            <w:r w:rsidRPr="00A845B7">
              <w:rPr>
                <w:rFonts w:ascii="Arial" w:hAnsi="Arial" w:cs="Arial"/>
                <w:b/>
                <w:bCs/>
              </w:rPr>
              <w:t>Currency</w:t>
            </w:r>
          </w:p>
          <w:p w14:paraId="77BAAF22" w14:textId="77777777" w:rsidR="007D43ED" w:rsidRPr="00A845B7" w:rsidRDefault="007D43ED" w:rsidP="00C51098">
            <w:pPr>
              <w:jc w:val="right"/>
              <w:rPr>
                <w:rFonts w:ascii="Arial" w:hAnsi="Arial" w:cs="Arial"/>
                <w:b/>
                <w:bCs/>
              </w:rPr>
            </w:pPr>
            <w:r w:rsidRPr="00A845B7">
              <w:rPr>
                <w:rFonts w:ascii="Arial" w:hAnsi="Arial" w:cs="Arial"/>
                <w:b/>
                <w:bCs/>
              </w:rPr>
              <w:t xml:space="preserve">Change  </w:t>
            </w:r>
          </w:p>
        </w:tc>
        <w:tc>
          <w:tcPr>
            <w:tcW w:w="695" w:type="pct"/>
            <w:tcBorders>
              <w:bottom w:val="single" w:sz="4" w:space="0" w:color="auto"/>
            </w:tcBorders>
          </w:tcPr>
          <w:p w14:paraId="4FDDA868" w14:textId="77777777" w:rsidR="007D43ED" w:rsidRPr="00A845B7" w:rsidRDefault="007D43ED" w:rsidP="00C51098">
            <w:pPr>
              <w:ind w:hanging="108"/>
              <w:jc w:val="right"/>
              <w:rPr>
                <w:rFonts w:ascii="Arial" w:hAnsi="Arial" w:cs="Arial"/>
                <w:b/>
                <w:bCs/>
              </w:rPr>
            </w:pPr>
            <w:r w:rsidRPr="00A845B7">
              <w:rPr>
                <w:rFonts w:ascii="Arial" w:hAnsi="Arial" w:cs="Arial"/>
                <w:b/>
                <w:bCs/>
              </w:rPr>
              <w:t>% LFL</w:t>
            </w:r>
          </w:p>
          <w:p w14:paraId="05927DC5" w14:textId="77777777" w:rsidR="007D43ED" w:rsidRPr="00A845B7" w:rsidRDefault="007D43ED" w:rsidP="00C51098">
            <w:pPr>
              <w:ind w:hanging="108"/>
              <w:jc w:val="right"/>
              <w:rPr>
                <w:rFonts w:ascii="Arial" w:hAnsi="Arial" w:cs="Arial"/>
                <w:b/>
                <w:bCs/>
              </w:rPr>
            </w:pPr>
            <w:r w:rsidRPr="00A845B7">
              <w:rPr>
                <w:rFonts w:ascii="Arial" w:hAnsi="Arial" w:cs="Arial"/>
                <w:b/>
                <w:bCs/>
              </w:rPr>
              <w:t>Change</w:t>
            </w:r>
          </w:p>
        </w:tc>
      </w:tr>
      <w:tr w:rsidR="006B02CB" w:rsidRPr="000278B9" w14:paraId="2C6B131F" w14:textId="77777777" w:rsidTr="00AF459E">
        <w:trPr>
          <w:trHeight w:val="147"/>
        </w:trPr>
        <w:tc>
          <w:tcPr>
            <w:tcW w:w="1288" w:type="pct"/>
            <w:tcBorders>
              <w:bottom w:val="single" w:sz="4" w:space="0" w:color="auto"/>
            </w:tcBorders>
            <w:shd w:val="clear" w:color="auto" w:fill="auto"/>
          </w:tcPr>
          <w:p w14:paraId="0553C6C1" w14:textId="77777777" w:rsidR="007D43ED" w:rsidRPr="00A845B7" w:rsidRDefault="007D43ED" w:rsidP="00C51098">
            <w:pPr>
              <w:rPr>
                <w:rFonts w:ascii="Arial" w:hAnsi="Arial" w:cs="Arial"/>
                <w:b/>
              </w:rPr>
            </w:pPr>
            <w:r w:rsidRPr="00A845B7">
              <w:rPr>
                <w:rFonts w:ascii="Arial" w:hAnsi="Arial" w:cs="Arial"/>
                <w:b/>
                <w:bCs/>
              </w:rPr>
              <w:t>Sales</w:t>
            </w:r>
          </w:p>
        </w:tc>
        <w:tc>
          <w:tcPr>
            <w:tcW w:w="698" w:type="pct"/>
            <w:tcBorders>
              <w:bottom w:val="single" w:sz="4" w:space="0" w:color="auto"/>
            </w:tcBorders>
            <w:shd w:val="clear" w:color="auto" w:fill="auto"/>
          </w:tcPr>
          <w:p w14:paraId="79FC7A54" w14:textId="1096B545" w:rsidR="007D43ED" w:rsidRPr="005D6FAA" w:rsidRDefault="00423845" w:rsidP="00C51098">
            <w:pPr>
              <w:jc w:val="right"/>
              <w:rPr>
                <w:rFonts w:ascii="Arial" w:hAnsi="Arial" w:cs="Arial"/>
                <w:highlight w:val="yellow"/>
              </w:rPr>
            </w:pPr>
            <w:r w:rsidRPr="002F04D6">
              <w:rPr>
                <w:rFonts w:ascii="Arial" w:hAnsi="Arial" w:cs="Arial"/>
              </w:rPr>
              <w:t>2,</w:t>
            </w:r>
            <w:r w:rsidR="002F04D6" w:rsidRPr="005D6FAA">
              <w:rPr>
                <w:rFonts w:ascii="Arial" w:hAnsi="Arial" w:cs="Arial"/>
              </w:rPr>
              <w:t>352</w:t>
            </w:r>
          </w:p>
        </w:tc>
        <w:tc>
          <w:tcPr>
            <w:tcW w:w="619" w:type="pct"/>
            <w:tcBorders>
              <w:bottom w:val="single" w:sz="4" w:space="0" w:color="auto"/>
            </w:tcBorders>
            <w:shd w:val="clear" w:color="auto" w:fill="auto"/>
          </w:tcPr>
          <w:p w14:paraId="65EDECC3" w14:textId="3E7D1DBF" w:rsidR="007D43ED" w:rsidRPr="00423845" w:rsidRDefault="005A65ED" w:rsidP="00C51098">
            <w:pPr>
              <w:jc w:val="right"/>
              <w:rPr>
                <w:rFonts w:ascii="Arial" w:hAnsi="Arial" w:cs="Arial"/>
              </w:rPr>
            </w:pPr>
            <w:r>
              <w:rPr>
                <w:rFonts w:ascii="Arial" w:hAnsi="Arial" w:cs="Arial"/>
              </w:rPr>
              <w:t>2,265</w:t>
            </w:r>
          </w:p>
        </w:tc>
        <w:tc>
          <w:tcPr>
            <w:tcW w:w="850" w:type="pct"/>
            <w:tcBorders>
              <w:bottom w:val="single" w:sz="4" w:space="0" w:color="auto"/>
            </w:tcBorders>
            <w:shd w:val="clear" w:color="auto" w:fill="auto"/>
          </w:tcPr>
          <w:p w14:paraId="73A0E59B" w14:textId="34ED73C2" w:rsidR="007D43ED" w:rsidRPr="005D6FAA" w:rsidRDefault="002E5D72" w:rsidP="00C51098">
            <w:pPr>
              <w:jc w:val="right"/>
              <w:rPr>
                <w:rFonts w:ascii="Arial" w:hAnsi="Arial" w:cs="Arial"/>
                <w:highlight w:val="yellow"/>
              </w:rPr>
            </w:pPr>
            <w:r w:rsidRPr="000278B9">
              <w:rPr>
                <w:rFonts w:ascii="Arial" w:hAnsi="Arial" w:cs="Arial"/>
              </w:rPr>
              <w:t>+</w:t>
            </w:r>
            <w:r w:rsidR="00423845" w:rsidRPr="000278B9">
              <w:rPr>
                <w:rFonts w:ascii="Arial" w:hAnsi="Arial" w:cs="Arial"/>
              </w:rPr>
              <w:t>3</w:t>
            </w:r>
            <w:r w:rsidR="00EA7F9F" w:rsidRPr="000278B9">
              <w:rPr>
                <w:rFonts w:ascii="Arial" w:hAnsi="Arial" w:cs="Arial"/>
              </w:rPr>
              <w:t>.</w:t>
            </w:r>
            <w:r w:rsidR="00FE04DA">
              <w:rPr>
                <w:rFonts w:ascii="Arial" w:hAnsi="Arial" w:cs="Arial"/>
              </w:rPr>
              <w:t>9</w:t>
            </w:r>
            <w:r w:rsidRPr="000278B9">
              <w:rPr>
                <w:rFonts w:ascii="Arial" w:hAnsi="Arial" w:cs="Arial"/>
              </w:rPr>
              <w:t>%</w:t>
            </w:r>
          </w:p>
        </w:tc>
        <w:tc>
          <w:tcPr>
            <w:tcW w:w="851" w:type="pct"/>
            <w:tcBorders>
              <w:bottom w:val="single" w:sz="4" w:space="0" w:color="auto"/>
            </w:tcBorders>
            <w:shd w:val="clear" w:color="auto" w:fill="auto"/>
          </w:tcPr>
          <w:p w14:paraId="7E95534E" w14:textId="57A16AEA" w:rsidR="007D43ED" w:rsidRPr="00FE04DA" w:rsidRDefault="002E5D72" w:rsidP="00C51098">
            <w:pPr>
              <w:jc w:val="right"/>
              <w:rPr>
                <w:rFonts w:ascii="Arial" w:hAnsi="Arial" w:cs="Arial"/>
              </w:rPr>
            </w:pPr>
            <w:r w:rsidRPr="00FE04DA">
              <w:rPr>
                <w:rFonts w:ascii="Arial" w:hAnsi="Arial" w:cs="Arial"/>
              </w:rPr>
              <w:t>+</w:t>
            </w:r>
            <w:r w:rsidR="00FE04DA" w:rsidRPr="005D6FAA">
              <w:rPr>
                <w:rFonts w:ascii="Arial" w:hAnsi="Arial" w:cs="Arial"/>
              </w:rPr>
              <w:t>5</w:t>
            </w:r>
            <w:r w:rsidRPr="00FE04DA">
              <w:rPr>
                <w:rFonts w:ascii="Arial" w:hAnsi="Arial" w:cs="Arial"/>
              </w:rPr>
              <w:t>.</w:t>
            </w:r>
            <w:r w:rsidR="00FE04DA" w:rsidRPr="005D6FAA">
              <w:rPr>
                <w:rFonts w:ascii="Arial" w:hAnsi="Arial" w:cs="Arial"/>
              </w:rPr>
              <w:t>7</w:t>
            </w:r>
            <w:r w:rsidRPr="00FE04DA">
              <w:rPr>
                <w:rFonts w:ascii="Arial" w:hAnsi="Arial" w:cs="Arial"/>
              </w:rPr>
              <w:t>%</w:t>
            </w:r>
          </w:p>
        </w:tc>
        <w:tc>
          <w:tcPr>
            <w:tcW w:w="695" w:type="pct"/>
            <w:tcBorders>
              <w:bottom w:val="single" w:sz="4" w:space="0" w:color="auto"/>
            </w:tcBorders>
            <w:shd w:val="clear" w:color="auto" w:fill="auto"/>
          </w:tcPr>
          <w:p w14:paraId="41A9DC09" w14:textId="668F680D" w:rsidR="007D43ED" w:rsidRPr="000278B9" w:rsidRDefault="002E5D72" w:rsidP="00C51098">
            <w:pPr>
              <w:jc w:val="right"/>
              <w:rPr>
                <w:rFonts w:ascii="Arial" w:hAnsi="Arial" w:cs="Arial"/>
              </w:rPr>
            </w:pPr>
            <w:r w:rsidRPr="000278B9">
              <w:rPr>
                <w:rFonts w:ascii="Arial" w:hAnsi="Arial" w:cs="Arial"/>
              </w:rPr>
              <w:t>+</w:t>
            </w:r>
            <w:r w:rsidR="000278B9" w:rsidRPr="005D6FAA">
              <w:rPr>
                <w:rFonts w:ascii="Arial" w:hAnsi="Arial" w:cs="Arial"/>
              </w:rPr>
              <w:t>1</w:t>
            </w:r>
            <w:r w:rsidRPr="000278B9">
              <w:rPr>
                <w:rFonts w:ascii="Arial" w:hAnsi="Arial" w:cs="Arial"/>
              </w:rPr>
              <w:t>.</w:t>
            </w:r>
            <w:r w:rsidR="00423845" w:rsidRPr="000278B9">
              <w:rPr>
                <w:rFonts w:ascii="Arial" w:hAnsi="Arial" w:cs="Arial"/>
              </w:rPr>
              <w:t>0</w:t>
            </w:r>
            <w:r w:rsidRPr="000278B9">
              <w:rPr>
                <w:rFonts w:ascii="Arial" w:hAnsi="Arial" w:cs="Arial"/>
              </w:rPr>
              <w:t>%</w:t>
            </w:r>
          </w:p>
        </w:tc>
      </w:tr>
      <w:tr w:rsidR="00892251" w:rsidRPr="0042729E" w14:paraId="44A03C75" w14:textId="77777777" w:rsidTr="00AF459E">
        <w:trPr>
          <w:trHeight w:val="147"/>
        </w:trPr>
        <w:tc>
          <w:tcPr>
            <w:tcW w:w="1288" w:type="pct"/>
            <w:tcBorders>
              <w:bottom w:val="single" w:sz="4" w:space="0" w:color="auto"/>
            </w:tcBorders>
            <w:shd w:val="clear" w:color="auto" w:fill="auto"/>
          </w:tcPr>
          <w:p w14:paraId="77892DBD" w14:textId="442B052D" w:rsidR="00892251" w:rsidRPr="005D6FAA" w:rsidRDefault="00AF459E" w:rsidP="00C51098">
            <w:pPr>
              <w:rPr>
                <w:rFonts w:ascii="Arial" w:hAnsi="Arial" w:cs="Arial"/>
                <w:bCs/>
              </w:rPr>
            </w:pPr>
            <w:r w:rsidRPr="005D6FAA">
              <w:rPr>
                <w:rFonts w:ascii="Arial" w:hAnsi="Arial" w:cs="Arial"/>
                <w:bCs/>
              </w:rPr>
              <w:t>Poland</w:t>
            </w:r>
          </w:p>
        </w:tc>
        <w:tc>
          <w:tcPr>
            <w:tcW w:w="698" w:type="pct"/>
            <w:tcBorders>
              <w:bottom w:val="single" w:sz="4" w:space="0" w:color="auto"/>
            </w:tcBorders>
            <w:shd w:val="clear" w:color="auto" w:fill="auto"/>
          </w:tcPr>
          <w:p w14:paraId="64ACB560" w14:textId="49768FA9" w:rsidR="00892251" w:rsidRPr="007B2D2F" w:rsidRDefault="00AF459E" w:rsidP="00C51098">
            <w:pPr>
              <w:jc w:val="right"/>
              <w:rPr>
                <w:rFonts w:ascii="Arial" w:hAnsi="Arial" w:cs="Arial"/>
                <w:highlight w:val="yellow"/>
              </w:rPr>
            </w:pPr>
            <w:r w:rsidRPr="005D6FAA">
              <w:rPr>
                <w:rFonts w:ascii="Arial" w:hAnsi="Arial" w:cs="Arial"/>
              </w:rPr>
              <w:t>1,431</w:t>
            </w:r>
          </w:p>
        </w:tc>
        <w:tc>
          <w:tcPr>
            <w:tcW w:w="619" w:type="pct"/>
            <w:tcBorders>
              <w:bottom w:val="single" w:sz="4" w:space="0" w:color="auto"/>
            </w:tcBorders>
            <w:shd w:val="clear" w:color="auto" w:fill="auto"/>
          </w:tcPr>
          <w:p w14:paraId="50B71EAF" w14:textId="2498788A" w:rsidR="00892251" w:rsidRDefault="00AF459E" w:rsidP="00C51098">
            <w:pPr>
              <w:jc w:val="right"/>
              <w:rPr>
                <w:rFonts w:ascii="Arial" w:hAnsi="Arial" w:cs="Arial"/>
              </w:rPr>
            </w:pPr>
            <w:r>
              <w:rPr>
                <w:rFonts w:ascii="Arial" w:hAnsi="Arial" w:cs="Arial"/>
              </w:rPr>
              <w:t>1,384</w:t>
            </w:r>
          </w:p>
        </w:tc>
        <w:tc>
          <w:tcPr>
            <w:tcW w:w="850" w:type="pct"/>
            <w:tcBorders>
              <w:bottom w:val="single" w:sz="4" w:space="0" w:color="auto"/>
            </w:tcBorders>
            <w:shd w:val="clear" w:color="auto" w:fill="auto"/>
          </w:tcPr>
          <w:p w14:paraId="1C20EE40" w14:textId="7B103219" w:rsidR="00892251" w:rsidRPr="007B2D2F" w:rsidRDefault="000278B9" w:rsidP="00C51098">
            <w:pPr>
              <w:jc w:val="right"/>
              <w:rPr>
                <w:rFonts w:ascii="Arial" w:hAnsi="Arial" w:cs="Arial"/>
                <w:highlight w:val="yellow"/>
              </w:rPr>
            </w:pPr>
            <w:r w:rsidRPr="005D6FAA">
              <w:rPr>
                <w:rFonts w:ascii="Arial" w:hAnsi="Arial" w:cs="Arial"/>
              </w:rPr>
              <w:t>+3.4%</w:t>
            </w:r>
          </w:p>
        </w:tc>
        <w:tc>
          <w:tcPr>
            <w:tcW w:w="851" w:type="pct"/>
            <w:tcBorders>
              <w:bottom w:val="single" w:sz="4" w:space="0" w:color="auto"/>
            </w:tcBorders>
            <w:shd w:val="clear" w:color="auto" w:fill="auto"/>
          </w:tcPr>
          <w:p w14:paraId="3660DC73" w14:textId="13DA9429" w:rsidR="00892251" w:rsidRPr="005D6FAA" w:rsidRDefault="00FE04DA" w:rsidP="00C51098">
            <w:pPr>
              <w:jc w:val="right"/>
              <w:rPr>
                <w:rFonts w:ascii="Arial" w:hAnsi="Arial" w:cs="Arial"/>
              </w:rPr>
            </w:pPr>
            <w:r w:rsidRPr="005D6FAA">
              <w:rPr>
                <w:rFonts w:ascii="Arial" w:hAnsi="Arial" w:cs="Arial"/>
              </w:rPr>
              <w:t>+3.4</w:t>
            </w:r>
            <w:r w:rsidR="000278B9" w:rsidRPr="005D6FAA">
              <w:rPr>
                <w:rFonts w:ascii="Arial" w:hAnsi="Arial" w:cs="Arial"/>
              </w:rPr>
              <w:t>%</w:t>
            </w:r>
          </w:p>
        </w:tc>
        <w:tc>
          <w:tcPr>
            <w:tcW w:w="695" w:type="pct"/>
            <w:tcBorders>
              <w:bottom w:val="single" w:sz="4" w:space="0" w:color="auto"/>
            </w:tcBorders>
            <w:shd w:val="clear" w:color="auto" w:fill="auto"/>
          </w:tcPr>
          <w:p w14:paraId="3CF60164" w14:textId="5D72936D" w:rsidR="00892251" w:rsidRPr="005A65ED" w:rsidRDefault="000278B9" w:rsidP="00C51098">
            <w:pPr>
              <w:jc w:val="right"/>
              <w:rPr>
                <w:rFonts w:ascii="Arial" w:hAnsi="Arial" w:cs="Arial"/>
                <w:highlight w:val="yellow"/>
              </w:rPr>
            </w:pPr>
            <w:r w:rsidRPr="005D6FAA">
              <w:rPr>
                <w:rFonts w:ascii="Arial" w:hAnsi="Arial" w:cs="Arial"/>
              </w:rPr>
              <w:t>+1.7%</w:t>
            </w:r>
          </w:p>
        </w:tc>
      </w:tr>
      <w:tr w:rsidR="0053737B" w:rsidRPr="0042729E" w14:paraId="74F4187D" w14:textId="77777777" w:rsidTr="00AF459E">
        <w:trPr>
          <w:trHeight w:val="147"/>
        </w:trPr>
        <w:tc>
          <w:tcPr>
            <w:tcW w:w="1288" w:type="pct"/>
            <w:tcBorders>
              <w:bottom w:val="single" w:sz="4" w:space="0" w:color="auto"/>
            </w:tcBorders>
            <w:shd w:val="clear" w:color="auto" w:fill="auto"/>
          </w:tcPr>
          <w:p w14:paraId="1C6ED238" w14:textId="09FFA050" w:rsidR="0053737B" w:rsidRPr="005D6FAA" w:rsidRDefault="0053737B" w:rsidP="00C51098">
            <w:pPr>
              <w:rPr>
                <w:rFonts w:ascii="Arial" w:hAnsi="Arial" w:cs="Arial"/>
                <w:bCs/>
              </w:rPr>
            </w:pPr>
            <w:r>
              <w:rPr>
                <w:rFonts w:ascii="Arial" w:hAnsi="Arial" w:cs="Arial"/>
                <w:bCs/>
              </w:rPr>
              <w:t>Romania</w:t>
            </w:r>
          </w:p>
        </w:tc>
        <w:tc>
          <w:tcPr>
            <w:tcW w:w="698" w:type="pct"/>
            <w:tcBorders>
              <w:bottom w:val="single" w:sz="4" w:space="0" w:color="auto"/>
            </w:tcBorders>
            <w:shd w:val="clear" w:color="auto" w:fill="auto"/>
          </w:tcPr>
          <w:p w14:paraId="62837E97" w14:textId="1E19EBA8" w:rsidR="0053737B" w:rsidRPr="005D6FAA" w:rsidRDefault="0053737B" w:rsidP="00C51098">
            <w:pPr>
              <w:jc w:val="right"/>
              <w:rPr>
                <w:rFonts w:ascii="Arial" w:hAnsi="Arial" w:cs="Arial"/>
              </w:rPr>
            </w:pPr>
            <w:r>
              <w:rPr>
                <w:rFonts w:ascii="Arial" w:hAnsi="Arial" w:cs="Arial"/>
              </w:rPr>
              <w:t>210</w:t>
            </w:r>
          </w:p>
        </w:tc>
        <w:tc>
          <w:tcPr>
            <w:tcW w:w="619" w:type="pct"/>
            <w:tcBorders>
              <w:bottom w:val="single" w:sz="4" w:space="0" w:color="auto"/>
            </w:tcBorders>
            <w:shd w:val="clear" w:color="auto" w:fill="auto"/>
          </w:tcPr>
          <w:p w14:paraId="699C554C" w14:textId="5BD3A4E6" w:rsidR="0053737B" w:rsidRPr="000278B9" w:rsidRDefault="0053737B" w:rsidP="00C51098">
            <w:pPr>
              <w:jc w:val="right"/>
              <w:rPr>
                <w:rFonts w:ascii="Arial" w:hAnsi="Arial" w:cs="Arial"/>
              </w:rPr>
            </w:pPr>
            <w:r>
              <w:rPr>
                <w:rFonts w:ascii="Arial" w:hAnsi="Arial" w:cs="Arial"/>
              </w:rPr>
              <w:t>130</w:t>
            </w:r>
          </w:p>
        </w:tc>
        <w:tc>
          <w:tcPr>
            <w:tcW w:w="850" w:type="pct"/>
            <w:tcBorders>
              <w:bottom w:val="single" w:sz="4" w:space="0" w:color="auto"/>
            </w:tcBorders>
            <w:shd w:val="clear" w:color="auto" w:fill="auto"/>
          </w:tcPr>
          <w:p w14:paraId="2D813AC6" w14:textId="1F1888DB" w:rsidR="0053737B" w:rsidRPr="005D6FAA" w:rsidRDefault="00DF0F4E" w:rsidP="00C51098">
            <w:pPr>
              <w:jc w:val="right"/>
              <w:rPr>
                <w:rFonts w:ascii="Arial" w:hAnsi="Arial" w:cs="Arial"/>
              </w:rPr>
            </w:pPr>
            <w:r>
              <w:rPr>
                <w:rFonts w:ascii="Arial" w:hAnsi="Arial" w:cs="Arial"/>
              </w:rPr>
              <w:t>+</w:t>
            </w:r>
            <w:r w:rsidR="0053737B">
              <w:rPr>
                <w:rFonts w:ascii="Arial" w:hAnsi="Arial" w:cs="Arial"/>
              </w:rPr>
              <w:t>62.0%</w:t>
            </w:r>
          </w:p>
        </w:tc>
        <w:tc>
          <w:tcPr>
            <w:tcW w:w="851" w:type="pct"/>
            <w:tcBorders>
              <w:bottom w:val="single" w:sz="4" w:space="0" w:color="auto"/>
            </w:tcBorders>
            <w:shd w:val="clear" w:color="auto" w:fill="auto"/>
          </w:tcPr>
          <w:p w14:paraId="51B88290" w14:textId="13F7A8EF" w:rsidR="0053737B" w:rsidRDefault="00DF0F4E" w:rsidP="00C51098">
            <w:pPr>
              <w:jc w:val="right"/>
              <w:rPr>
                <w:rFonts w:ascii="Arial" w:hAnsi="Arial" w:cs="Arial"/>
                <w:highlight w:val="yellow"/>
              </w:rPr>
            </w:pPr>
            <w:r>
              <w:rPr>
                <w:rFonts w:ascii="Arial" w:hAnsi="Arial" w:cs="Arial"/>
              </w:rPr>
              <w:t>+</w:t>
            </w:r>
            <w:r w:rsidR="0053737B" w:rsidRPr="00AF307A">
              <w:rPr>
                <w:rFonts w:ascii="Arial" w:hAnsi="Arial" w:cs="Arial"/>
              </w:rPr>
              <w:t>63.4%</w:t>
            </w:r>
          </w:p>
        </w:tc>
        <w:tc>
          <w:tcPr>
            <w:tcW w:w="695" w:type="pct"/>
            <w:tcBorders>
              <w:bottom w:val="single" w:sz="4" w:space="0" w:color="auto"/>
            </w:tcBorders>
            <w:shd w:val="clear" w:color="auto" w:fill="auto"/>
          </w:tcPr>
          <w:p w14:paraId="2E75B6D7" w14:textId="0B46FD99" w:rsidR="0053737B" w:rsidRDefault="00DF0F4E" w:rsidP="00C51098">
            <w:pPr>
              <w:jc w:val="right"/>
              <w:rPr>
                <w:rFonts w:ascii="Arial" w:hAnsi="Arial" w:cs="Arial"/>
                <w:highlight w:val="yellow"/>
              </w:rPr>
            </w:pPr>
            <w:r>
              <w:rPr>
                <w:rFonts w:ascii="Arial" w:hAnsi="Arial" w:cs="Arial"/>
              </w:rPr>
              <w:t>+</w:t>
            </w:r>
            <w:r w:rsidR="0053737B" w:rsidRPr="00AF307A">
              <w:rPr>
                <w:rFonts w:ascii="Arial" w:hAnsi="Arial" w:cs="Arial"/>
              </w:rPr>
              <w:t>0.2%</w:t>
            </w:r>
          </w:p>
        </w:tc>
      </w:tr>
      <w:tr w:rsidR="00892251" w:rsidRPr="00D05528" w14:paraId="57978714" w14:textId="77777777" w:rsidTr="00AF459E">
        <w:trPr>
          <w:trHeight w:val="147"/>
        </w:trPr>
        <w:tc>
          <w:tcPr>
            <w:tcW w:w="1288" w:type="pct"/>
            <w:tcBorders>
              <w:bottom w:val="single" w:sz="4" w:space="0" w:color="auto"/>
            </w:tcBorders>
            <w:shd w:val="clear" w:color="auto" w:fill="auto"/>
          </w:tcPr>
          <w:p w14:paraId="3EF66766" w14:textId="74E05186" w:rsidR="00892251" w:rsidRPr="00A34F82" w:rsidRDefault="00AF459E" w:rsidP="00C51098">
            <w:pPr>
              <w:rPr>
                <w:rFonts w:ascii="Arial" w:hAnsi="Arial" w:cs="Arial"/>
                <w:bCs/>
              </w:rPr>
            </w:pPr>
            <w:r w:rsidRPr="00A34F82">
              <w:rPr>
                <w:rFonts w:ascii="Arial" w:hAnsi="Arial" w:cs="Arial"/>
                <w:bCs/>
              </w:rPr>
              <w:t>Other</w:t>
            </w:r>
          </w:p>
        </w:tc>
        <w:tc>
          <w:tcPr>
            <w:tcW w:w="698" w:type="pct"/>
            <w:tcBorders>
              <w:bottom w:val="single" w:sz="4" w:space="0" w:color="auto"/>
            </w:tcBorders>
            <w:shd w:val="clear" w:color="auto" w:fill="auto"/>
          </w:tcPr>
          <w:p w14:paraId="0DE98967" w14:textId="53ED4E18" w:rsidR="00892251" w:rsidRPr="00A34F82" w:rsidRDefault="0053737B" w:rsidP="00C51098">
            <w:pPr>
              <w:jc w:val="right"/>
              <w:rPr>
                <w:rFonts w:ascii="Arial" w:hAnsi="Arial" w:cs="Arial"/>
              </w:rPr>
            </w:pPr>
            <w:r w:rsidRPr="00A34F82">
              <w:rPr>
                <w:rFonts w:ascii="Arial" w:hAnsi="Arial" w:cs="Arial"/>
              </w:rPr>
              <w:t>711</w:t>
            </w:r>
          </w:p>
        </w:tc>
        <w:tc>
          <w:tcPr>
            <w:tcW w:w="619" w:type="pct"/>
            <w:tcBorders>
              <w:bottom w:val="single" w:sz="4" w:space="0" w:color="auto"/>
            </w:tcBorders>
            <w:shd w:val="clear" w:color="auto" w:fill="auto"/>
          </w:tcPr>
          <w:p w14:paraId="5348EF16" w14:textId="51D9DA2A" w:rsidR="00892251" w:rsidRPr="00A34F82" w:rsidRDefault="0053737B" w:rsidP="00C51098">
            <w:pPr>
              <w:jc w:val="right"/>
              <w:rPr>
                <w:rFonts w:ascii="Arial" w:hAnsi="Arial" w:cs="Arial"/>
              </w:rPr>
            </w:pPr>
            <w:r w:rsidRPr="00A34F82">
              <w:rPr>
                <w:rFonts w:ascii="Arial" w:hAnsi="Arial" w:cs="Arial"/>
              </w:rPr>
              <w:t>751</w:t>
            </w:r>
          </w:p>
        </w:tc>
        <w:tc>
          <w:tcPr>
            <w:tcW w:w="850" w:type="pct"/>
            <w:tcBorders>
              <w:bottom w:val="single" w:sz="4" w:space="0" w:color="auto"/>
            </w:tcBorders>
            <w:shd w:val="clear" w:color="auto" w:fill="auto"/>
          </w:tcPr>
          <w:p w14:paraId="30090173" w14:textId="0B38CC76" w:rsidR="00892251" w:rsidRPr="00C2187E" w:rsidRDefault="0053737B" w:rsidP="00C51098">
            <w:pPr>
              <w:jc w:val="right"/>
              <w:rPr>
                <w:rFonts w:ascii="Arial" w:hAnsi="Arial" w:cs="Arial"/>
              </w:rPr>
            </w:pPr>
            <w:r w:rsidRPr="00C2187E">
              <w:rPr>
                <w:rFonts w:ascii="Arial" w:hAnsi="Arial" w:cs="Arial"/>
              </w:rPr>
              <w:t>(</w:t>
            </w:r>
            <w:proofErr w:type="gramStart"/>
            <w:r w:rsidRPr="00C2187E">
              <w:rPr>
                <w:rFonts w:ascii="Arial" w:hAnsi="Arial" w:cs="Arial"/>
              </w:rPr>
              <w:t>5</w:t>
            </w:r>
            <w:r w:rsidR="000278B9" w:rsidRPr="00C2187E">
              <w:rPr>
                <w:rFonts w:ascii="Arial" w:hAnsi="Arial" w:cs="Arial"/>
              </w:rPr>
              <w:t>.</w:t>
            </w:r>
            <w:r w:rsidRPr="00C2187E">
              <w:rPr>
                <w:rFonts w:ascii="Arial" w:hAnsi="Arial" w:cs="Arial"/>
              </w:rPr>
              <w:t>3)</w:t>
            </w:r>
            <w:r w:rsidR="000278B9" w:rsidRPr="00C2187E">
              <w:rPr>
                <w:rFonts w:ascii="Arial" w:hAnsi="Arial" w:cs="Arial"/>
              </w:rPr>
              <w:t>%</w:t>
            </w:r>
            <w:proofErr w:type="gramEnd"/>
          </w:p>
        </w:tc>
        <w:tc>
          <w:tcPr>
            <w:tcW w:w="851" w:type="pct"/>
            <w:tcBorders>
              <w:bottom w:val="single" w:sz="4" w:space="0" w:color="auto"/>
            </w:tcBorders>
            <w:shd w:val="clear" w:color="auto" w:fill="auto"/>
          </w:tcPr>
          <w:p w14:paraId="6489662D" w14:textId="76641784" w:rsidR="00892251" w:rsidRPr="00C2187E" w:rsidRDefault="00A34F82" w:rsidP="00C51098">
            <w:pPr>
              <w:jc w:val="right"/>
              <w:rPr>
                <w:rFonts w:ascii="Arial" w:hAnsi="Arial" w:cs="Arial"/>
              </w:rPr>
            </w:pPr>
            <w:r w:rsidRPr="00C2187E">
              <w:rPr>
                <w:rFonts w:ascii="Arial" w:hAnsi="Arial" w:cs="Arial"/>
              </w:rPr>
              <w:t>(</w:t>
            </w:r>
            <w:proofErr w:type="gramStart"/>
            <w:r w:rsidRPr="00C2187E">
              <w:rPr>
                <w:rFonts w:ascii="Arial" w:hAnsi="Arial" w:cs="Arial"/>
              </w:rPr>
              <w:t>0.3)</w:t>
            </w:r>
            <w:r w:rsidR="000278B9" w:rsidRPr="00C2187E">
              <w:rPr>
                <w:rFonts w:ascii="Arial" w:hAnsi="Arial" w:cs="Arial"/>
              </w:rPr>
              <w:t>%</w:t>
            </w:r>
            <w:proofErr w:type="gramEnd"/>
          </w:p>
        </w:tc>
        <w:tc>
          <w:tcPr>
            <w:tcW w:w="695" w:type="pct"/>
            <w:tcBorders>
              <w:bottom w:val="single" w:sz="4" w:space="0" w:color="auto"/>
            </w:tcBorders>
            <w:shd w:val="clear" w:color="auto" w:fill="auto"/>
          </w:tcPr>
          <w:p w14:paraId="0621BE8B" w14:textId="78E71165" w:rsidR="00892251" w:rsidRPr="00C2187E" w:rsidRDefault="00D24C2F" w:rsidP="00C51098">
            <w:pPr>
              <w:jc w:val="right"/>
              <w:rPr>
                <w:rFonts w:ascii="Arial" w:hAnsi="Arial" w:cs="Arial"/>
              </w:rPr>
            </w:pPr>
            <w:r w:rsidRPr="00C2187E">
              <w:rPr>
                <w:rFonts w:ascii="Arial" w:hAnsi="Arial" w:cs="Arial"/>
              </w:rPr>
              <w:t>(</w:t>
            </w:r>
            <w:proofErr w:type="gramStart"/>
            <w:r w:rsidRPr="00C2187E">
              <w:rPr>
                <w:rFonts w:ascii="Arial" w:hAnsi="Arial" w:cs="Arial"/>
              </w:rPr>
              <w:t>0.</w:t>
            </w:r>
            <w:r w:rsidR="00D05528" w:rsidRPr="00C2187E">
              <w:rPr>
                <w:rFonts w:ascii="Arial" w:hAnsi="Arial" w:cs="Arial"/>
              </w:rPr>
              <w:t>3</w:t>
            </w:r>
            <w:r w:rsidRPr="00C2187E">
              <w:rPr>
                <w:rFonts w:ascii="Arial" w:hAnsi="Arial" w:cs="Arial"/>
              </w:rPr>
              <w:t>)</w:t>
            </w:r>
            <w:r w:rsidR="000278B9" w:rsidRPr="00C2187E">
              <w:rPr>
                <w:rFonts w:ascii="Arial" w:hAnsi="Arial" w:cs="Arial"/>
              </w:rPr>
              <w:t>%</w:t>
            </w:r>
            <w:proofErr w:type="gramEnd"/>
          </w:p>
        </w:tc>
      </w:tr>
      <w:tr w:rsidR="006B02CB" w:rsidRPr="0042729E" w14:paraId="1823B945" w14:textId="77777777" w:rsidTr="00AF459E">
        <w:trPr>
          <w:gridAfter w:val="1"/>
          <w:wAfter w:w="695" w:type="pct"/>
        </w:trPr>
        <w:tc>
          <w:tcPr>
            <w:tcW w:w="1288" w:type="pct"/>
            <w:tcBorders>
              <w:top w:val="nil"/>
              <w:left w:val="nil"/>
              <w:bottom w:val="single" w:sz="4" w:space="0" w:color="auto"/>
              <w:right w:val="nil"/>
            </w:tcBorders>
          </w:tcPr>
          <w:p w14:paraId="22C95B8A" w14:textId="77777777" w:rsidR="007D43ED" w:rsidRPr="00A845B7" w:rsidRDefault="007D43ED" w:rsidP="00C51098">
            <w:pPr>
              <w:rPr>
                <w:rFonts w:ascii="Arial" w:hAnsi="Arial" w:cs="Arial"/>
                <w:bCs/>
              </w:rPr>
            </w:pPr>
          </w:p>
        </w:tc>
        <w:tc>
          <w:tcPr>
            <w:tcW w:w="698" w:type="pct"/>
            <w:tcBorders>
              <w:top w:val="nil"/>
              <w:left w:val="nil"/>
              <w:bottom w:val="single" w:sz="4" w:space="0" w:color="auto"/>
              <w:right w:val="nil"/>
            </w:tcBorders>
          </w:tcPr>
          <w:p w14:paraId="21C9775B" w14:textId="77777777" w:rsidR="007D43ED" w:rsidRPr="005A65ED" w:rsidRDefault="007D43ED" w:rsidP="00C51098">
            <w:pPr>
              <w:jc w:val="right"/>
              <w:rPr>
                <w:rFonts w:ascii="Arial" w:hAnsi="Arial" w:cs="Arial"/>
                <w:highlight w:val="yellow"/>
              </w:rPr>
            </w:pPr>
          </w:p>
        </w:tc>
        <w:tc>
          <w:tcPr>
            <w:tcW w:w="619" w:type="pct"/>
            <w:tcBorders>
              <w:top w:val="nil"/>
              <w:left w:val="nil"/>
              <w:bottom w:val="single" w:sz="4" w:space="0" w:color="auto"/>
              <w:right w:val="nil"/>
            </w:tcBorders>
          </w:tcPr>
          <w:p w14:paraId="48F496B4" w14:textId="77777777" w:rsidR="007D43ED" w:rsidRPr="00A845B7" w:rsidRDefault="007D43ED" w:rsidP="00C51098">
            <w:pPr>
              <w:jc w:val="right"/>
              <w:rPr>
                <w:rFonts w:ascii="Arial" w:hAnsi="Arial" w:cs="Arial"/>
              </w:rPr>
            </w:pPr>
          </w:p>
        </w:tc>
        <w:tc>
          <w:tcPr>
            <w:tcW w:w="850" w:type="pct"/>
            <w:tcBorders>
              <w:top w:val="nil"/>
              <w:left w:val="nil"/>
              <w:bottom w:val="single" w:sz="4" w:space="0" w:color="auto"/>
              <w:right w:val="nil"/>
            </w:tcBorders>
          </w:tcPr>
          <w:p w14:paraId="6A465D84" w14:textId="77777777" w:rsidR="007D43ED" w:rsidRPr="0018703F" w:rsidRDefault="007D43ED" w:rsidP="00C51098">
            <w:pPr>
              <w:jc w:val="right"/>
              <w:rPr>
                <w:rFonts w:ascii="Arial" w:hAnsi="Arial" w:cs="Arial"/>
                <w:highlight w:val="yellow"/>
              </w:rPr>
            </w:pPr>
          </w:p>
        </w:tc>
        <w:tc>
          <w:tcPr>
            <w:tcW w:w="851" w:type="pct"/>
            <w:tcBorders>
              <w:top w:val="nil"/>
              <w:left w:val="nil"/>
              <w:bottom w:val="single" w:sz="4" w:space="0" w:color="auto"/>
              <w:right w:val="nil"/>
            </w:tcBorders>
          </w:tcPr>
          <w:p w14:paraId="287E80E6" w14:textId="77777777" w:rsidR="007D43ED" w:rsidRPr="0018703F" w:rsidRDefault="007D43ED" w:rsidP="00C51098">
            <w:pPr>
              <w:jc w:val="right"/>
              <w:rPr>
                <w:rFonts w:ascii="Arial" w:hAnsi="Arial" w:cs="Arial"/>
                <w:highlight w:val="yellow"/>
              </w:rPr>
            </w:pPr>
          </w:p>
        </w:tc>
      </w:tr>
      <w:tr w:rsidR="006B02CB" w:rsidRPr="0042729E" w14:paraId="16D6B93F" w14:textId="77777777" w:rsidTr="00AF459E">
        <w:trPr>
          <w:gridAfter w:val="1"/>
          <w:wAfter w:w="695" w:type="pct"/>
        </w:trPr>
        <w:tc>
          <w:tcPr>
            <w:tcW w:w="1288" w:type="pct"/>
            <w:tcBorders>
              <w:top w:val="single" w:sz="4" w:space="0" w:color="auto"/>
              <w:bottom w:val="single" w:sz="4" w:space="0" w:color="auto"/>
            </w:tcBorders>
          </w:tcPr>
          <w:p w14:paraId="2D874B02" w14:textId="77777777" w:rsidR="007D43ED" w:rsidRPr="00A845B7" w:rsidRDefault="007D43ED" w:rsidP="00C51098">
            <w:pPr>
              <w:rPr>
                <w:rFonts w:ascii="Arial" w:hAnsi="Arial" w:cs="Arial"/>
                <w:b/>
              </w:rPr>
            </w:pPr>
            <w:r w:rsidRPr="00A845B7">
              <w:rPr>
                <w:rFonts w:ascii="Arial" w:hAnsi="Arial" w:cs="Arial"/>
                <w:b/>
                <w:bCs/>
              </w:rPr>
              <w:t>Retail profit</w:t>
            </w:r>
          </w:p>
        </w:tc>
        <w:tc>
          <w:tcPr>
            <w:tcW w:w="698" w:type="pct"/>
            <w:tcBorders>
              <w:top w:val="single" w:sz="4" w:space="0" w:color="auto"/>
              <w:bottom w:val="single" w:sz="4" w:space="0" w:color="auto"/>
            </w:tcBorders>
          </w:tcPr>
          <w:p w14:paraId="3A555562" w14:textId="53934601" w:rsidR="007D43ED" w:rsidRPr="005A65ED" w:rsidRDefault="000278B9" w:rsidP="00C51098">
            <w:pPr>
              <w:jc w:val="right"/>
              <w:rPr>
                <w:rFonts w:ascii="Arial" w:hAnsi="Arial" w:cs="Arial"/>
                <w:highlight w:val="yellow"/>
              </w:rPr>
            </w:pPr>
            <w:r w:rsidRPr="005D6FAA">
              <w:rPr>
                <w:rFonts w:ascii="Arial" w:hAnsi="Arial" w:cs="Arial"/>
              </w:rPr>
              <w:t>14</w:t>
            </w:r>
            <w:r w:rsidR="009879D2">
              <w:rPr>
                <w:rFonts w:ascii="Arial" w:hAnsi="Arial" w:cs="Arial"/>
              </w:rPr>
              <w:t>5</w:t>
            </w:r>
          </w:p>
        </w:tc>
        <w:tc>
          <w:tcPr>
            <w:tcW w:w="619" w:type="pct"/>
            <w:tcBorders>
              <w:top w:val="single" w:sz="4" w:space="0" w:color="auto"/>
              <w:bottom w:val="single" w:sz="4" w:space="0" w:color="auto"/>
            </w:tcBorders>
          </w:tcPr>
          <w:p w14:paraId="76B95947" w14:textId="78D036C5" w:rsidR="007D43ED" w:rsidRPr="00A845B7" w:rsidRDefault="000278B9" w:rsidP="00C51098">
            <w:pPr>
              <w:jc w:val="right"/>
              <w:rPr>
                <w:rFonts w:ascii="Arial" w:hAnsi="Arial" w:cs="Arial"/>
              </w:rPr>
            </w:pPr>
            <w:r>
              <w:rPr>
                <w:rFonts w:ascii="Arial" w:hAnsi="Arial" w:cs="Arial"/>
              </w:rPr>
              <w:t>154</w:t>
            </w:r>
          </w:p>
        </w:tc>
        <w:tc>
          <w:tcPr>
            <w:tcW w:w="850" w:type="pct"/>
            <w:tcBorders>
              <w:top w:val="single" w:sz="4" w:space="0" w:color="auto"/>
              <w:bottom w:val="single" w:sz="4" w:space="0" w:color="auto"/>
            </w:tcBorders>
          </w:tcPr>
          <w:p w14:paraId="3FA30057" w14:textId="5F24C232" w:rsidR="007D43ED" w:rsidRPr="0018703F" w:rsidRDefault="000278B9" w:rsidP="00C51098">
            <w:pPr>
              <w:jc w:val="right"/>
              <w:rPr>
                <w:rFonts w:ascii="Arial" w:hAnsi="Arial" w:cs="Arial"/>
                <w:highlight w:val="yellow"/>
              </w:rPr>
            </w:pPr>
            <w:r w:rsidRPr="005D6FAA">
              <w:rPr>
                <w:rFonts w:ascii="Arial" w:hAnsi="Arial" w:cs="Arial"/>
              </w:rPr>
              <w:t>(</w:t>
            </w:r>
            <w:proofErr w:type="gramStart"/>
            <w:r w:rsidR="009879D2">
              <w:rPr>
                <w:rFonts w:ascii="Arial" w:hAnsi="Arial" w:cs="Arial"/>
              </w:rPr>
              <w:t>5.</w:t>
            </w:r>
            <w:r w:rsidR="006713F6">
              <w:rPr>
                <w:rFonts w:ascii="Arial" w:hAnsi="Arial" w:cs="Arial"/>
              </w:rPr>
              <w:t>0)</w:t>
            </w:r>
            <w:r w:rsidRPr="005D6FAA">
              <w:rPr>
                <w:rFonts w:ascii="Arial" w:hAnsi="Arial" w:cs="Arial"/>
              </w:rPr>
              <w:t>%</w:t>
            </w:r>
            <w:proofErr w:type="gramEnd"/>
          </w:p>
        </w:tc>
        <w:tc>
          <w:tcPr>
            <w:tcW w:w="851" w:type="pct"/>
            <w:tcBorders>
              <w:top w:val="single" w:sz="4" w:space="0" w:color="auto"/>
              <w:bottom w:val="single" w:sz="4" w:space="0" w:color="auto"/>
            </w:tcBorders>
          </w:tcPr>
          <w:p w14:paraId="6B50D3B5" w14:textId="203AEF3A" w:rsidR="007D43ED" w:rsidRPr="005D6FAA" w:rsidRDefault="00FE04DA" w:rsidP="00C51098">
            <w:pPr>
              <w:jc w:val="right"/>
              <w:rPr>
                <w:rFonts w:ascii="Arial" w:hAnsi="Arial" w:cs="Arial"/>
              </w:rPr>
            </w:pPr>
            <w:r w:rsidRPr="005D6FAA">
              <w:rPr>
                <w:rFonts w:ascii="Arial" w:hAnsi="Arial" w:cs="Arial"/>
              </w:rPr>
              <w:t>(</w:t>
            </w:r>
            <w:proofErr w:type="gramStart"/>
            <w:r w:rsidR="009879D2">
              <w:rPr>
                <w:rFonts w:ascii="Arial" w:hAnsi="Arial" w:cs="Arial"/>
              </w:rPr>
              <w:t>4.3</w:t>
            </w:r>
            <w:r w:rsidRPr="005D6FAA">
              <w:rPr>
                <w:rFonts w:ascii="Arial" w:hAnsi="Arial" w:cs="Arial"/>
              </w:rPr>
              <w:t>)</w:t>
            </w:r>
            <w:r w:rsidR="000278B9" w:rsidRPr="005D6FAA">
              <w:rPr>
                <w:rFonts w:ascii="Arial" w:hAnsi="Arial" w:cs="Arial"/>
              </w:rPr>
              <w:t>%</w:t>
            </w:r>
            <w:proofErr w:type="gramEnd"/>
          </w:p>
        </w:tc>
      </w:tr>
      <w:tr w:rsidR="00E0450C" w:rsidRPr="0042729E" w14:paraId="05E729E9" w14:textId="77777777" w:rsidTr="00AF459E">
        <w:trPr>
          <w:gridAfter w:val="1"/>
          <w:wAfter w:w="695" w:type="pct"/>
        </w:trPr>
        <w:tc>
          <w:tcPr>
            <w:tcW w:w="1288" w:type="pct"/>
            <w:tcBorders>
              <w:top w:val="single" w:sz="4" w:space="0" w:color="auto"/>
            </w:tcBorders>
          </w:tcPr>
          <w:p w14:paraId="468D6E58" w14:textId="26979AC8" w:rsidR="00E0450C" w:rsidRPr="000278B9" w:rsidRDefault="00AF459E" w:rsidP="00E0450C">
            <w:pPr>
              <w:jc w:val="left"/>
              <w:rPr>
                <w:rFonts w:ascii="Arial" w:hAnsi="Arial" w:cs="Arial"/>
                <w:bCs/>
              </w:rPr>
            </w:pPr>
            <w:r w:rsidRPr="000278B9">
              <w:rPr>
                <w:rFonts w:ascii="Arial" w:hAnsi="Arial" w:cs="Arial"/>
              </w:rPr>
              <w:t>Poland</w:t>
            </w:r>
          </w:p>
        </w:tc>
        <w:tc>
          <w:tcPr>
            <w:tcW w:w="698" w:type="pct"/>
            <w:tcBorders>
              <w:top w:val="single" w:sz="4" w:space="0" w:color="auto"/>
            </w:tcBorders>
          </w:tcPr>
          <w:p w14:paraId="3ACEF23F" w14:textId="73CAD6DC" w:rsidR="00E0450C" w:rsidRPr="005D6FAA" w:rsidRDefault="00E0450C" w:rsidP="00E0450C">
            <w:pPr>
              <w:jc w:val="right"/>
              <w:rPr>
                <w:rFonts w:ascii="Arial" w:hAnsi="Arial" w:cs="Arial"/>
              </w:rPr>
            </w:pPr>
            <w:r w:rsidRPr="000278B9">
              <w:rPr>
                <w:rFonts w:ascii="Arial" w:hAnsi="Arial" w:cs="Arial"/>
              </w:rPr>
              <w:t>1</w:t>
            </w:r>
            <w:r w:rsidR="000278B9" w:rsidRPr="005D6FAA">
              <w:rPr>
                <w:rFonts w:ascii="Arial" w:hAnsi="Arial" w:cs="Arial"/>
              </w:rPr>
              <w:t>8</w:t>
            </w:r>
            <w:r w:rsidR="00FE04DA">
              <w:rPr>
                <w:rFonts w:ascii="Arial" w:hAnsi="Arial" w:cs="Arial"/>
              </w:rPr>
              <w:t>1</w:t>
            </w:r>
          </w:p>
        </w:tc>
        <w:tc>
          <w:tcPr>
            <w:tcW w:w="619" w:type="pct"/>
            <w:tcBorders>
              <w:top w:val="single" w:sz="4" w:space="0" w:color="auto"/>
            </w:tcBorders>
          </w:tcPr>
          <w:p w14:paraId="30303148" w14:textId="47A1A33E" w:rsidR="00E0450C" w:rsidRPr="00A845B7" w:rsidRDefault="00E0450C" w:rsidP="00E0450C">
            <w:pPr>
              <w:jc w:val="right"/>
              <w:rPr>
                <w:rFonts w:ascii="Arial" w:hAnsi="Arial" w:cs="Arial"/>
              </w:rPr>
            </w:pPr>
            <w:r w:rsidRPr="00A845B7">
              <w:rPr>
                <w:rFonts w:ascii="Arial" w:hAnsi="Arial" w:cs="Arial"/>
              </w:rPr>
              <w:t>1</w:t>
            </w:r>
            <w:r w:rsidR="005A65ED">
              <w:rPr>
                <w:rFonts w:ascii="Arial" w:hAnsi="Arial" w:cs="Arial"/>
              </w:rPr>
              <w:t>7</w:t>
            </w:r>
            <w:r w:rsidR="00BF0C3B">
              <w:rPr>
                <w:rFonts w:ascii="Arial" w:hAnsi="Arial" w:cs="Arial"/>
              </w:rPr>
              <w:t>0</w:t>
            </w:r>
          </w:p>
        </w:tc>
        <w:tc>
          <w:tcPr>
            <w:tcW w:w="850" w:type="pct"/>
            <w:tcBorders>
              <w:top w:val="single" w:sz="4" w:space="0" w:color="auto"/>
            </w:tcBorders>
            <w:shd w:val="clear" w:color="auto" w:fill="auto"/>
          </w:tcPr>
          <w:p w14:paraId="43DF5B31" w14:textId="6BD4CF6C" w:rsidR="00E0450C" w:rsidRPr="005D6FAA" w:rsidRDefault="00E0450C" w:rsidP="00E0450C">
            <w:pPr>
              <w:jc w:val="right"/>
              <w:rPr>
                <w:rFonts w:ascii="Arial" w:hAnsi="Arial" w:cs="Arial"/>
                <w:highlight w:val="yellow"/>
              </w:rPr>
            </w:pPr>
            <w:r w:rsidRPr="000278B9">
              <w:rPr>
                <w:rFonts w:ascii="Arial" w:hAnsi="Arial" w:cs="Arial"/>
              </w:rPr>
              <w:t>+</w:t>
            </w:r>
            <w:r w:rsidR="000278B9" w:rsidRPr="005D6FAA">
              <w:rPr>
                <w:rFonts w:ascii="Arial" w:hAnsi="Arial" w:cs="Arial"/>
              </w:rPr>
              <w:t>6</w:t>
            </w:r>
            <w:r w:rsidRPr="000278B9">
              <w:rPr>
                <w:rFonts w:ascii="Arial" w:hAnsi="Arial" w:cs="Arial"/>
              </w:rPr>
              <w:t>.</w:t>
            </w:r>
            <w:r w:rsidR="00FE04DA">
              <w:rPr>
                <w:rFonts w:ascii="Arial" w:hAnsi="Arial" w:cs="Arial"/>
              </w:rPr>
              <w:t>6</w:t>
            </w:r>
            <w:r w:rsidRPr="000278B9">
              <w:rPr>
                <w:rFonts w:ascii="Arial" w:hAnsi="Arial" w:cs="Arial"/>
              </w:rPr>
              <w:t>%</w:t>
            </w:r>
          </w:p>
        </w:tc>
        <w:tc>
          <w:tcPr>
            <w:tcW w:w="851" w:type="pct"/>
            <w:tcBorders>
              <w:top w:val="single" w:sz="4" w:space="0" w:color="auto"/>
            </w:tcBorders>
          </w:tcPr>
          <w:p w14:paraId="6ABA3DF1" w14:textId="5E264104" w:rsidR="00E0450C" w:rsidRPr="00FE04DA" w:rsidRDefault="00E0450C" w:rsidP="00E0450C">
            <w:pPr>
              <w:jc w:val="right"/>
              <w:rPr>
                <w:rFonts w:ascii="Arial" w:hAnsi="Arial" w:cs="Arial"/>
              </w:rPr>
            </w:pPr>
            <w:r w:rsidRPr="00FE04DA">
              <w:rPr>
                <w:rFonts w:ascii="Arial" w:hAnsi="Arial" w:cs="Arial"/>
              </w:rPr>
              <w:t>+</w:t>
            </w:r>
            <w:r w:rsidR="00FE04DA" w:rsidRPr="005D6FAA">
              <w:rPr>
                <w:rFonts w:ascii="Arial" w:hAnsi="Arial" w:cs="Arial"/>
              </w:rPr>
              <w:t>6.6</w:t>
            </w:r>
            <w:r w:rsidRPr="00FE04DA">
              <w:rPr>
                <w:rFonts w:ascii="Arial" w:hAnsi="Arial" w:cs="Arial"/>
              </w:rPr>
              <w:t>%</w:t>
            </w:r>
          </w:p>
        </w:tc>
      </w:tr>
      <w:tr w:rsidR="0053737B" w:rsidRPr="0042729E" w14:paraId="2300991F" w14:textId="77777777" w:rsidTr="00AF459E">
        <w:trPr>
          <w:gridAfter w:val="1"/>
          <w:wAfter w:w="695" w:type="pct"/>
        </w:trPr>
        <w:tc>
          <w:tcPr>
            <w:tcW w:w="1288" w:type="pct"/>
            <w:tcBorders>
              <w:top w:val="single" w:sz="4" w:space="0" w:color="auto"/>
            </w:tcBorders>
          </w:tcPr>
          <w:p w14:paraId="3F262DC8" w14:textId="198A2BDD" w:rsidR="0053737B" w:rsidRPr="000278B9" w:rsidRDefault="0053737B" w:rsidP="00E0450C">
            <w:pPr>
              <w:jc w:val="left"/>
              <w:rPr>
                <w:rFonts w:ascii="Arial" w:hAnsi="Arial" w:cs="Arial"/>
              </w:rPr>
            </w:pPr>
            <w:r>
              <w:rPr>
                <w:rFonts w:ascii="Arial" w:hAnsi="Arial" w:cs="Arial"/>
              </w:rPr>
              <w:t>Romania</w:t>
            </w:r>
          </w:p>
        </w:tc>
        <w:tc>
          <w:tcPr>
            <w:tcW w:w="698" w:type="pct"/>
            <w:tcBorders>
              <w:top w:val="single" w:sz="4" w:space="0" w:color="auto"/>
            </w:tcBorders>
          </w:tcPr>
          <w:p w14:paraId="36B72BA5" w14:textId="0FF84F9A" w:rsidR="0053737B" w:rsidRPr="000278B9" w:rsidRDefault="0053737B" w:rsidP="00E0450C">
            <w:pPr>
              <w:jc w:val="right"/>
              <w:rPr>
                <w:rFonts w:ascii="Arial" w:hAnsi="Arial" w:cs="Arial"/>
              </w:rPr>
            </w:pPr>
            <w:r>
              <w:rPr>
                <w:rFonts w:ascii="Arial" w:hAnsi="Arial" w:cs="Arial"/>
              </w:rPr>
              <w:t>(1</w:t>
            </w:r>
            <w:r w:rsidR="009D1FDD">
              <w:rPr>
                <w:rFonts w:ascii="Arial" w:hAnsi="Arial" w:cs="Arial"/>
              </w:rPr>
              <w:t>5</w:t>
            </w:r>
            <w:r>
              <w:rPr>
                <w:rFonts w:ascii="Arial" w:hAnsi="Arial" w:cs="Arial"/>
              </w:rPr>
              <w:t>)</w:t>
            </w:r>
          </w:p>
        </w:tc>
        <w:tc>
          <w:tcPr>
            <w:tcW w:w="619" w:type="pct"/>
            <w:tcBorders>
              <w:top w:val="single" w:sz="4" w:space="0" w:color="auto"/>
            </w:tcBorders>
          </w:tcPr>
          <w:p w14:paraId="2C12388D" w14:textId="3601B41F" w:rsidR="0053737B" w:rsidRPr="00A845B7" w:rsidRDefault="0053737B" w:rsidP="00E0450C">
            <w:pPr>
              <w:jc w:val="right"/>
              <w:rPr>
                <w:rFonts w:ascii="Arial" w:hAnsi="Arial" w:cs="Arial"/>
              </w:rPr>
            </w:pPr>
            <w:r>
              <w:rPr>
                <w:rFonts w:ascii="Arial" w:hAnsi="Arial" w:cs="Arial"/>
              </w:rPr>
              <w:t>3</w:t>
            </w:r>
          </w:p>
        </w:tc>
        <w:tc>
          <w:tcPr>
            <w:tcW w:w="850" w:type="pct"/>
            <w:tcBorders>
              <w:top w:val="single" w:sz="4" w:space="0" w:color="auto"/>
            </w:tcBorders>
            <w:shd w:val="clear" w:color="auto" w:fill="auto"/>
          </w:tcPr>
          <w:p w14:paraId="52104A5F" w14:textId="1B0C5210" w:rsidR="0053737B" w:rsidRPr="000278B9" w:rsidRDefault="0053737B" w:rsidP="00E0450C">
            <w:pPr>
              <w:jc w:val="right"/>
              <w:rPr>
                <w:rFonts w:ascii="Arial" w:hAnsi="Arial" w:cs="Arial"/>
              </w:rPr>
            </w:pPr>
            <w:r>
              <w:rPr>
                <w:rFonts w:ascii="Arial" w:hAnsi="Arial" w:cs="Arial"/>
              </w:rPr>
              <w:t>n/a</w:t>
            </w:r>
          </w:p>
        </w:tc>
        <w:tc>
          <w:tcPr>
            <w:tcW w:w="851" w:type="pct"/>
            <w:tcBorders>
              <w:top w:val="single" w:sz="4" w:space="0" w:color="auto"/>
            </w:tcBorders>
          </w:tcPr>
          <w:p w14:paraId="5601ED7C" w14:textId="4A2225AE" w:rsidR="0053737B" w:rsidRPr="00FE04DA" w:rsidRDefault="0053737B" w:rsidP="00E0450C">
            <w:pPr>
              <w:jc w:val="right"/>
              <w:rPr>
                <w:rFonts w:ascii="Arial" w:hAnsi="Arial" w:cs="Arial"/>
              </w:rPr>
            </w:pPr>
            <w:r>
              <w:rPr>
                <w:rFonts w:ascii="Arial" w:hAnsi="Arial" w:cs="Arial"/>
              </w:rPr>
              <w:t>n/a</w:t>
            </w:r>
          </w:p>
        </w:tc>
      </w:tr>
      <w:tr w:rsidR="00E0450C" w:rsidRPr="0042729E" w14:paraId="0B3C2F85" w14:textId="77777777" w:rsidTr="00AF459E">
        <w:trPr>
          <w:gridAfter w:val="1"/>
          <w:wAfter w:w="695" w:type="pct"/>
        </w:trPr>
        <w:tc>
          <w:tcPr>
            <w:tcW w:w="1288" w:type="pct"/>
            <w:tcBorders>
              <w:top w:val="single" w:sz="4" w:space="0" w:color="auto"/>
            </w:tcBorders>
          </w:tcPr>
          <w:p w14:paraId="103F7D94" w14:textId="7C992E1C" w:rsidR="00E0450C" w:rsidRPr="00A845B7" w:rsidRDefault="00AF459E" w:rsidP="00E0450C">
            <w:pPr>
              <w:jc w:val="left"/>
              <w:rPr>
                <w:rFonts w:ascii="Arial" w:hAnsi="Arial" w:cs="Arial"/>
              </w:rPr>
            </w:pPr>
            <w:r>
              <w:rPr>
                <w:rFonts w:ascii="Arial" w:hAnsi="Arial" w:cs="Arial"/>
              </w:rPr>
              <w:t>Other</w:t>
            </w:r>
          </w:p>
        </w:tc>
        <w:tc>
          <w:tcPr>
            <w:tcW w:w="698" w:type="pct"/>
            <w:tcBorders>
              <w:top w:val="single" w:sz="4" w:space="0" w:color="auto"/>
            </w:tcBorders>
          </w:tcPr>
          <w:p w14:paraId="6EC15780" w14:textId="44127E05" w:rsidR="00E0450C" w:rsidRPr="005A65ED" w:rsidRDefault="00E0450C" w:rsidP="00E0450C">
            <w:pPr>
              <w:jc w:val="right"/>
              <w:rPr>
                <w:rFonts w:ascii="Arial" w:hAnsi="Arial" w:cs="Arial"/>
                <w:highlight w:val="yellow"/>
              </w:rPr>
            </w:pPr>
            <w:r w:rsidRPr="000278B9">
              <w:rPr>
                <w:rFonts w:ascii="Arial" w:hAnsi="Arial" w:cs="Arial"/>
              </w:rPr>
              <w:t>(</w:t>
            </w:r>
            <w:r w:rsidR="0053737B">
              <w:rPr>
                <w:rFonts w:ascii="Arial" w:hAnsi="Arial" w:cs="Arial"/>
              </w:rPr>
              <w:t>2</w:t>
            </w:r>
            <w:r w:rsidR="00CA253D">
              <w:rPr>
                <w:rFonts w:ascii="Arial" w:hAnsi="Arial" w:cs="Arial"/>
              </w:rPr>
              <w:t>1</w:t>
            </w:r>
            <w:r w:rsidRPr="000278B9">
              <w:rPr>
                <w:rFonts w:ascii="Arial" w:hAnsi="Arial" w:cs="Arial"/>
              </w:rPr>
              <w:t>)</w:t>
            </w:r>
          </w:p>
        </w:tc>
        <w:tc>
          <w:tcPr>
            <w:tcW w:w="619" w:type="pct"/>
            <w:tcBorders>
              <w:top w:val="single" w:sz="4" w:space="0" w:color="auto"/>
            </w:tcBorders>
          </w:tcPr>
          <w:p w14:paraId="0A46C74F" w14:textId="3F633282" w:rsidR="00E0450C" w:rsidRPr="00A845B7" w:rsidRDefault="00E0450C" w:rsidP="00E0450C">
            <w:pPr>
              <w:jc w:val="right"/>
              <w:rPr>
                <w:rFonts w:ascii="Arial" w:hAnsi="Arial" w:cs="Arial"/>
              </w:rPr>
            </w:pPr>
            <w:r w:rsidRPr="00A845B7">
              <w:rPr>
                <w:rFonts w:ascii="Arial" w:hAnsi="Arial" w:cs="Arial"/>
              </w:rPr>
              <w:t>(</w:t>
            </w:r>
            <w:r w:rsidR="0053737B" w:rsidRPr="00A845B7">
              <w:rPr>
                <w:rFonts w:ascii="Arial" w:hAnsi="Arial" w:cs="Arial"/>
              </w:rPr>
              <w:t>1</w:t>
            </w:r>
            <w:r w:rsidR="0053737B">
              <w:rPr>
                <w:rFonts w:ascii="Arial" w:hAnsi="Arial" w:cs="Arial"/>
              </w:rPr>
              <w:t>9</w:t>
            </w:r>
            <w:r w:rsidRPr="00A845B7">
              <w:rPr>
                <w:rFonts w:ascii="Arial" w:hAnsi="Arial" w:cs="Arial"/>
              </w:rPr>
              <w:t>)</w:t>
            </w:r>
          </w:p>
        </w:tc>
        <w:tc>
          <w:tcPr>
            <w:tcW w:w="850" w:type="pct"/>
            <w:tcBorders>
              <w:top w:val="single" w:sz="4" w:space="0" w:color="auto"/>
            </w:tcBorders>
          </w:tcPr>
          <w:p w14:paraId="5858D446" w14:textId="77777777" w:rsidR="00E0450C" w:rsidRPr="000278B9" w:rsidRDefault="00E0450C" w:rsidP="00E0450C">
            <w:pPr>
              <w:jc w:val="right"/>
              <w:rPr>
                <w:rFonts w:ascii="Arial" w:hAnsi="Arial" w:cs="Arial"/>
              </w:rPr>
            </w:pPr>
            <w:r w:rsidRPr="000278B9">
              <w:rPr>
                <w:rFonts w:ascii="Arial" w:hAnsi="Arial" w:cs="Arial"/>
              </w:rPr>
              <w:t>n/a</w:t>
            </w:r>
          </w:p>
        </w:tc>
        <w:tc>
          <w:tcPr>
            <w:tcW w:w="851" w:type="pct"/>
            <w:tcBorders>
              <w:top w:val="single" w:sz="4" w:space="0" w:color="auto"/>
            </w:tcBorders>
          </w:tcPr>
          <w:p w14:paraId="62D47292" w14:textId="77777777" w:rsidR="00E0450C" w:rsidRPr="000278B9" w:rsidRDefault="00E0450C" w:rsidP="00E0450C">
            <w:pPr>
              <w:jc w:val="right"/>
              <w:rPr>
                <w:rFonts w:ascii="Arial" w:hAnsi="Arial" w:cs="Arial"/>
              </w:rPr>
            </w:pPr>
            <w:r w:rsidRPr="000278B9">
              <w:rPr>
                <w:rFonts w:ascii="Arial" w:hAnsi="Arial" w:cs="Arial"/>
              </w:rPr>
              <w:t>n/a</w:t>
            </w:r>
          </w:p>
        </w:tc>
      </w:tr>
    </w:tbl>
    <w:p w14:paraId="71728DF1" w14:textId="77777777" w:rsidR="007D43ED" w:rsidRPr="000971B9" w:rsidRDefault="007D43ED" w:rsidP="007D43ED">
      <w:pPr>
        <w:rPr>
          <w:rFonts w:ascii="Arial" w:hAnsi="Arial" w:cs="Arial"/>
          <w:b/>
          <w:bCs/>
          <w:sz w:val="24"/>
          <w:szCs w:val="24"/>
        </w:rPr>
      </w:pPr>
    </w:p>
    <w:p w14:paraId="52BC4538" w14:textId="04541696" w:rsidR="007D43ED" w:rsidRPr="00371834" w:rsidRDefault="007D43ED" w:rsidP="00404C76">
      <w:pPr>
        <w:jc w:val="left"/>
        <w:rPr>
          <w:rFonts w:ascii="Arial" w:hAnsi="Arial" w:cs="Arial"/>
        </w:rPr>
      </w:pPr>
      <w:r w:rsidRPr="005D6FAA">
        <w:rPr>
          <w:rFonts w:ascii="Arial" w:hAnsi="Arial" w:cs="Arial"/>
          <w:b/>
        </w:rPr>
        <w:t>Other International</w:t>
      </w:r>
      <w:r w:rsidRPr="00423845">
        <w:rPr>
          <w:rFonts w:ascii="Arial" w:hAnsi="Arial" w:cs="Arial"/>
        </w:rPr>
        <w:t xml:space="preserve"> total sales increased by </w:t>
      </w:r>
      <w:r w:rsidR="00FE04DA">
        <w:rPr>
          <w:rFonts w:ascii="Arial" w:hAnsi="Arial" w:cs="Arial"/>
        </w:rPr>
        <w:t>5.7</w:t>
      </w:r>
      <w:r w:rsidRPr="00423845">
        <w:rPr>
          <w:rFonts w:ascii="Arial" w:hAnsi="Arial" w:cs="Arial"/>
        </w:rPr>
        <w:t xml:space="preserve">% </w:t>
      </w:r>
      <w:r w:rsidRPr="000278B9">
        <w:rPr>
          <w:rFonts w:ascii="Arial" w:hAnsi="Arial" w:cs="Arial"/>
        </w:rPr>
        <w:t>(+</w:t>
      </w:r>
      <w:r w:rsidR="000278B9" w:rsidRPr="005D6FAA">
        <w:rPr>
          <w:rFonts w:ascii="Arial" w:hAnsi="Arial" w:cs="Arial"/>
        </w:rPr>
        <w:t>1</w:t>
      </w:r>
      <w:r w:rsidR="009C6430" w:rsidRPr="000278B9">
        <w:rPr>
          <w:rFonts w:ascii="Arial" w:hAnsi="Arial" w:cs="Arial"/>
        </w:rPr>
        <w:t>.</w:t>
      </w:r>
      <w:r w:rsidR="00423845" w:rsidRPr="000278B9">
        <w:rPr>
          <w:rFonts w:ascii="Arial" w:hAnsi="Arial" w:cs="Arial"/>
        </w:rPr>
        <w:t>0</w:t>
      </w:r>
      <w:r w:rsidRPr="00423845">
        <w:rPr>
          <w:rFonts w:ascii="Arial" w:hAnsi="Arial" w:cs="Arial"/>
        </w:rPr>
        <w:t>% LFL) to £</w:t>
      </w:r>
      <w:r w:rsidR="00423845" w:rsidRPr="000278B9">
        <w:rPr>
          <w:rFonts w:ascii="Arial" w:hAnsi="Arial" w:cs="Arial"/>
        </w:rPr>
        <w:t>2</w:t>
      </w:r>
      <w:r w:rsidR="00EA7F9F" w:rsidRPr="000278B9">
        <w:rPr>
          <w:rFonts w:ascii="Arial" w:hAnsi="Arial" w:cs="Arial"/>
        </w:rPr>
        <w:t>,</w:t>
      </w:r>
      <w:r w:rsidR="000278B9" w:rsidRPr="000278B9">
        <w:rPr>
          <w:rFonts w:ascii="Arial" w:hAnsi="Arial" w:cs="Arial"/>
        </w:rPr>
        <w:t>352</w:t>
      </w:r>
      <w:r w:rsidR="00EA7F9F" w:rsidRPr="00423845">
        <w:rPr>
          <w:rFonts w:ascii="Arial" w:hAnsi="Arial" w:cs="Arial"/>
        </w:rPr>
        <w:t xml:space="preserve"> </w:t>
      </w:r>
      <w:r w:rsidRPr="00423845">
        <w:rPr>
          <w:rFonts w:ascii="Arial" w:hAnsi="Arial" w:cs="Arial"/>
        </w:rPr>
        <w:t>million</w:t>
      </w:r>
      <w:r w:rsidR="00404C76">
        <w:rPr>
          <w:rFonts w:ascii="Arial" w:hAnsi="Arial" w:cs="Arial"/>
        </w:rPr>
        <w:t xml:space="preserve"> </w:t>
      </w:r>
      <w:r w:rsidR="00404C76" w:rsidRPr="00404C76">
        <w:rPr>
          <w:rFonts w:ascii="Arial" w:hAnsi="Arial" w:cs="Arial"/>
        </w:rPr>
        <w:t>reflecting growth in</w:t>
      </w:r>
      <w:r w:rsidR="00404C76">
        <w:rPr>
          <w:rFonts w:ascii="Arial" w:hAnsi="Arial" w:cs="Arial"/>
        </w:rPr>
        <w:t xml:space="preserve"> </w:t>
      </w:r>
      <w:r w:rsidR="00404C76" w:rsidRPr="00404C76">
        <w:rPr>
          <w:rFonts w:ascii="Arial" w:hAnsi="Arial" w:cs="Arial"/>
        </w:rPr>
        <w:t>Poland and the acquisition of Praktiker Romania in November 2017</w:t>
      </w:r>
      <w:r w:rsidR="006319F7" w:rsidRPr="00371834">
        <w:rPr>
          <w:rFonts w:ascii="Arial" w:hAnsi="Arial" w:cs="Arial"/>
        </w:rPr>
        <w:t>. R</w:t>
      </w:r>
      <w:r w:rsidR="005B1D91" w:rsidRPr="00371834">
        <w:rPr>
          <w:rFonts w:ascii="Arial" w:hAnsi="Arial" w:cs="Arial"/>
        </w:rPr>
        <w:t xml:space="preserve">etail profit </w:t>
      </w:r>
      <w:r w:rsidR="00404C76">
        <w:rPr>
          <w:rFonts w:ascii="Arial" w:hAnsi="Arial" w:cs="Arial"/>
        </w:rPr>
        <w:t xml:space="preserve">decreased </w:t>
      </w:r>
      <w:r w:rsidR="005B1D91" w:rsidRPr="00371834">
        <w:rPr>
          <w:rFonts w:ascii="Arial" w:hAnsi="Arial" w:cs="Arial"/>
        </w:rPr>
        <w:t xml:space="preserve">by </w:t>
      </w:r>
      <w:r w:rsidR="006713F6">
        <w:rPr>
          <w:rFonts w:ascii="Arial" w:hAnsi="Arial" w:cs="Arial"/>
        </w:rPr>
        <w:t>4.3</w:t>
      </w:r>
      <w:r w:rsidR="005B1D91" w:rsidRPr="00FE04DA">
        <w:rPr>
          <w:rFonts w:ascii="Arial" w:hAnsi="Arial" w:cs="Arial"/>
        </w:rPr>
        <w:t>% to £</w:t>
      </w:r>
      <w:r w:rsidR="006713F6" w:rsidRPr="00FE04DA">
        <w:rPr>
          <w:rFonts w:ascii="Arial" w:hAnsi="Arial" w:cs="Arial"/>
        </w:rPr>
        <w:t>14</w:t>
      </w:r>
      <w:r w:rsidR="006713F6">
        <w:rPr>
          <w:rFonts w:ascii="Arial" w:hAnsi="Arial" w:cs="Arial"/>
        </w:rPr>
        <w:t>5</w:t>
      </w:r>
      <w:r w:rsidR="006713F6" w:rsidRPr="00FE04DA">
        <w:rPr>
          <w:rFonts w:ascii="Arial" w:hAnsi="Arial" w:cs="Arial"/>
        </w:rPr>
        <w:t xml:space="preserve"> </w:t>
      </w:r>
      <w:r w:rsidR="005B1D91" w:rsidRPr="00FE04DA">
        <w:rPr>
          <w:rFonts w:ascii="Arial" w:hAnsi="Arial" w:cs="Arial"/>
        </w:rPr>
        <w:t>million</w:t>
      </w:r>
      <w:r w:rsidR="00404C76" w:rsidRPr="00FE04DA">
        <w:rPr>
          <w:rFonts w:ascii="Arial" w:hAnsi="Arial" w:cs="Arial"/>
        </w:rPr>
        <w:t>,</w:t>
      </w:r>
      <w:r w:rsidR="005B1D91" w:rsidRPr="00FE04DA">
        <w:rPr>
          <w:rFonts w:ascii="Arial" w:hAnsi="Arial" w:cs="Arial"/>
        </w:rPr>
        <w:t xml:space="preserve"> </w:t>
      </w:r>
      <w:r w:rsidR="00404C76" w:rsidRPr="00FE04DA">
        <w:rPr>
          <w:rFonts w:ascii="Arial" w:hAnsi="Arial" w:cs="Arial"/>
        </w:rPr>
        <w:t>with growth in Poland offset by losses in Russia, Romania and Screwfix Germany</w:t>
      </w:r>
      <w:r w:rsidR="005B1D91" w:rsidRPr="00FE04DA">
        <w:rPr>
          <w:rFonts w:ascii="Arial" w:hAnsi="Arial" w:cs="Arial"/>
        </w:rPr>
        <w:t>.</w:t>
      </w:r>
      <w:r w:rsidR="005B1D91" w:rsidRPr="00371834">
        <w:rPr>
          <w:rFonts w:ascii="Arial" w:hAnsi="Arial" w:cs="Arial"/>
        </w:rPr>
        <w:t xml:space="preserve"> </w:t>
      </w:r>
    </w:p>
    <w:p w14:paraId="1BB85A20" w14:textId="77777777" w:rsidR="007D43ED" w:rsidRPr="0042729E" w:rsidRDefault="007D43ED" w:rsidP="007D43ED">
      <w:pPr>
        <w:jc w:val="left"/>
        <w:rPr>
          <w:rFonts w:ascii="Arial" w:hAnsi="Arial" w:cs="Arial"/>
          <w:highlight w:val="yellow"/>
        </w:rPr>
      </w:pPr>
    </w:p>
    <w:p w14:paraId="34D528C1" w14:textId="7C43F647" w:rsidR="00770CCA" w:rsidRDefault="00770CCA" w:rsidP="00514690">
      <w:pPr>
        <w:jc w:val="left"/>
        <w:rPr>
          <w:rFonts w:ascii="Arial" w:hAnsi="Arial" w:cs="Arial"/>
          <w:szCs w:val="24"/>
        </w:rPr>
      </w:pPr>
      <w:bookmarkStart w:id="27" w:name="_Hlk508967566"/>
      <w:bookmarkStart w:id="28" w:name="_Hlk491357368"/>
      <w:r w:rsidRPr="00770CCA">
        <w:rPr>
          <w:rFonts w:ascii="Arial" w:hAnsi="Arial" w:cs="Arial"/>
        </w:rPr>
        <w:t>Across the businesses space remained broadly flat,</w:t>
      </w:r>
      <w:r>
        <w:rPr>
          <w:rFonts w:ascii="Arial" w:hAnsi="Arial" w:cs="Arial"/>
        </w:rPr>
        <w:t xml:space="preserve"> with </w:t>
      </w:r>
      <w:r w:rsidR="008B09EA">
        <w:rPr>
          <w:rFonts w:ascii="Arial" w:hAnsi="Arial" w:cs="Arial"/>
        </w:rPr>
        <w:t>three</w:t>
      </w:r>
      <w:r>
        <w:rPr>
          <w:rFonts w:ascii="Arial" w:hAnsi="Arial" w:cs="Arial"/>
        </w:rPr>
        <w:t xml:space="preserve"> ne</w:t>
      </w:r>
      <w:r w:rsidR="008B09EA">
        <w:rPr>
          <w:rFonts w:ascii="Arial" w:hAnsi="Arial" w:cs="Arial"/>
        </w:rPr>
        <w:t>t</w:t>
      </w:r>
      <w:r>
        <w:rPr>
          <w:rFonts w:ascii="Arial" w:hAnsi="Arial" w:cs="Arial"/>
        </w:rPr>
        <w:t xml:space="preserve"> store </w:t>
      </w:r>
      <w:r w:rsidR="008B09EA">
        <w:rPr>
          <w:rFonts w:ascii="Arial" w:hAnsi="Arial" w:cs="Arial"/>
        </w:rPr>
        <w:t>closures</w:t>
      </w:r>
      <w:r w:rsidR="00712528">
        <w:rPr>
          <w:rFonts w:ascii="Arial" w:hAnsi="Arial" w:cs="Arial"/>
        </w:rPr>
        <w:t xml:space="preserve"> in Romania</w:t>
      </w:r>
      <w:r>
        <w:rPr>
          <w:rFonts w:ascii="Arial" w:hAnsi="Arial" w:cs="Arial"/>
        </w:rPr>
        <w:t>.</w:t>
      </w:r>
      <w:r w:rsidRPr="00770CCA">
        <w:rPr>
          <w:rFonts w:ascii="Arial" w:hAnsi="Arial" w:cs="Arial"/>
        </w:rPr>
        <w:t xml:space="preserve"> </w:t>
      </w:r>
      <w:bookmarkEnd w:id="27"/>
    </w:p>
    <w:p w14:paraId="28EFB944" w14:textId="459708E7" w:rsidR="00B407FA" w:rsidRPr="00AC598B" w:rsidRDefault="00B407FA" w:rsidP="00B407FA">
      <w:pPr>
        <w:jc w:val="left"/>
        <w:rPr>
          <w:rFonts w:ascii="Arial" w:hAnsi="Arial" w:cs="Arial"/>
          <w:b/>
        </w:rPr>
      </w:pPr>
    </w:p>
    <w:p w14:paraId="6C67EFDB" w14:textId="4AA3C5F2" w:rsidR="007D43ED" w:rsidRPr="0018703F" w:rsidRDefault="007D43ED" w:rsidP="008024C7">
      <w:pPr>
        <w:jc w:val="left"/>
        <w:rPr>
          <w:rFonts w:ascii="Arial" w:hAnsi="Arial" w:cs="Arial"/>
          <w:sz w:val="24"/>
          <w:szCs w:val="24"/>
        </w:rPr>
      </w:pPr>
      <w:bookmarkStart w:id="29" w:name="_Hlk508967538"/>
      <w:bookmarkEnd w:id="28"/>
      <w:r w:rsidRPr="00371834">
        <w:rPr>
          <w:rFonts w:ascii="Arial" w:hAnsi="Arial" w:cs="Arial"/>
        </w:rPr>
        <w:t xml:space="preserve">Sales in </w:t>
      </w:r>
      <w:r w:rsidRPr="00371834">
        <w:rPr>
          <w:rFonts w:ascii="Arial" w:hAnsi="Arial" w:cs="Arial"/>
          <w:b/>
        </w:rPr>
        <w:t>Poland</w:t>
      </w:r>
      <w:r w:rsidRPr="00371834">
        <w:rPr>
          <w:rFonts w:ascii="Arial" w:hAnsi="Arial" w:cs="Arial"/>
        </w:rPr>
        <w:t xml:space="preserve"> were </w:t>
      </w:r>
      <w:r w:rsidRPr="00770CCA">
        <w:rPr>
          <w:rFonts w:ascii="Arial" w:hAnsi="Arial" w:cs="Arial"/>
        </w:rPr>
        <w:t xml:space="preserve">up </w:t>
      </w:r>
      <w:r w:rsidR="00491EF2" w:rsidRPr="005D6FAA">
        <w:rPr>
          <w:rFonts w:ascii="Arial" w:hAnsi="Arial" w:cs="Arial"/>
        </w:rPr>
        <w:t>3</w:t>
      </w:r>
      <w:r w:rsidR="00B542F1" w:rsidRPr="00770CCA">
        <w:rPr>
          <w:rFonts w:ascii="Arial" w:hAnsi="Arial" w:cs="Arial"/>
        </w:rPr>
        <w:t>.</w:t>
      </w:r>
      <w:r w:rsidR="003F2046" w:rsidRPr="00770CCA">
        <w:rPr>
          <w:rFonts w:ascii="Arial" w:hAnsi="Arial" w:cs="Arial"/>
        </w:rPr>
        <w:t>4</w:t>
      </w:r>
      <w:r w:rsidRPr="00770CCA">
        <w:rPr>
          <w:rFonts w:ascii="Arial" w:hAnsi="Arial" w:cs="Arial"/>
        </w:rPr>
        <w:t>%</w:t>
      </w:r>
      <w:r w:rsidRPr="00371834">
        <w:rPr>
          <w:rFonts w:ascii="Arial" w:hAnsi="Arial" w:cs="Arial"/>
        </w:rPr>
        <w:t xml:space="preserve"> (+</w:t>
      </w:r>
      <w:r w:rsidR="003F2046" w:rsidRPr="005D6FAA">
        <w:rPr>
          <w:rFonts w:ascii="Arial" w:hAnsi="Arial" w:cs="Arial"/>
        </w:rPr>
        <w:t>1</w:t>
      </w:r>
      <w:r w:rsidR="008E36A9" w:rsidRPr="003F2046">
        <w:rPr>
          <w:rFonts w:ascii="Arial" w:hAnsi="Arial" w:cs="Arial"/>
        </w:rPr>
        <w:t>.</w:t>
      </w:r>
      <w:r w:rsidR="003F2046" w:rsidRPr="005D6FAA">
        <w:rPr>
          <w:rFonts w:ascii="Arial" w:hAnsi="Arial" w:cs="Arial"/>
        </w:rPr>
        <w:t>7</w:t>
      </w:r>
      <w:r w:rsidRPr="003F2046">
        <w:rPr>
          <w:rFonts w:ascii="Arial" w:hAnsi="Arial" w:cs="Arial"/>
        </w:rPr>
        <w:t>%</w:t>
      </w:r>
      <w:r w:rsidRPr="00371834">
        <w:rPr>
          <w:rFonts w:ascii="Arial" w:hAnsi="Arial" w:cs="Arial"/>
        </w:rPr>
        <w:t xml:space="preserve"> LFL) to £</w:t>
      </w:r>
      <w:r w:rsidR="00EA7F9F" w:rsidRPr="003F2046">
        <w:rPr>
          <w:rFonts w:ascii="Arial" w:hAnsi="Arial" w:cs="Arial"/>
        </w:rPr>
        <w:t>1,</w:t>
      </w:r>
      <w:r w:rsidR="003F2046" w:rsidRPr="005D6FAA">
        <w:rPr>
          <w:rFonts w:ascii="Arial" w:hAnsi="Arial" w:cs="Arial"/>
        </w:rPr>
        <w:t>431</w:t>
      </w:r>
      <w:r w:rsidR="00EA7F9F" w:rsidRPr="00371834">
        <w:rPr>
          <w:rFonts w:ascii="Arial" w:hAnsi="Arial" w:cs="Arial"/>
        </w:rPr>
        <w:t xml:space="preserve"> </w:t>
      </w:r>
      <w:r w:rsidRPr="00371834">
        <w:rPr>
          <w:rFonts w:ascii="Arial" w:hAnsi="Arial" w:cs="Arial"/>
        </w:rPr>
        <w:t>million</w:t>
      </w:r>
      <w:r w:rsidR="00F23600" w:rsidRPr="00371834">
        <w:rPr>
          <w:rFonts w:ascii="Arial" w:hAnsi="Arial" w:cs="Arial"/>
        </w:rPr>
        <w:t xml:space="preserve"> </w:t>
      </w:r>
      <w:r w:rsidR="008024C7" w:rsidRPr="008024C7">
        <w:rPr>
          <w:rFonts w:ascii="Arial" w:hAnsi="Arial" w:cs="Arial"/>
        </w:rPr>
        <w:t>despite the introduction of new laws on</w:t>
      </w:r>
      <w:r w:rsidR="008024C7">
        <w:rPr>
          <w:rFonts w:ascii="Arial" w:hAnsi="Arial" w:cs="Arial"/>
        </w:rPr>
        <w:t xml:space="preserve"> </w:t>
      </w:r>
      <w:r w:rsidR="008024C7" w:rsidRPr="008024C7">
        <w:rPr>
          <w:rFonts w:ascii="Arial" w:hAnsi="Arial" w:cs="Arial"/>
        </w:rPr>
        <w:t>Sunday trading</w:t>
      </w:r>
      <w:r w:rsidR="0031489B">
        <w:rPr>
          <w:rFonts w:ascii="Arial" w:hAnsi="Arial" w:cs="Arial"/>
        </w:rPr>
        <w:t xml:space="preserve"> </w:t>
      </w:r>
      <w:r w:rsidR="003F2046" w:rsidRPr="00AF307A">
        <w:rPr>
          <w:rFonts w:ascii="Arial" w:hAnsi="Arial" w:cs="Arial"/>
        </w:rPr>
        <w:t>which</w:t>
      </w:r>
      <w:r w:rsidR="0053737B" w:rsidRPr="00AF307A">
        <w:rPr>
          <w:rFonts w:ascii="Arial" w:hAnsi="Arial" w:cs="Arial"/>
        </w:rPr>
        <w:t xml:space="preserve"> </w:t>
      </w:r>
      <w:r w:rsidR="003F2046" w:rsidRPr="00AF307A">
        <w:rPr>
          <w:rFonts w:ascii="Arial" w:hAnsi="Arial" w:cs="Arial"/>
        </w:rPr>
        <w:t xml:space="preserve">had an </w:t>
      </w:r>
      <w:r w:rsidR="0053737B" w:rsidRPr="00AF307A">
        <w:rPr>
          <w:rFonts w:ascii="Arial" w:hAnsi="Arial" w:cs="Arial"/>
        </w:rPr>
        <w:t xml:space="preserve">estimated </w:t>
      </w:r>
      <w:r w:rsidR="003F2046" w:rsidRPr="00AF307A">
        <w:rPr>
          <w:rFonts w:ascii="Arial" w:hAnsi="Arial" w:cs="Arial"/>
        </w:rPr>
        <w:t xml:space="preserve">adverse impact on LFL sales of </w:t>
      </w:r>
      <w:r w:rsidR="00A13A05">
        <w:rPr>
          <w:rFonts w:ascii="Arial" w:hAnsi="Arial" w:cs="Arial"/>
        </w:rPr>
        <w:t xml:space="preserve">c. </w:t>
      </w:r>
      <w:r w:rsidR="003F2046" w:rsidRPr="00AF307A">
        <w:rPr>
          <w:rFonts w:ascii="Arial" w:hAnsi="Arial" w:cs="Arial"/>
        </w:rPr>
        <w:t>1.5%</w:t>
      </w:r>
      <w:r w:rsidRPr="00470F54">
        <w:rPr>
          <w:rFonts w:ascii="Arial" w:hAnsi="Arial" w:cs="Arial"/>
        </w:rPr>
        <w:t>.</w:t>
      </w:r>
      <w:r w:rsidRPr="00371834">
        <w:rPr>
          <w:rFonts w:ascii="Arial" w:hAnsi="Arial" w:cs="Arial"/>
        </w:rPr>
        <w:t xml:space="preserve"> </w:t>
      </w:r>
      <w:r w:rsidRPr="00FC41B5">
        <w:rPr>
          <w:rFonts w:ascii="Arial" w:hAnsi="Arial" w:cs="Arial"/>
        </w:rPr>
        <w:t xml:space="preserve">LFL sales of </w:t>
      </w:r>
      <w:r w:rsidR="008024C7" w:rsidRPr="0053737B">
        <w:rPr>
          <w:rFonts w:ascii="Arial" w:hAnsi="Arial" w:cs="Arial"/>
        </w:rPr>
        <w:t xml:space="preserve">weather-related categories </w:t>
      </w:r>
      <w:r w:rsidRPr="0053737B">
        <w:rPr>
          <w:rFonts w:ascii="Arial" w:hAnsi="Arial" w:cs="Arial"/>
        </w:rPr>
        <w:t xml:space="preserve">were </w:t>
      </w:r>
      <w:r w:rsidRPr="00AF307A">
        <w:rPr>
          <w:rFonts w:ascii="Arial" w:hAnsi="Arial" w:cs="Arial"/>
        </w:rPr>
        <w:t xml:space="preserve">up </w:t>
      </w:r>
      <w:r w:rsidR="0053737B" w:rsidRPr="0053737B">
        <w:rPr>
          <w:rFonts w:ascii="Arial" w:hAnsi="Arial" w:cs="Arial"/>
        </w:rPr>
        <w:t>3.4</w:t>
      </w:r>
      <w:r w:rsidRPr="0053737B">
        <w:rPr>
          <w:rFonts w:ascii="Arial" w:hAnsi="Arial" w:cs="Arial"/>
        </w:rPr>
        <w:t xml:space="preserve">% with sales of </w:t>
      </w:r>
      <w:r w:rsidR="001E7802" w:rsidRPr="0053737B">
        <w:rPr>
          <w:rFonts w:ascii="Arial" w:hAnsi="Arial" w:cs="Arial"/>
        </w:rPr>
        <w:t>non-</w:t>
      </w:r>
      <w:r w:rsidR="008024C7" w:rsidRPr="0053737B">
        <w:rPr>
          <w:rFonts w:ascii="Arial" w:hAnsi="Arial" w:cs="Arial"/>
        </w:rPr>
        <w:t>weather-related categories</w:t>
      </w:r>
      <w:r w:rsidR="00BE0CF5" w:rsidRPr="0053737B">
        <w:rPr>
          <w:rFonts w:ascii="Arial" w:hAnsi="Arial" w:cs="Arial"/>
        </w:rPr>
        <w:t>, including</w:t>
      </w:r>
      <w:r w:rsidR="00BE0CF5" w:rsidRPr="00FC41B5">
        <w:rPr>
          <w:rFonts w:ascii="Arial" w:hAnsi="Arial" w:cs="Arial"/>
        </w:rPr>
        <w:t xml:space="preserve"> </w:t>
      </w:r>
      <w:r w:rsidR="00BE0CF5" w:rsidRPr="00182E48">
        <w:rPr>
          <w:rFonts w:ascii="Arial" w:hAnsi="Arial" w:cs="Arial"/>
        </w:rPr>
        <w:t>showroom</w:t>
      </w:r>
      <w:r w:rsidRPr="00182E48">
        <w:rPr>
          <w:rFonts w:ascii="Arial" w:hAnsi="Arial" w:cs="Arial"/>
        </w:rPr>
        <w:t xml:space="preserve"> </w:t>
      </w:r>
      <w:r w:rsidRPr="00AF307A">
        <w:rPr>
          <w:rFonts w:ascii="Arial" w:hAnsi="Arial" w:cs="Arial"/>
        </w:rPr>
        <w:t xml:space="preserve">up </w:t>
      </w:r>
      <w:r w:rsidR="00182E48" w:rsidRPr="00182E48">
        <w:rPr>
          <w:rFonts w:ascii="Arial" w:hAnsi="Arial" w:cs="Arial"/>
        </w:rPr>
        <w:t>1.4</w:t>
      </w:r>
      <w:r w:rsidRPr="00182E48">
        <w:rPr>
          <w:rFonts w:ascii="Arial" w:hAnsi="Arial" w:cs="Arial"/>
        </w:rPr>
        <w:t xml:space="preserve">%. Gross margin </w:t>
      </w:r>
      <w:r w:rsidR="008024C7" w:rsidRPr="00182E48">
        <w:rPr>
          <w:rFonts w:ascii="Arial" w:hAnsi="Arial" w:cs="Arial"/>
        </w:rPr>
        <w:t xml:space="preserve">was </w:t>
      </w:r>
      <w:r w:rsidR="0037791F" w:rsidRPr="00182E48">
        <w:rPr>
          <w:rFonts w:ascii="Arial" w:hAnsi="Arial" w:cs="Arial"/>
        </w:rPr>
        <w:t xml:space="preserve">up </w:t>
      </w:r>
      <w:r w:rsidR="00371834" w:rsidRPr="00182E48">
        <w:rPr>
          <w:rFonts w:ascii="Arial" w:hAnsi="Arial" w:cs="Arial"/>
        </w:rPr>
        <w:t>1</w:t>
      </w:r>
      <w:r w:rsidR="008024C7" w:rsidRPr="00182E48">
        <w:rPr>
          <w:rFonts w:ascii="Arial" w:hAnsi="Arial" w:cs="Arial"/>
        </w:rPr>
        <w:t>1</w:t>
      </w:r>
      <w:r w:rsidR="00371834" w:rsidRPr="00182E48">
        <w:rPr>
          <w:rFonts w:ascii="Arial" w:hAnsi="Arial" w:cs="Arial"/>
        </w:rPr>
        <w:t xml:space="preserve">0 </w:t>
      </w:r>
      <w:r w:rsidRPr="00182E48">
        <w:rPr>
          <w:rFonts w:ascii="Arial" w:hAnsi="Arial" w:cs="Arial"/>
        </w:rPr>
        <w:t>basis points</w:t>
      </w:r>
      <w:r w:rsidR="008024C7" w:rsidRPr="00182E48">
        <w:rPr>
          <w:rFonts w:ascii="Arial" w:hAnsi="Arial" w:cs="Arial"/>
        </w:rPr>
        <w:t xml:space="preserve"> </w:t>
      </w:r>
      <w:r w:rsidR="008024C7" w:rsidRPr="00AF307A">
        <w:rPr>
          <w:rFonts w:ascii="Arial" w:hAnsi="Arial" w:cs="Arial"/>
        </w:rPr>
        <w:t xml:space="preserve">reflecting </w:t>
      </w:r>
      <w:r w:rsidR="008D6FEA" w:rsidRPr="00465463">
        <w:rPr>
          <w:rFonts w:ascii="Arial" w:hAnsi="Arial" w:cs="Arial"/>
        </w:rPr>
        <w:t>sourcing benefits</w:t>
      </w:r>
      <w:r w:rsidRPr="00182E48">
        <w:rPr>
          <w:rFonts w:ascii="Arial" w:hAnsi="Arial" w:cs="Arial"/>
        </w:rPr>
        <w:t xml:space="preserve">. Retail profit grew by </w:t>
      </w:r>
      <w:r w:rsidR="00AD0F0F" w:rsidRPr="00182E48">
        <w:rPr>
          <w:rFonts w:ascii="Arial" w:hAnsi="Arial" w:cs="Arial"/>
        </w:rPr>
        <w:t>6</w:t>
      </w:r>
      <w:r w:rsidR="00C07FD9" w:rsidRPr="00182E48">
        <w:rPr>
          <w:rFonts w:ascii="Arial" w:hAnsi="Arial" w:cs="Arial"/>
        </w:rPr>
        <w:t>.</w:t>
      </w:r>
      <w:r w:rsidR="00770CCA" w:rsidRPr="00182E48">
        <w:rPr>
          <w:rFonts w:ascii="Arial" w:hAnsi="Arial" w:cs="Arial"/>
        </w:rPr>
        <w:t>6</w:t>
      </w:r>
      <w:r w:rsidRPr="00182E48">
        <w:rPr>
          <w:rFonts w:ascii="Arial" w:hAnsi="Arial" w:cs="Arial"/>
        </w:rPr>
        <w:t>% to £</w:t>
      </w:r>
      <w:r w:rsidR="00EA7F9F" w:rsidRPr="00182E48">
        <w:rPr>
          <w:rFonts w:ascii="Arial" w:hAnsi="Arial" w:cs="Arial"/>
        </w:rPr>
        <w:t>1</w:t>
      </w:r>
      <w:r w:rsidR="00AD0F0F" w:rsidRPr="00182E48">
        <w:rPr>
          <w:rFonts w:ascii="Arial" w:hAnsi="Arial" w:cs="Arial"/>
        </w:rPr>
        <w:t>8</w:t>
      </w:r>
      <w:r w:rsidR="00770CCA" w:rsidRPr="00182E48">
        <w:rPr>
          <w:rFonts w:ascii="Arial" w:hAnsi="Arial" w:cs="Arial"/>
        </w:rPr>
        <w:t>1</w:t>
      </w:r>
      <w:r w:rsidR="00EA7F9F" w:rsidRPr="00182E48">
        <w:rPr>
          <w:rFonts w:ascii="Arial" w:hAnsi="Arial" w:cs="Arial"/>
        </w:rPr>
        <w:t xml:space="preserve"> </w:t>
      </w:r>
      <w:r w:rsidRPr="00182E48">
        <w:rPr>
          <w:rFonts w:ascii="Arial" w:hAnsi="Arial" w:cs="Arial"/>
        </w:rPr>
        <w:t xml:space="preserve">million </w:t>
      </w:r>
      <w:r w:rsidR="005B1D91" w:rsidRPr="00182E48">
        <w:rPr>
          <w:rFonts w:ascii="Arial" w:hAnsi="Arial" w:cs="Arial"/>
        </w:rPr>
        <w:t>reflecting</w:t>
      </w:r>
      <w:r w:rsidRPr="00182E48">
        <w:rPr>
          <w:rFonts w:ascii="Arial" w:hAnsi="Arial" w:cs="Arial"/>
        </w:rPr>
        <w:t xml:space="preserve"> sales</w:t>
      </w:r>
      <w:r w:rsidRPr="00770CCA">
        <w:rPr>
          <w:rFonts w:ascii="Arial" w:hAnsi="Arial" w:cs="Arial"/>
        </w:rPr>
        <w:t xml:space="preserve"> growth</w:t>
      </w:r>
      <w:r w:rsidR="005B1D91" w:rsidRPr="00770CCA">
        <w:rPr>
          <w:rFonts w:ascii="Arial" w:hAnsi="Arial" w:cs="Arial"/>
        </w:rPr>
        <w:t xml:space="preserve"> and higher gross margin</w:t>
      </w:r>
      <w:r w:rsidR="00182E48">
        <w:rPr>
          <w:rFonts w:ascii="Arial" w:hAnsi="Arial" w:cs="Arial"/>
        </w:rPr>
        <w:t>,</w:t>
      </w:r>
      <w:r w:rsidR="008024C7" w:rsidRPr="00770CCA">
        <w:rPr>
          <w:rFonts w:ascii="Arial" w:hAnsi="Arial" w:cs="Arial"/>
        </w:rPr>
        <w:t xml:space="preserve"> </w:t>
      </w:r>
      <w:r w:rsidR="00182E48">
        <w:rPr>
          <w:rFonts w:ascii="Arial" w:hAnsi="Arial" w:cs="Arial"/>
        </w:rPr>
        <w:t>partly</w:t>
      </w:r>
      <w:r w:rsidR="00404C76" w:rsidRPr="00770CCA">
        <w:rPr>
          <w:rFonts w:ascii="Arial" w:hAnsi="Arial" w:cs="Arial"/>
        </w:rPr>
        <w:t xml:space="preserve"> offset by</w:t>
      </w:r>
      <w:r w:rsidR="008024C7" w:rsidRPr="00770CCA">
        <w:rPr>
          <w:rFonts w:ascii="Arial" w:hAnsi="Arial" w:cs="Arial"/>
        </w:rPr>
        <w:t xml:space="preserve"> higher staff costs</w:t>
      </w:r>
      <w:r w:rsidR="006622A1">
        <w:rPr>
          <w:rFonts w:ascii="Arial" w:hAnsi="Arial" w:cs="Arial"/>
        </w:rPr>
        <w:t xml:space="preserve"> (as wage inflation is running significantly ahead of retail price inflation).</w:t>
      </w:r>
      <w:r w:rsidR="005B1D91" w:rsidRPr="00371834">
        <w:rPr>
          <w:rFonts w:ascii="Arial" w:hAnsi="Arial" w:cs="Arial"/>
          <w:sz w:val="24"/>
          <w:szCs w:val="24"/>
        </w:rPr>
        <w:t xml:space="preserve"> </w:t>
      </w:r>
    </w:p>
    <w:bookmarkEnd w:id="29"/>
    <w:p w14:paraId="7458C00E" w14:textId="77777777" w:rsidR="00725C3A" w:rsidRDefault="00725C3A" w:rsidP="00725C3A">
      <w:pPr>
        <w:jc w:val="left"/>
        <w:rPr>
          <w:rFonts w:ascii="Arial" w:hAnsi="Arial" w:cs="Arial"/>
        </w:rPr>
      </w:pPr>
    </w:p>
    <w:p w14:paraId="76E196B4" w14:textId="1FF8AF61" w:rsidR="00725C3A" w:rsidRDefault="00725C3A" w:rsidP="00725C3A">
      <w:pPr>
        <w:jc w:val="left"/>
        <w:rPr>
          <w:rFonts w:ascii="Arial" w:hAnsi="Arial" w:cs="Arial"/>
        </w:rPr>
      </w:pPr>
      <w:bookmarkStart w:id="30" w:name="_Hlk1732141"/>
      <w:r w:rsidRPr="00725C3A">
        <w:rPr>
          <w:rFonts w:ascii="Arial" w:hAnsi="Arial" w:cs="Arial"/>
        </w:rPr>
        <w:t xml:space="preserve">In </w:t>
      </w:r>
      <w:r w:rsidRPr="005D6FAA">
        <w:rPr>
          <w:rFonts w:ascii="Arial" w:hAnsi="Arial" w:cs="Arial"/>
          <w:b/>
        </w:rPr>
        <w:t>Romania</w:t>
      </w:r>
      <w:r>
        <w:rPr>
          <w:rFonts w:ascii="Arial" w:hAnsi="Arial" w:cs="Arial"/>
          <w:b/>
        </w:rPr>
        <w:t xml:space="preserve"> </w:t>
      </w:r>
      <w:r w:rsidRPr="00725C3A">
        <w:rPr>
          <w:rFonts w:ascii="Arial" w:hAnsi="Arial" w:cs="Arial"/>
        </w:rPr>
        <w:t xml:space="preserve">sales increased by </w:t>
      </w:r>
      <w:r w:rsidR="00770CCA">
        <w:rPr>
          <w:rFonts w:ascii="Arial" w:hAnsi="Arial" w:cs="Arial"/>
        </w:rPr>
        <w:t>63.4</w:t>
      </w:r>
      <w:r w:rsidRPr="00725C3A">
        <w:rPr>
          <w:rFonts w:ascii="Arial" w:hAnsi="Arial" w:cs="Arial"/>
        </w:rPr>
        <w:t xml:space="preserve">% </w:t>
      </w:r>
      <w:r w:rsidRPr="00770CCA">
        <w:rPr>
          <w:rFonts w:ascii="Arial" w:hAnsi="Arial" w:cs="Arial"/>
        </w:rPr>
        <w:t>(+</w:t>
      </w:r>
      <w:r w:rsidR="00770CCA" w:rsidRPr="00770CCA">
        <w:rPr>
          <w:rFonts w:ascii="Arial" w:hAnsi="Arial" w:cs="Arial"/>
        </w:rPr>
        <w:t>0.2</w:t>
      </w:r>
      <w:r w:rsidRPr="00770CCA">
        <w:rPr>
          <w:rFonts w:ascii="Arial" w:hAnsi="Arial" w:cs="Arial"/>
        </w:rPr>
        <w:t>% LFL) to £</w:t>
      </w:r>
      <w:r w:rsidR="00770CCA" w:rsidRPr="00770CCA">
        <w:rPr>
          <w:rFonts w:ascii="Arial" w:hAnsi="Arial" w:cs="Arial"/>
        </w:rPr>
        <w:t>210</w:t>
      </w:r>
      <w:r w:rsidRPr="00725C3A">
        <w:rPr>
          <w:rFonts w:ascii="Arial" w:hAnsi="Arial" w:cs="Arial"/>
        </w:rPr>
        <w:t xml:space="preserve">m driven by the acquisition of Praktiker </w:t>
      </w:r>
      <w:r w:rsidRPr="00F47A74">
        <w:rPr>
          <w:rFonts w:ascii="Arial" w:hAnsi="Arial" w:cs="Arial"/>
        </w:rPr>
        <w:t>Romania and made a retail loss of £</w:t>
      </w:r>
      <w:r w:rsidR="004A212A" w:rsidRPr="00F47A74">
        <w:rPr>
          <w:rFonts w:ascii="Arial" w:hAnsi="Arial" w:cs="Arial"/>
        </w:rPr>
        <w:t>1</w:t>
      </w:r>
      <w:r w:rsidR="000B57D2">
        <w:rPr>
          <w:rFonts w:ascii="Arial" w:hAnsi="Arial" w:cs="Arial"/>
        </w:rPr>
        <w:t>5</w:t>
      </w:r>
      <w:r w:rsidRPr="00F47A74">
        <w:rPr>
          <w:rFonts w:ascii="Arial" w:hAnsi="Arial" w:cs="Arial"/>
        </w:rPr>
        <w:t xml:space="preserve"> million (2017/18: £3 million reported retail profit) reflecting </w:t>
      </w:r>
      <w:r w:rsidR="00D05528">
        <w:rPr>
          <w:rFonts w:ascii="Arial" w:hAnsi="Arial" w:cs="Arial"/>
        </w:rPr>
        <w:t>a y</w:t>
      </w:r>
      <w:r w:rsidR="00D05528" w:rsidRPr="00D05528">
        <w:rPr>
          <w:rFonts w:ascii="Arial" w:hAnsi="Arial" w:cs="Arial"/>
        </w:rPr>
        <w:t>ear of transition following acquisition of Praktiker Romania and significant range change</w:t>
      </w:r>
      <w:r w:rsidRPr="00F47A74">
        <w:rPr>
          <w:rFonts w:ascii="Arial" w:hAnsi="Arial" w:cs="Arial"/>
        </w:rPr>
        <w:t>.</w:t>
      </w:r>
      <w:r w:rsidR="004B23CC">
        <w:rPr>
          <w:rFonts w:ascii="Arial" w:hAnsi="Arial" w:cs="Arial"/>
        </w:rPr>
        <w:t xml:space="preserve"> </w:t>
      </w:r>
      <w:r w:rsidR="004B23CC" w:rsidRPr="00C2187E">
        <w:rPr>
          <w:rFonts w:ascii="Arial" w:hAnsi="Arial" w:cs="Arial"/>
          <w:bCs/>
        </w:rPr>
        <w:t>Brico Dépôt</w:t>
      </w:r>
      <w:r w:rsidR="004B23CC" w:rsidRPr="004B23CC">
        <w:rPr>
          <w:rFonts w:ascii="Arial" w:hAnsi="Arial" w:cs="Arial"/>
          <w:bCs/>
          <w:sz w:val="24"/>
          <w:szCs w:val="24"/>
        </w:rPr>
        <w:t xml:space="preserve"> </w:t>
      </w:r>
      <w:r w:rsidR="004B23CC" w:rsidRPr="004B23CC">
        <w:rPr>
          <w:rFonts w:ascii="Arial" w:hAnsi="Arial" w:cs="Arial"/>
        </w:rPr>
        <w:t>Romania</w:t>
      </w:r>
      <w:r w:rsidR="004B23CC">
        <w:rPr>
          <w:rFonts w:ascii="Arial" w:hAnsi="Arial" w:cs="Arial"/>
        </w:rPr>
        <w:t xml:space="preserve"> </w:t>
      </w:r>
      <w:r w:rsidR="008B09EA">
        <w:rPr>
          <w:rFonts w:ascii="Arial" w:hAnsi="Arial" w:cs="Arial"/>
        </w:rPr>
        <w:t>continue to make a retail profit</w:t>
      </w:r>
      <w:r w:rsidR="004B23CC">
        <w:rPr>
          <w:rFonts w:ascii="Arial" w:hAnsi="Arial" w:cs="Arial"/>
        </w:rPr>
        <w:t xml:space="preserve">. </w:t>
      </w:r>
      <w:r w:rsidR="00182E48" w:rsidRPr="00AF307A">
        <w:rPr>
          <w:rFonts w:ascii="Arial" w:hAnsi="Arial" w:cs="Arial"/>
        </w:rPr>
        <w:t xml:space="preserve">The integration of </w:t>
      </w:r>
      <w:r w:rsidR="00404C76" w:rsidRPr="00AF307A">
        <w:rPr>
          <w:rFonts w:ascii="Arial" w:hAnsi="Arial" w:cs="Arial"/>
        </w:rPr>
        <w:t xml:space="preserve">Praktiker </w:t>
      </w:r>
      <w:r w:rsidR="00182E48" w:rsidRPr="00F47A74">
        <w:rPr>
          <w:rFonts w:ascii="Arial" w:hAnsi="Arial" w:cs="Arial"/>
        </w:rPr>
        <w:t>is progressing with</w:t>
      </w:r>
      <w:r w:rsidR="00F47A74" w:rsidRPr="00AF307A">
        <w:rPr>
          <w:rFonts w:ascii="Arial" w:hAnsi="Arial" w:cs="Arial"/>
        </w:rPr>
        <w:t xml:space="preserve"> new unified ranges being implemented</w:t>
      </w:r>
      <w:r w:rsidR="00182E48" w:rsidRPr="00F47A74">
        <w:rPr>
          <w:rFonts w:ascii="Arial" w:hAnsi="Arial" w:cs="Arial"/>
        </w:rPr>
        <w:t xml:space="preserve"> </w:t>
      </w:r>
      <w:r w:rsidR="00F47A74" w:rsidRPr="00AF307A">
        <w:rPr>
          <w:rFonts w:ascii="Arial" w:hAnsi="Arial" w:cs="Arial"/>
        </w:rPr>
        <w:t xml:space="preserve">and </w:t>
      </w:r>
      <w:r w:rsidR="00182E48" w:rsidRPr="00F47A74">
        <w:rPr>
          <w:rFonts w:ascii="Arial" w:hAnsi="Arial" w:cs="Arial"/>
        </w:rPr>
        <w:t xml:space="preserve">the stores </w:t>
      </w:r>
      <w:r w:rsidR="00627FAE">
        <w:rPr>
          <w:rFonts w:ascii="Arial" w:hAnsi="Arial" w:cs="Arial"/>
        </w:rPr>
        <w:t xml:space="preserve">now </w:t>
      </w:r>
      <w:r w:rsidR="00182E48" w:rsidRPr="00F47A74">
        <w:rPr>
          <w:rFonts w:ascii="Arial" w:hAnsi="Arial" w:cs="Arial"/>
        </w:rPr>
        <w:t>rebrand</w:t>
      </w:r>
      <w:r w:rsidR="00627FAE">
        <w:rPr>
          <w:rFonts w:ascii="Arial" w:hAnsi="Arial" w:cs="Arial"/>
        </w:rPr>
        <w:t>ed</w:t>
      </w:r>
      <w:r w:rsidR="00182E48" w:rsidRPr="00F47A74">
        <w:rPr>
          <w:rFonts w:ascii="Arial" w:hAnsi="Arial" w:cs="Arial"/>
        </w:rPr>
        <w:t xml:space="preserve"> </w:t>
      </w:r>
      <w:r w:rsidR="00182E48" w:rsidRPr="00AF307A">
        <w:rPr>
          <w:rFonts w:ascii="Arial" w:hAnsi="Arial" w:cs="Arial"/>
        </w:rPr>
        <w:t xml:space="preserve">to </w:t>
      </w:r>
      <w:r w:rsidR="00804116" w:rsidRPr="00AF307A">
        <w:rPr>
          <w:rFonts w:ascii="Arial" w:hAnsi="Arial" w:cs="Arial"/>
        </w:rPr>
        <w:t>B</w:t>
      </w:r>
      <w:r w:rsidR="00182E48" w:rsidRPr="00AF307A">
        <w:rPr>
          <w:rFonts w:ascii="Arial" w:hAnsi="Arial" w:cs="Arial"/>
        </w:rPr>
        <w:t xml:space="preserve">rico </w:t>
      </w:r>
      <w:r w:rsidR="0012677B" w:rsidRPr="00F47A74">
        <w:rPr>
          <w:rFonts w:ascii="Arial" w:hAnsi="Arial" w:cs="Arial"/>
          <w:iCs/>
        </w:rPr>
        <w:t>Dépôt</w:t>
      </w:r>
      <w:r w:rsidR="00182E48" w:rsidRPr="00F47A74">
        <w:rPr>
          <w:rFonts w:ascii="Arial" w:hAnsi="Arial" w:cs="Arial"/>
        </w:rPr>
        <w:t>.</w:t>
      </w:r>
      <w:r w:rsidR="004B23CC">
        <w:rPr>
          <w:rFonts w:ascii="Arial" w:hAnsi="Arial" w:cs="Arial"/>
        </w:rPr>
        <w:t xml:space="preserve"> </w:t>
      </w:r>
    </w:p>
    <w:p w14:paraId="79EAF087" w14:textId="23F2AE6C" w:rsidR="00D05528" w:rsidRDefault="00D05528" w:rsidP="00725C3A">
      <w:pPr>
        <w:jc w:val="left"/>
        <w:rPr>
          <w:rFonts w:ascii="Arial" w:hAnsi="Arial" w:cs="Arial"/>
        </w:rPr>
      </w:pPr>
    </w:p>
    <w:bookmarkEnd w:id="30"/>
    <w:p w14:paraId="1EB8FA54" w14:textId="75B273AA" w:rsidR="00182E48" w:rsidRDefault="00182E48" w:rsidP="00182E48">
      <w:pPr>
        <w:jc w:val="left"/>
        <w:rPr>
          <w:rFonts w:ascii="Arial" w:hAnsi="Arial" w:cs="Arial"/>
        </w:rPr>
      </w:pPr>
      <w:r>
        <w:rPr>
          <w:rFonts w:ascii="Arial" w:hAnsi="Arial" w:cs="Arial"/>
        </w:rPr>
        <w:t>At Q3</w:t>
      </w:r>
      <w:r w:rsidR="00D05528">
        <w:rPr>
          <w:rFonts w:ascii="Arial" w:hAnsi="Arial" w:cs="Arial"/>
        </w:rPr>
        <w:t xml:space="preserve"> 18/19</w:t>
      </w:r>
      <w:r>
        <w:rPr>
          <w:rFonts w:ascii="Arial" w:hAnsi="Arial" w:cs="Arial"/>
        </w:rPr>
        <w:t xml:space="preserve"> we announced the strategic decision to exit </w:t>
      </w:r>
      <w:r w:rsidRPr="00182E48">
        <w:rPr>
          <w:rFonts w:ascii="Arial" w:hAnsi="Arial" w:cs="Arial"/>
        </w:rPr>
        <w:t>Russia</w:t>
      </w:r>
      <w:r w:rsidR="00493601">
        <w:rPr>
          <w:rFonts w:ascii="Arial" w:hAnsi="Arial" w:cs="Arial"/>
        </w:rPr>
        <w:t xml:space="preserve"> and</w:t>
      </w:r>
      <w:r w:rsidRPr="00182E48">
        <w:rPr>
          <w:rFonts w:ascii="Arial" w:hAnsi="Arial" w:cs="Arial"/>
        </w:rPr>
        <w:t xml:space="preserve"> </w:t>
      </w:r>
      <w:r w:rsidR="008B09EA">
        <w:rPr>
          <w:rFonts w:ascii="Arial" w:hAnsi="Arial" w:cs="Arial"/>
        </w:rPr>
        <w:t>Iberia</w:t>
      </w:r>
      <w:r w:rsidRPr="00182E48">
        <w:rPr>
          <w:rFonts w:ascii="Arial" w:hAnsi="Arial" w:cs="Arial"/>
        </w:rPr>
        <w:t xml:space="preserve"> to focus on markets where we have, or can reach, a market</w:t>
      </w:r>
      <w:r>
        <w:rPr>
          <w:rFonts w:ascii="Arial" w:hAnsi="Arial" w:cs="Arial"/>
        </w:rPr>
        <w:t xml:space="preserve"> </w:t>
      </w:r>
      <w:r w:rsidRPr="00182E48">
        <w:rPr>
          <w:rFonts w:ascii="Arial" w:hAnsi="Arial" w:cs="Arial"/>
        </w:rPr>
        <w:t>leading position</w:t>
      </w:r>
      <w:r>
        <w:rPr>
          <w:rFonts w:ascii="Arial" w:hAnsi="Arial" w:cs="Arial"/>
        </w:rPr>
        <w:t>.</w:t>
      </w:r>
      <w:r w:rsidR="006C0FFA">
        <w:rPr>
          <w:rFonts w:ascii="Arial" w:hAnsi="Arial" w:cs="Arial"/>
        </w:rPr>
        <w:t xml:space="preserve"> Today we have also announced that we will close our 19 Screwfix Germany outlets and retain an online presence. </w:t>
      </w:r>
    </w:p>
    <w:p w14:paraId="3905FEE2" w14:textId="77777777" w:rsidR="006C0FFA" w:rsidRDefault="006C0FFA" w:rsidP="00182E48">
      <w:pPr>
        <w:jc w:val="left"/>
        <w:rPr>
          <w:rFonts w:ascii="Arial" w:hAnsi="Arial" w:cs="Arial"/>
        </w:rPr>
      </w:pPr>
    </w:p>
    <w:p w14:paraId="054C8C86" w14:textId="230B105B" w:rsidR="00182E48" w:rsidRDefault="00182E48" w:rsidP="00182E48">
      <w:pPr>
        <w:jc w:val="left"/>
        <w:rPr>
          <w:rFonts w:ascii="Arial" w:hAnsi="Arial" w:cs="Arial"/>
        </w:rPr>
      </w:pPr>
      <w:r w:rsidRPr="00423845">
        <w:rPr>
          <w:rFonts w:ascii="Arial" w:hAnsi="Arial" w:cs="Arial"/>
        </w:rPr>
        <w:t>In</w:t>
      </w:r>
      <w:r>
        <w:rPr>
          <w:rFonts w:ascii="Arial" w:hAnsi="Arial" w:cs="Arial"/>
        </w:rPr>
        <w:t xml:space="preserve"> </w:t>
      </w:r>
      <w:r>
        <w:rPr>
          <w:rFonts w:ascii="Arial" w:hAnsi="Arial" w:cs="Arial"/>
          <w:b/>
        </w:rPr>
        <w:t>Iberia</w:t>
      </w:r>
      <w:r w:rsidRPr="00423845">
        <w:rPr>
          <w:rFonts w:ascii="Arial" w:hAnsi="Arial" w:cs="Arial"/>
        </w:rPr>
        <w:t xml:space="preserve"> sales </w:t>
      </w:r>
      <w:r>
        <w:rPr>
          <w:rFonts w:ascii="Arial" w:hAnsi="Arial" w:cs="Arial"/>
        </w:rPr>
        <w:t>decreased by 1.1</w:t>
      </w:r>
      <w:r w:rsidRPr="00770CCA">
        <w:rPr>
          <w:rFonts w:ascii="Arial" w:hAnsi="Arial" w:cs="Arial"/>
        </w:rPr>
        <w:t xml:space="preserve">% </w:t>
      </w:r>
      <w:r w:rsidRPr="005D6FAA">
        <w:rPr>
          <w:rFonts w:ascii="Arial" w:hAnsi="Arial" w:cs="Arial"/>
        </w:rPr>
        <w:t>(-</w:t>
      </w:r>
      <w:r w:rsidRPr="00770CCA">
        <w:rPr>
          <w:rFonts w:ascii="Arial" w:hAnsi="Arial" w:cs="Arial"/>
        </w:rPr>
        <w:t>1.1</w:t>
      </w:r>
      <w:r w:rsidRPr="00423845">
        <w:rPr>
          <w:rFonts w:ascii="Arial" w:hAnsi="Arial" w:cs="Arial"/>
        </w:rPr>
        <w:t xml:space="preserve">% LFL) to </w:t>
      </w:r>
      <w:r w:rsidRPr="00AD0F0F">
        <w:rPr>
          <w:rFonts w:ascii="Arial" w:hAnsi="Arial" w:cs="Arial"/>
        </w:rPr>
        <w:t>£34</w:t>
      </w:r>
      <w:r>
        <w:rPr>
          <w:rFonts w:ascii="Arial" w:hAnsi="Arial" w:cs="Arial"/>
        </w:rPr>
        <w:t>6</w:t>
      </w:r>
      <w:r w:rsidRPr="00423845">
        <w:rPr>
          <w:rFonts w:ascii="Arial" w:hAnsi="Arial" w:cs="Arial"/>
        </w:rPr>
        <w:t xml:space="preserve"> million</w:t>
      </w:r>
      <w:r>
        <w:rPr>
          <w:rFonts w:ascii="Arial" w:hAnsi="Arial" w:cs="Arial"/>
        </w:rPr>
        <w:t xml:space="preserve"> and made</w:t>
      </w:r>
      <w:r w:rsidRPr="00162D50">
        <w:rPr>
          <w:rFonts w:ascii="Arial" w:hAnsi="Arial" w:cs="Arial"/>
        </w:rPr>
        <w:t xml:space="preserve"> a £</w:t>
      </w:r>
      <w:r w:rsidRPr="00770CCA">
        <w:rPr>
          <w:rFonts w:ascii="Arial" w:hAnsi="Arial" w:cs="Arial"/>
        </w:rPr>
        <w:t>1</w:t>
      </w:r>
      <w:r w:rsidRPr="00162D50">
        <w:rPr>
          <w:rFonts w:ascii="Arial" w:hAnsi="Arial" w:cs="Arial"/>
        </w:rPr>
        <w:t xml:space="preserve"> million retail </w:t>
      </w:r>
      <w:r>
        <w:rPr>
          <w:rFonts w:ascii="Arial" w:hAnsi="Arial" w:cs="Arial"/>
        </w:rPr>
        <w:t>profit</w:t>
      </w:r>
      <w:r w:rsidRPr="00162D50">
        <w:rPr>
          <w:rFonts w:ascii="Arial" w:hAnsi="Arial" w:cs="Arial"/>
        </w:rPr>
        <w:t xml:space="preserve"> (201</w:t>
      </w:r>
      <w:r>
        <w:rPr>
          <w:rFonts w:ascii="Arial" w:hAnsi="Arial" w:cs="Arial"/>
        </w:rPr>
        <w:t>7</w:t>
      </w:r>
      <w:r w:rsidRPr="00162D50">
        <w:rPr>
          <w:rFonts w:ascii="Arial" w:hAnsi="Arial" w:cs="Arial"/>
        </w:rPr>
        <w:t>/1</w:t>
      </w:r>
      <w:r>
        <w:rPr>
          <w:rFonts w:ascii="Arial" w:hAnsi="Arial" w:cs="Arial"/>
        </w:rPr>
        <w:t>8</w:t>
      </w:r>
      <w:r w:rsidRPr="00162D50">
        <w:rPr>
          <w:rFonts w:ascii="Arial" w:hAnsi="Arial" w:cs="Arial"/>
        </w:rPr>
        <w:t xml:space="preserve">: </w:t>
      </w:r>
      <w:r w:rsidR="008B09EA">
        <w:rPr>
          <w:rFonts w:ascii="Arial" w:hAnsi="Arial" w:cs="Arial"/>
        </w:rPr>
        <w:t>break even</w:t>
      </w:r>
      <w:r>
        <w:rPr>
          <w:rFonts w:ascii="Arial" w:hAnsi="Arial" w:cs="Arial"/>
        </w:rPr>
        <w:t xml:space="preserve"> reported retail profit</w:t>
      </w:r>
      <w:r w:rsidRPr="00162D50">
        <w:rPr>
          <w:rFonts w:ascii="Arial" w:hAnsi="Arial" w:cs="Arial"/>
        </w:rPr>
        <w:t xml:space="preserve">). </w:t>
      </w:r>
      <w:r>
        <w:rPr>
          <w:rFonts w:ascii="Arial" w:hAnsi="Arial" w:cs="Arial"/>
        </w:rPr>
        <w:t xml:space="preserve"> </w:t>
      </w:r>
      <w:r w:rsidRPr="00423845">
        <w:rPr>
          <w:rFonts w:ascii="Arial" w:hAnsi="Arial" w:cs="Arial"/>
        </w:rPr>
        <w:t xml:space="preserve">In </w:t>
      </w:r>
      <w:r w:rsidRPr="00423845">
        <w:rPr>
          <w:rFonts w:ascii="Arial" w:hAnsi="Arial" w:cs="Arial"/>
          <w:b/>
        </w:rPr>
        <w:t xml:space="preserve">Russia </w:t>
      </w:r>
      <w:r w:rsidRPr="00423845">
        <w:rPr>
          <w:rFonts w:ascii="Arial" w:hAnsi="Arial" w:cs="Arial"/>
        </w:rPr>
        <w:t xml:space="preserve">sales </w:t>
      </w:r>
      <w:r>
        <w:rPr>
          <w:rFonts w:ascii="Arial" w:hAnsi="Arial" w:cs="Arial"/>
        </w:rPr>
        <w:t xml:space="preserve">increased </w:t>
      </w:r>
      <w:r w:rsidRPr="00423845">
        <w:rPr>
          <w:rFonts w:ascii="Arial" w:hAnsi="Arial" w:cs="Arial"/>
        </w:rPr>
        <w:t xml:space="preserve">by </w:t>
      </w:r>
      <w:r>
        <w:rPr>
          <w:rFonts w:ascii="Arial" w:hAnsi="Arial" w:cs="Arial"/>
        </w:rPr>
        <w:t>0.3</w:t>
      </w:r>
      <w:r w:rsidRPr="00423845">
        <w:rPr>
          <w:rFonts w:ascii="Arial" w:hAnsi="Arial" w:cs="Arial"/>
        </w:rPr>
        <w:t xml:space="preserve">% </w:t>
      </w:r>
      <w:r w:rsidRPr="00AD0F0F">
        <w:rPr>
          <w:rFonts w:ascii="Arial" w:hAnsi="Arial" w:cs="Arial"/>
        </w:rPr>
        <w:t>(</w:t>
      </w:r>
      <w:r w:rsidRPr="005D6FAA">
        <w:rPr>
          <w:rFonts w:ascii="Arial" w:hAnsi="Arial" w:cs="Arial"/>
        </w:rPr>
        <w:t>+0.2</w:t>
      </w:r>
      <w:r w:rsidRPr="00423845">
        <w:rPr>
          <w:rFonts w:ascii="Arial" w:hAnsi="Arial" w:cs="Arial"/>
        </w:rPr>
        <w:t>% LFL) to £</w:t>
      </w:r>
      <w:r w:rsidRPr="00AD0F0F">
        <w:rPr>
          <w:rFonts w:ascii="Arial" w:hAnsi="Arial" w:cs="Arial"/>
        </w:rPr>
        <w:t>352</w:t>
      </w:r>
      <w:r w:rsidR="00EF7D2C">
        <w:rPr>
          <w:rFonts w:ascii="Arial" w:hAnsi="Arial" w:cs="Arial"/>
        </w:rPr>
        <w:t xml:space="preserve"> </w:t>
      </w:r>
      <w:r w:rsidRPr="00423845">
        <w:rPr>
          <w:rFonts w:ascii="Arial" w:hAnsi="Arial" w:cs="Arial"/>
        </w:rPr>
        <w:t xml:space="preserve">million. </w:t>
      </w:r>
      <w:r w:rsidRPr="00162D50">
        <w:rPr>
          <w:rFonts w:ascii="Arial" w:hAnsi="Arial" w:cs="Arial"/>
        </w:rPr>
        <w:t xml:space="preserve">The business </w:t>
      </w:r>
      <w:r w:rsidRPr="0018703F">
        <w:rPr>
          <w:rFonts w:ascii="Arial" w:hAnsi="Arial" w:cs="Arial"/>
        </w:rPr>
        <w:t xml:space="preserve">incurred </w:t>
      </w:r>
      <w:r w:rsidRPr="00162D50">
        <w:rPr>
          <w:rFonts w:ascii="Arial" w:hAnsi="Arial" w:cs="Arial"/>
        </w:rPr>
        <w:t>a £</w:t>
      </w:r>
      <w:r>
        <w:rPr>
          <w:rFonts w:ascii="Arial" w:hAnsi="Arial" w:cs="Arial"/>
        </w:rPr>
        <w:t>1</w:t>
      </w:r>
      <w:r w:rsidR="000B57D2">
        <w:rPr>
          <w:rFonts w:ascii="Arial" w:hAnsi="Arial" w:cs="Arial"/>
        </w:rPr>
        <w:t>2</w:t>
      </w:r>
      <w:r w:rsidRPr="00162D50">
        <w:rPr>
          <w:rFonts w:ascii="Arial" w:hAnsi="Arial" w:cs="Arial"/>
        </w:rPr>
        <w:t xml:space="preserve"> million </w:t>
      </w:r>
      <w:r>
        <w:rPr>
          <w:rFonts w:ascii="Arial" w:hAnsi="Arial" w:cs="Arial"/>
        </w:rPr>
        <w:t xml:space="preserve">retail </w:t>
      </w:r>
      <w:r w:rsidRPr="0018703F">
        <w:rPr>
          <w:rFonts w:ascii="Arial" w:hAnsi="Arial" w:cs="Arial"/>
        </w:rPr>
        <w:t xml:space="preserve">loss </w:t>
      </w:r>
      <w:r w:rsidRPr="00162D50">
        <w:rPr>
          <w:rFonts w:ascii="Arial" w:hAnsi="Arial" w:cs="Arial"/>
        </w:rPr>
        <w:t>(201</w:t>
      </w:r>
      <w:r>
        <w:rPr>
          <w:rFonts w:ascii="Arial" w:hAnsi="Arial" w:cs="Arial"/>
        </w:rPr>
        <w:t>7</w:t>
      </w:r>
      <w:r w:rsidRPr="00162D50">
        <w:rPr>
          <w:rFonts w:ascii="Arial" w:hAnsi="Arial" w:cs="Arial"/>
        </w:rPr>
        <w:t>/1</w:t>
      </w:r>
      <w:r>
        <w:rPr>
          <w:rFonts w:ascii="Arial" w:hAnsi="Arial" w:cs="Arial"/>
        </w:rPr>
        <w:t>8</w:t>
      </w:r>
      <w:r w:rsidRPr="00162D50">
        <w:rPr>
          <w:rFonts w:ascii="Arial" w:hAnsi="Arial" w:cs="Arial"/>
        </w:rPr>
        <w:t>: £</w:t>
      </w:r>
      <w:r>
        <w:rPr>
          <w:rFonts w:ascii="Arial" w:hAnsi="Arial" w:cs="Arial"/>
        </w:rPr>
        <w:t>8</w:t>
      </w:r>
      <w:r w:rsidRPr="00162D50">
        <w:rPr>
          <w:rFonts w:ascii="Arial" w:hAnsi="Arial" w:cs="Arial"/>
        </w:rPr>
        <w:t xml:space="preserve"> million </w:t>
      </w:r>
      <w:r>
        <w:rPr>
          <w:rFonts w:ascii="Arial" w:hAnsi="Arial" w:cs="Arial"/>
        </w:rPr>
        <w:t>reported retail loss</w:t>
      </w:r>
      <w:r w:rsidRPr="00162D50">
        <w:rPr>
          <w:rFonts w:ascii="Arial" w:hAnsi="Arial" w:cs="Arial"/>
        </w:rPr>
        <w:t xml:space="preserve">) </w:t>
      </w:r>
      <w:r w:rsidRPr="005B2D1B">
        <w:rPr>
          <w:rFonts w:ascii="Arial" w:hAnsi="Arial" w:cs="Arial"/>
        </w:rPr>
        <w:t>reflecting a challenging environment</w:t>
      </w:r>
      <w:r>
        <w:rPr>
          <w:rFonts w:ascii="Arial" w:hAnsi="Arial" w:cs="Arial"/>
        </w:rPr>
        <w:t xml:space="preserve"> </w:t>
      </w:r>
      <w:r w:rsidRPr="00725C3A">
        <w:rPr>
          <w:rFonts w:ascii="Arial" w:hAnsi="Arial" w:cs="Arial"/>
        </w:rPr>
        <w:t>and store pre-opening and refurbishment costs</w:t>
      </w:r>
      <w:r>
        <w:rPr>
          <w:rFonts w:ascii="Arial" w:hAnsi="Arial" w:cs="Arial"/>
        </w:rPr>
        <w:t xml:space="preserve">. </w:t>
      </w:r>
    </w:p>
    <w:p w14:paraId="1D32028B" w14:textId="7A7F32BF" w:rsidR="00725C3A" w:rsidRDefault="00725C3A" w:rsidP="00725C3A">
      <w:pPr>
        <w:jc w:val="left"/>
        <w:rPr>
          <w:rFonts w:ascii="Arial" w:hAnsi="Arial" w:cs="Arial"/>
        </w:rPr>
      </w:pPr>
      <w:r w:rsidRPr="005D6FAA">
        <w:rPr>
          <w:rFonts w:ascii="Arial" w:hAnsi="Arial" w:cs="Arial"/>
          <w:b/>
        </w:rPr>
        <w:t>Screwfix Germany</w:t>
      </w:r>
      <w:r w:rsidRPr="00725C3A">
        <w:rPr>
          <w:rFonts w:ascii="Arial" w:hAnsi="Arial" w:cs="Arial"/>
        </w:rPr>
        <w:t xml:space="preserve"> sales</w:t>
      </w:r>
      <w:r>
        <w:rPr>
          <w:rFonts w:ascii="Arial" w:hAnsi="Arial" w:cs="Arial"/>
        </w:rPr>
        <w:t xml:space="preserve"> </w:t>
      </w:r>
      <w:r w:rsidRPr="00725C3A">
        <w:rPr>
          <w:rFonts w:ascii="Arial" w:hAnsi="Arial" w:cs="Arial"/>
        </w:rPr>
        <w:t xml:space="preserve">increased by </w:t>
      </w:r>
      <w:r w:rsidR="00770CCA">
        <w:rPr>
          <w:rFonts w:ascii="Arial" w:hAnsi="Arial" w:cs="Arial"/>
        </w:rPr>
        <w:t>8.3</w:t>
      </w:r>
      <w:r w:rsidRPr="00770CCA">
        <w:rPr>
          <w:rFonts w:ascii="Arial" w:hAnsi="Arial" w:cs="Arial"/>
        </w:rPr>
        <w:t>% (+9.</w:t>
      </w:r>
      <w:r w:rsidR="00770CCA" w:rsidRPr="00770CCA">
        <w:rPr>
          <w:rFonts w:ascii="Arial" w:hAnsi="Arial" w:cs="Arial"/>
        </w:rPr>
        <w:t>1</w:t>
      </w:r>
      <w:r w:rsidRPr="00725C3A">
        <w:rPr>
          <w:rFonts w:ascii="Arial" w:hAnsi="Arial" w:cs="Arial"/>
        </w:rPr>
        <w:t>% LFL) and made a £</w:t>
      </w:r>
      <w:r w:rsidR="00404C76" w:rsidRPr="00770CCA">
        <w:rPr>
          <w:rFonts w:ascii="Arial" w:hAnsi="Arial" w:cs="Arial"/>
        </w:rPr>
        <w:t>1</w:t>
      </w:r>
      <w:r w:rsidR="00770CCA" w:rsidRPr="005D6FAA">
        <w:rPr>
          <w:rFonts w:ascii="Arial" w:hAnsi="Arial" w:cs="Arial"/>
        </w:rPr>
        <w:t>6</w:t>
      </w:r>
      <w:r w:rsidRPr="00725C3A">
        <w:rPr>
          <w:rFonts w:ascii="Arial" w:hAnsi="Arial" w:cs="Arial"/>
        </w:rPr>
        <w:t xml:space="preserve"> million retail loss (2017/18: £</w:t>
      </w:r>
      <w:r w:rsidR="00404C76">
        <w:rPr>
          <w:rFonts w:ascii="Arial" w:hAnsi="Arial" w:cs="Arial"/>
        </w:rPr>
        <w:t>18</w:t>
      </w:r>
      <w:r w:rsidRPr="00725C3A">
        <w:rPr>
          <w:rFonts w:ascii="Arial" w:hAnsi="Arial" w:cs="Arial"/>
        </w:rPr>
        <w:t xml:space="preserve"> million reported</w:t>
      </w:r>
      <w:r>
        <w:rPr>
          <w:rFonts w:ascii="Arial" w:hAnsi="Arial" w:cs="Arial"/>
        </w:rPr>
        <w:t xml:space="preserve"> </w:t>
      </w:r>
      <w:r w:rsidRPr="00725C3A">
        <w:rPr>
          <w:rFonts w:ascii="Arial" w:hAnsi="Arial" w:cs="Arial"/>
        </w:rPr>
        <w:t>retail loss).</w:t>
      </w:r>
      <w:r w:rsidR="00404C76">
        <w:rPr>
          <w:rFonts w:ascii="Arial" w:hAnsi="Arial" w:cs="Arial"/>
        </w:rPr>
        <w:t xml:space="preserve"> </w:t>
      </w:r>
    </w:p>
    <w:p w14:paraId="4AF607C7" w14:textId="575DBD85" w:rsidR="00725C3A" w:rsidRDefault="00725C3A" w:rsidP="007D43ED">
      <w:pPr>
        <w:jc w:val="left"/>
        <w:rPr>
          <w:rFonts w:ascii="Arial" w:hAnsi="Arial" w:cs="Arial"/>
        </w:rPr>
      </w:pPr>
    </w:p>
    <w:p w14:paraId="06A8F8C2" w14:textId="3036161B" w:rsidR="00182E48" w:rsidRPr="00A845B7" w:rsidRDefault="00182E48" w:rsidP="00182E48">
      <w:pPr>
        <w:jc w:val="left"/>
        <w:rPr>
          <w:rFonts w:ascii="Arial" w:hAnsi="Arial" w:cs="Arial"/>
        </w:rPr>
      </w:pPr>
      <w:r>
        <w:rPr>
          <w:rFonts w:ascii="Arial" w:hAnsi="Arial" w:cs="Arial"/>
        </w:rPr>
        <w:t>I</w:t>
      </w:r>
      <w:r w:rsidRPr="00162D50">
        <w:rPr>
          <w:rFonts w:ascii="Arial" w:hAnsi="Arial" w:cs="Arial"/>
        </w:rPr>
        <w:t xml:space="preserve">n </w:t>
      </w:r>
      <w:r w:rsidRPr="00162D50">
        <w:rPr>
          <w:rFonts w:ascii="Arial" w:hAnsi="Arial" w:cs="Arial"/>
          <w:b/>
        </w:rPr>
        <w:t xml:space="preserve">Turkey, </w:t>
      </w:r>
      <w:r w:rsidRPr="00162D50">
        <w:rPr>
          <w:rFonts w:ascii="Arial" w:hAnsi="Arial" w:cs="Arial"/>
        </w:rPr>
        <w:t xml:space="preserve">Kingfisher’s 50% JV, </w:t>
      </w:r>
      <w:r w:rsidRPr="00162D50">
        <w:rPr>
          <w:rFonts w:ascii="Arial" w:hAnsi="Arial" w:cs="Arial"/>
          <w:bCs/>
        </w:rPr>
        <w:t>Koçtaş,</w:t>
      </w:r>
      <w:r w:rsidRPr="00162D50">
        <w:rPr>
          <w:rFonts w:ascii="Arial" w:hAnsi="Arial" w:cs="Arial"/>
        </w:rPr>
        <w:t xml:space="preserve"> contributed retail profit of £</w:t>
      </w:r>
      <w:r>
        <w:rPr>
          <w:rFonts w:ascii="Arial" w:hAnsi="Arial" w:cs="Arial"/>
        </w:rPr>
        <w:t>6</w:t>
      </w:r>
      <w:r w:rsidRPr="00162D50">
        <w:rPr>
          <w:rFonts w:ascii="Arial" w:hAnsi="Arial" w:cs="Arial"/>
        </w:rPr>
        <w:t xml:space="preserve"> million (201</w:t>
      </w:r>
      <w:r>
        <w:rPr>
          <w:rFonts w:ascii="Arial" w:hAnsi="Arial" w:cs="Arial"/>
        </w:rPr>
        <w:t>7</w:t>
      </w:r>
      <w:r w:rsidRPr="00162D50">
        <w:rPr>
          <w:rFonts w:ascii="Arial" w:hAnsi="Arial" w:cs="Arial"/>
        </w:rPr>
        <w:t>/1</w:t>
      </w:r>
      <w:r>
        <w:rPr>
          <w:rFonts w:ascii="Arial" w:hAnsi="Arial" w:cs="Arial"/>
        </w:rPr>
        <w:t>8</w:t>
      </w:r>
      <w:r w:rsidRPr="00162D50">
        <w:rPr>
          <w:rFonts w:ascii="Arial" w:hAnsi="Arial" w:cs="Arial"/>
        </w:rPr>
        <w:t>: £</w:t>
      </w:r>
      <w:r>
        <w:rPr>
          <w:rFonts w:ascii="Arial" w:hAnsi="Arial" w:cs="Arial"/>
        </w:rPr>
        <w:t>7</w:t>
      </w:r>
      <w:r w:rsidRPr="00162D50">
        <w:rPr>
          <w:rFonts w:ascii="Arial" w:hAnsi="Arial" w:cs="Arial"/>
        </w:rPr>
        <w:t xml:space="preserve"> million </w:t>
      </w:r>
      <w:r>
        <w:rPr>
          <w:rFonts w:ascii="Arial" w:hAnsi="Arial" w:cs="Arial"/>
        </w:rPr>
        <w:t xml:space="preserve">reported </w:t>
      </w:r>
      <w:r w:rsidRPr="00162D50">
        <w:rPr>
          <w:rFonts w:ascii="Arial" w:hAnsi="Arial" w:cs="Arial"/>
        </w:rPr>
        <w:t>retail profit).</w:t>
      </w:r>
    </w:p>
    <w:p w14:paraId="640EA61F" w14:textId="77777777" w:rsidR="004B36D9" w:rsidRDefault="004B36D9">
      <w:pPr>
        <w:jc w:val="left"/>
        <w:rPr>
          <w:rFonts w:ascii="Arial" w:hAnsi="Arial" w:cs="Arial"/>
          <w:b/>
          <w:bCs/>
          <w:sz w:val="24"/>
          <w:szCs w:val="24"/>
        </w:rPr>
      </w:pPr>
      <w:r>
        <w:rPr>
          <w:rFonts w:ascii="Arial" w:hAnsi="Arial" w:cs="Arial"/>
          <w:b/>
          <w:bCs/>
          <w:sz w:val="24"/>
          <w:szCs w:val="24"/>
        </w:rPr>
        <w:br w:type="page"/>
      </w:r>
    </w:p>
    <w:p w14:paraId="2107D891" w14:textId="5EF64E74" w:rsidR="007D43ED" w:rsidRPr="00A845B7" w:rsidRDefault="007D43ED" w:rsidP="007D43ED">
      <w:pPr>
        <w:jc w:val="left"/>
        <w:rPr>
          <w:rFonts w:ascii="Arial" w:hAnsi="Arial" w:cs="Arial"/>
          <w:b/>
          <w:bCs/>
        </w:rPr>
      </w:pPr>
      <w:r w:rsidRPr="00A845B7">
        <w:rPr>
          <w:rFonts w:ascii="Arial" w:hAnsi="Arial" w:cs="Arial"/>
          <w:b/>
          <w:bCs/>
        </w:rPr>
        <w:lastRenderedPageBreak/>
        <w:t xml:space="preserve">Section 3: FY </w:t>
      </w:r>
      <w:r w:rsidR="00D23E41" w:rsidRPr="00A845B7">
        <w:rPr>
          <w:rFonts w:ascii="Arial" w:hAnsi="Arial" w:cs="Arial"/>
          <w:b/>
          <w:bCs/>
        </w:rPr>
        <w:t>1</w:t>
      </w:r>
      <w:r w:rsidR="005A65ED">
        <w:rPr>
          <w:rFonts w:ascii="Arial" w:hAnsi="Arial" w:cs="Arial"/>
          <w:b/>
          <w:bCs/>
        </w:rPr>
        <w:t>9</w:t>
      </w:r>
      <w:r w:rsidR="00F764D3" w:rsidRPr="00A845B7">
        <w:rPr>
          <w:rFonts w:ascii="Arial" w:hAnsi="Arial" w:cs="Arial"/>
          <w:b/>
          <w:bCs/>
        </w:rPr>
        <w:t>/</w:t>
      </w:r>
      <w:r w:rsidR="005A65ED">
        <w:rPr>
          <w:rFonts w:ascii="Arial" w:hAnsi="Arial" w:cs="Arial"/>
          <w:b/>
          <w:bCs/>
        </w:rPr>
        <w:t>20</w:t>
      </w:r>
      <w:r w:rsidRPr="00A845B7">
        <w:rPr>
          <w:rFonts w:ascii="Arial" w:hAnsi="Arial" w:cs="Arial"/>
          <w:b/>
          <w:bCs/>
        </w:rPr>
        <w:t xml:space="preserve"> Technical </w:t>
      </w:r>
      <w:proofErr w:type="gramStart"/>
      <w:r w:rsidRPr="00A845B7">
        <w:rPr>
          <w:rFonts w:ascii="Arial" w:hAnsi="Arial" w:cs="Arial"/>
          <w:b/>
          <w:bCs/>
        </w:rPr>
        <w:t>guidance</w:t>
      </w:r>
      <w:r w:rsidR="00915B28" w:rsidRPr="00C2187E">
        <w:rPr>
          <w:rFonts w:ascii="Arial" w:hAnsi="Arial" w:cs="Arial"/>
          <w:b/>
          <w:bCs/>
          <w:vertAlign w:val="superscript"/>
        </w:rPr>
        <w:t>(</w:t>
      </w:r>
      <w:proofErr w:type="gramEnd"/>
      <w:r w:rsidR="00915B28" w:rsidRPr="00C2187E">
        <w:rPr>
          <w:rFonts w:ascii="Arial" w:hAnsi="Arial" w:cs="Arial"/>
          <w:b/>
          <w:bCs/>
          <w:vertAlign w:val="superscript"/>
        </w:rPr>
        <w:t>1)</w:t>
      </w:r>
    </w:p>
    <w:p w14:paraId="450BFC55" w14:textId="77777777" w:rsidR="007D43ED" w:rsidRPr="00A845B7" w:rsidRDefault="007D43ED" w:rsidP="007D43ED">
      <w:pPr>
        <w:jc w:val="left"/>
        <w:rPr>
          <w:rFonts w:ascii="Arial" w:hAnsi="Arial" w:cs="Arial"/>
          <w:b/>
          <w:bCs/>
        </w:rPr>
      </w:pPr>
    </w:p>
    <w:p w14:paraId="77DC118E" w14:textId="77777777" w:rsidR="007D43ED" w:rsidRPr="00165A9B" w:rsidRDefault="002E501D" w:rsidP="00925EFB">
      <w:pPr>
        <w:jc w:val="left"/>
        <w:rPr>
          <w:rFonts w:ascii="Arial" w:hAnsi="Arial" w:cs="Arial"/>
          <w:b/>
          <w:bCs/>
        </w:rPr>
      </w:pPr>
      <w:bookmarkStart w:id="31" w:name="_Hlk3406411"/>
      <w:r w:rsidRPr="00165A9B">
        <w:rPr>
          <w:rFonts w:ascii="Arial" w:hAnsi="Arial" w:cs="Arial"/>
          <w:b/>
          <w:bCs/>
        </w:rPr>
        <w:t>Emplo</w:t>
      </w:r>
      <w:r w:rsidR="00E5523A" w:rsidRPr="00165A9B">
        <w:rPr>
          <w:rFonts w:ascii="Arial" w:hAnsi="Arial" w:cs="Arial"/>
          <w:b/>
          <w:bCs/>
        </w:rPr>
        <w:t>yee</w:t>
      </w:r>
      <w:r w:rsidR="00B019FB" w:rsidRPr="00165A9B">
        <w:rPr>
          <w:rFonts w:ascii="Arial" w:hAnsi="Arial" w:cs="Arial"/>
          <w:b/>
          <w:bCs/>
        </w:rPr>
        <w:t>s</w:t>
      </w:r>
      <w:r w:rsidR="00E5523A" w:rsidRPr="00165A9B">
        <w:rPr>
          <w:rFonts w:ascii="Arial" w:hAnsi="Arial" w:cs="Arial"/>
          <w:b/>
          <w:bCs/>
        </w:rPr>
        <w:t>,</w:t>
      </w:r>
      <w:r w:rsidR="007D43ED" w:rsidRPr="00165A9B">
        <w:rPr>
          <w:rFonts w:ascii="Arial" w:hAnsi="Arial" w:cs="Arial"/>
          <w:b/>
          <w:bCs/>
        </w:rPr>
        <w:t xml:space="preserve"> new stores and space growth:</w:t>
      </w:r>
    </w:p>
    <w:bookmarkEnd w:id="31"/>
    <w:tbl>
      <w:tblPr>
        <w:tblW w:w="5000" w:type="pct"/>
        <w:tblInd w:w="2" w:type="dxa"/>
        <w:tblLayout w:type="fixed"/>
        <w:tblLook w:val="01E0" w:firstRow="1" w:lastRow="1" w:firstColumn="1" w:lastColumn="1" w:noHBand="0" w:noVBand="0"/>
      </w:tblPr>
      <w:tblGrid>
        <w:gridCol w:w="2462"/>
        <w:gridCol w:w="1563"/>
        <w:gridCol w:w="1304"/>
        <w:gridCol w:w="1638"/>
        <w:gridCol w:w="1450"/>
        <w:gridCol w:w="1450"/>
      </w:tblGrid>
      <w:tr w:rsidR="001178CC" w:rsidRPr="00A845B7" w14:paraId="70C384CC" w14:textId="77777777" w:rsidTr="00FD5A2D">
        <w:trPr>
          <w:trHeight w:val="739"/>
        </w:trPr>
        <w:tc>
          <w:tcPr>
            <w:tcW w:w="1247" w:type="pct"/>
          </w:tcPr>
          <w:p w14:paraId="509A7C21" w14:textId="77777777" w:rsidR="001178CC" w:rsidRPr="00A845B7" w:rsidRDefault="001178CC" w:rsidP="00FD5A2D">
            <w:pPr>
              <w:ind w:left="110" w:hanging="110"/>
              <w:jc w:val="left"/>
              <w:rPr>
                <w:rFonts w:ascii="Arial" w:hAnsi="Arial" w:cs="Arial"/>
              </w:rPr>
            </w:pPr>
          </w:p>
          <w:p w14:paraId="5198EE74" w14:textId="77777777" w:rsidR="001178CC" w:rsidRPr="00A845B7" w:rsidRDefault="001178CC" w:rsidP="00FD5A2D">
            <w:pPr>
              <w:jc w:val="left"/>
              <w:rPr>
                <w:rFonts w:ascii="Arial" w:hAnsi="Arial" w:cs="Arial"/>
                <w:b/>
                <w:bCs/>
              </w:rPr>
            </w:pPr>
          </w:p>
        </w:tc>
        <w:tc>
          <w:tcPr>
            <w:tcW w:w="792" w:type="pct"/>
          </w:tcPr>
          <w:p w14:paraId="7300CAA1" w14:textId="77777777" w:rsidR="0041662F" w:rsidRPr="00A845B7" w:rsidRDefault="0041662F" w:rsidP="00FD5A2D">
            <w:pPr>
              <w:ind w:left="110" w:hanging="110"/>
              <w:jc w:val="right"/>
              <w:rPr>
                <w:rFonts w:ascii="Arial" w:hAnsi="Arial" w:cs="Arial"/>
                <w:b/>
                <w:bCs/>
              </w:rPr>
            </w:pPr>
          </w:p>
          <w:p w14:paraId="006A7150" w14:textId="77777777" w:rsidR="001178CC" w:rsidRPr="00A845B7" w:rsidRDefault="001178CC" w:rsidP="00FD5A2D">
            <w:pPr>
              <w:ind w:left="110" w:hanging="110"/>
              <w:jc w:val="right"/>
              <w:rPr>
                <w:rFonts w:ascii="Arial" w:hAnsi="Arial" w:cs="Arial"/>
                <w:b/>
                <w:bCs/>
              </w:rPr>
            </w:pPr>
            <w:r w:rsidRPr="00A845B7">
              <w:rPr>
                <w:rFonts w:ascii="Arial" w:hAnsi="Arial" w:cs="Arial"/>
                <w:b/>
                <w:bCs/>
              </w:rPr>
              <w:t>Employees</w:t>
            </w:r>
          </w:p>
          <w:p w14:paraId="0E89B00E" w14:textId="77777777" w:rsidR="0041662F" w:rsidRPr="00A845B7" w:rsidRDefault="001178CC" w:rsidP="00FD5A2D">
            <w:pPr>
              <w:ind w:left="110" w:hanging="110"/>
              <w:jc w:val="right"/>
              <w:rPr>
                <w:rFonts w:ascii="Arial" w:hAnsi="Arial" w:cs="Arial"/>
                <w:b/>
                <w:bCs/>
              </w:rPr>
            </w:pPr>
            <w:r w:rsidRPr="00A845B7">
              <w:rPr>
                <w:rFonts w:ascii="Arial" w:hAnsi="Arial" w:cs="Arial"/>
                <w:b/>
                <w:bCs/>
              </w:rPr>
              <w:t>(FTE)</w:t>
            </w:r>
            <w:r w:rsidR="0041662F" w:rsidRPr="00A845B7">
              <w:rPr>
                <w:rFonts w:ascii="Arial" w:hAnsi="Arial" w:cs="Arial"/>
                <w:b/>
                <w:bCs/>
              </w:rPr>
              <w:t xml:space="preserve"> </w:t>
            </w:r>
          </w:p>
          <w:p w14:paraId="5333C015" w14:textId="78CB5B98" w:rsidR="001178CC" w:rsidRPr="00A845B7" w:rsidRDefault="0041662F">
            <w:pPr>
              <w:ind w:left="110" w:hanging="110"/>
              <w:jc w:val="right"/>
              <w:rPr>
                <w:rFonts w:ascii="Arial" w:hAnsi="Arial" w:cs="Arial"/>
                <w:b/>
                <w:bCs/>
              </w:rPr>
            </w:pPr>
            <w:r w:rsidRPr="00A845B7">
              <w:rPr>
                <w:rFonts w:ascii="Arial" w:hAnsi="Arial" w:cs="Arial"/>
                <w:b/>
                <w:bCs/>
              </w:rPr>
              <w:t xml:space="preserve">at </w:t>
            </w:r>
            <w:r w:rsidR="00931630" w:rsidRPr="00A845B7">
              <w:rPr>
                <w:rFonts w:ascii="Arial" w:hAnsi="Arial" w:cs="Arial"/>
                <w:b/>
                <w:bCs/>
              </w:rPr>
              <w:t>31 J</w:t>
            </w:r>
            <w:r w:rsidR="00F764D3" w:rsidRPr="00A845B7">
              <w:rPr>
                <w:rFonts w:ascii="Arial" w:hAnsi="Arial" w:cs="Arial"/>
                <w:b/>
                <w:bCs/>
              </w:rPr>
              <w:t>an</w:t>
            </w:r>
            <w:r w:rsidR="00931630" w:rsidRPr="00A845B7">
              <w:rPr>
                <w:rFonts w:ascii="Arial" w:hAnsi="Arial" w:cs="Arial"/>
                <w:b/>
                <w:bCs/>
              </w:rPr>
              <w:t xml:space="preserve"> </w:t>
            </w:r>
            <w:r w:rsidRPr="00A845B7">
              <w:rPr>
                <w:rFonts w:ascii="Arial" w:hAnsi="Arial" w:cs="Arial"/>
                <w:b/>
                <w:bCs/>
              </w:rPr>
              <w:t>201</w:t>
            </w:r>
            <w:r w:rsidR="00027CD1">
              <w:rPr>
                <w:rFonts w:ascii="Arial" w:hAnsi="Arial" w:cs="Arial"/>
                <w:b/>
                <w:bCs/>
              </w:rPr>
              <w:t>9</w:t>
            </w:r>
          </w:p>
        </w:tc>
        <w:tc>
          <w:tcPr>
            <w:tcW w:w="661" w:type="pct"/>
          </w:tcPr>
          <w:p w14:paraId="035CD769" w14:textId="77777777" w:rsidR="0041662F" w:rsidRPr="00A845B7" w:rsidRDefault="0041662F" w:rsidP="00FD5A2D">
            <w:pPr>
              <w:ind w:left="110" w:hanging="110"/>
              <w:jc w:val="right"/>
              <w:rPr>
                <w:rFonts w:ascii="Arial" w:hAnsi="Arial" w:cs="Arial"/>
                <w:b/>
                <w:bCs/>
              </w:rPr>
            </w:pPr>
          </w:p>
          <w:p w14:paraId="1BC096FC" w14:textId="77777777" w:rsidR="001178CC" w:rsidRPr="00A845B7" w:rsidRDefault="001178CC" w:rsidP="00FD5A2D">
            <w:pPr>
              <w:ind w:left="110" w:hanging="110"/>
              <w:jc w:val="right"/>
              <w:rPr>
                <w:rFonts w:ascii="Arial" w:hAnsi="Arial" w:cs="Arial"/>
                <w:b/>
                <w:bCs/>
              </w:rPr>
            </w:pPr>
            <w:r w:rsidRPr="00A845B7">
              <w:rPr>
                <w:rFonts w:ascii="Arial" w:hAnsi="Arial" w:cs="Arial"/>
                <w:b/>
                <w:bCs/>
              </w:rPr>
              <w:t xml:space="preserve">Store </w:t>
            </w:r>
          </w:p>
          <w:p w14:paraId="466D1218" w14:textId="2C85C62A" w:rsidR="001178CC" w:rsidRPr="00A845B7" w:rsidRDefault="0041662F">
            <w:pPr>
              <w:ind w:left="110" w:hanging="110"/>
              <w:jc w:val="right"/>
              <w:rPr>
                <w:rFonts w:ascii="Arial" w:hAnsi="Arial" w:cs="Arial"/>
                <w:b/>
                <w:bCs/>
              </w:rPr>
            </w:pPr>
            <w:r w:rsidRPr="00A845B7">
              <w:rPr>
                <w:rFonts w:ascii="Arial" w:hAnsi="Arial" w:cs="Arial"/>
                <w:b/>
                <w:bCs/>
              </w:rPr>
              <w:t>N</w:t>
            </w:r>
            <w:r w:rsidR="001178CC" w:rsidRPr="00A845B7">
              <w:rPr>
                <w:rFonts w:ascii="Arial" w:hAnsi="Arial" w:cs="Arial"/>
                <w:b/>
                <w:bCs/>
              </w:rPr>
              <w:t>umbers</w:t>
            </w:r>
            <w:r w:rsidRPr="00A845B7">
              <w:rPr>
                <w:rFonts w:ascii="Arial" w:hAnsi="Arial" w:cs="Arial"/>
                <w:b/>
                <w:bCs/>
              </w:rPr>
              <w:t xml:space="preserve"> at 31 </w:t>
            </w:r>
            <w:r w:rsidR="00931630" w:rsidRPr="00A845B7">
              <w:rPr>
                <w:rFonts w:ascii="Arial" w:hAnsi="Arial" w:cs="Arial"/>
                <w:b/>
                <w:bCs/>
              </w:rPr>
              <w:t>J</w:t>
            </w:r>
            <w:r w:rsidR="00F764D3" w:rsidRPr="00A845B7">
              <w:rPr>
                <w:rFonts w:ascii="Arial" w:hAnsi="Arial" w:cs="Arial"/>
                <w:b/>
                <w:bCs/>
              </w:rPr>
              <w:t>an</w:t>
            </w:r>
            <w:r w:rsidR="00931630" w:rsidRPr="00A845B7">
              <w:rPr>
                <w:rFonts w:ascii="Arial" w:hAnsi="Arial" w:cs="Arial"/>
                <w:b/>
                <w:bCs/>
              </w:rPr>
              <w:t xml:space="preserve"> </w:t>
            </w:r>
            <w:r w:rsidR="00F764D3" w:rsidRPr="00A845B7">
              <w:rPr>
                <w:rFonts w:ascii="Arial" w:hAnsi="Arial" w:cs="Arial"/>
                <w:b/>
                <w:bCs/>
              </w:rPr>
              <w:t>201</w:t>
            </w:r>
            <w:r w:rsidR="00027CD1">
              <w:rPr>
                <w:rFonts w:ascii="Arial" w:hAnsi="Arial" w:cs="Arial"/>
                <w:b/>
                <w:bCs/>
              </w:rPr>
              <w:t>9</w:t>
            </w:r>
          </w:p>
        </w:tc>
        <w:tc>
          <w:tcPr>
            <w:tcW w:w="830" w:type="pct"/>
          </w:tcPr>
          <w:p w14:paraId="615C06AC" w14:textId="77777777" w:rsidR="0041662F" w:rsidRPr="00A845B7" w:rsidRDefault="0041662F" w:rsidP="00FD5A2D">
            <w:pPr>
              <w:ind w:left="110" w:hanging="110"/>
              <w:jc w:val="right"/>
              <w:rPr>
                <w:rFonts w:ascii="Arial" w:hAnsi="Arial" w:cs="Arial"/>
                <w:b/>
                <w:bCs/>
              </w:rPr>
            </w:pPr>
          </w:p>
          <w:p w14:paraId="2278DA2A" w14:textId="0989BF58" w:rsidR="001178CC" w:rsidRPr="00A845B7" w:rsidRDefault="0041662F" w:rsidP="00FD5A2D">
            <w:pPr>
              <w:ind w:left="110" w:hanging="110"/>
              <w:jc w:val="right"/>
              <w:rPr>
                <w:rFonts w:ascii="Arial" w:hAnsi="Arial" w:cs="Arial"/>
                <w:b/>
                <w:bCs/>
              </w:rPr>
            </w:pPr>
            <w:r w:rsidRPr="00A845B7">
              <w:rPr>
                <w:rFonts w:ascii="Arial" w:hAnsi="Arial" w:cs="Arial"/>
                <w:b/>
                <w:bCs/>
              </w:rPr>
              <w:t xml:space="preserve">Sales </w:t>
            </w:r>
            <w:proofErr w:type="gramStart"/>
            <w:r w:rsidRPr="00A845B7">
              <w:rPr>
                <w:rFonts w:ascii="Arial" w:hAnsi="Arial" w:cs="Arial"/>
                <w:b/>
                <w:bCs/>
              </w:rPr>
              <w:t>area</w:t>
            </w:r>
            <w:r w:rsidRPr="00A845B7">
              <w:rPr>
                <w:rFonts w:ascii="Arial" w:hAnsi="Arial" w:cs="Arial"/>
                <w:b/>
                <w:bCs/>
                <w:vertAlign w:val="superscript"/>
              </w:rPr>
              <w:t>(</w:t>
            </w:r>
            <w:proofErr w:type="gramEnd"/>
            <w:r w:rsidR="009275D1">
              <w:rPr>
                <w:rFonts w:ascii="Arial" w:hAnsi="Arial" w:cs="Arial"/>
                <w:b/>
                <w:bCs/>
                <w:vertAlign w:val="superscript"/>
              </w:rPr>
              <w:t>3</w:t>
            </w:r>
            <w:r w:rsidRPr="00A845B7">
              <w:rPr>
                <w:rFonts w:ascii="Arial" w:hAnsi="Arial" w:cs="Arial"/>
                <w:b/>
                <w:bCs/>
                <w:vertAlign w:val="superscript"/>
              </w:rPr>
              <w:t>)</w:t>
            </w:r>
          </w:p>
          <w:p w14:paraId="11564365" w14:textId="77777777" w:rsidR="0041662F" w:rsidRPr="00A845B7" w:rsidRDefault="001178CC" w:rsidP="00FD5A2D">
            <w:pPr>
              <w:ind w:left="110" w:hanging="110"/>
              <w:jc w:val="right"/>
              <w:rPr>
                <w:rFonts w:ascii="Arial" w:hAnsi="Arial" w:cs="Arial"/>
                <w:b/>
                <w:bCs/>
              </w:rPr>
            </w:pPr>
            <w:r w:rsidRPr="00A845B7">
              <w:rPr>
                <w:rFonts w:ascii="Arial" w:hAnsi="Arial" w:cs="Arial"/>
                <w:b/>
                <w:bCs/>
              </w:rPr>
              <w:t>(000s m</w:t>
            </w:r>
            <w:r w:rsidRPr="00A845B7">
              <w:rPr>
                <w:rFonts w:ascii="Arial" w:hAnsi="Arial" w:cs="Arial"/>
                <w:b/>
                <w:bCs/>
                <w:vertAlign w:val="superscript"/>
              </w:rPr>
              <w:t>2</w:t>
            </w:r>
            <w:r w:rsidRPr="00A845B7">
              <w:rPr>
                <w:rFonts w:ascii="Arial" w:hAnsi="Arial" w:cs="Arial"/>
                <w:b/>
                <w:bCs/>
              </w:rPr>
              <w:t>)</w:t>
            </w:r>
            <w:r w:rsidR="0041662F" w:rsidRPr="00A845B7">
              <w:rPr>
                <w:rFonts w:ascii="Arial" w:hAnsi="Arial" w:cs="Arial"/>
                <w:b/>
                <w:bCs/>
              </w:rPr>
              <w:t xml:space="preserve"> </w:t>
            </w:r>
          </w:p>
          <w:p w14:paraId="35642DC4" w14:textId="230FFB1F" w:rsidR="001178CC" w:rsidRPr="00A845B7" w:rsidRDefault="0041662F">
            <w:pPr>
              <w:ind w:left="110" w:hanging="110"/>
              <w:jc w:val="right"/>
              <w:rPr>
                <w:rFonts w:ascii="Arial" w:hAnsi="Arial" w:cs="Arial"/>
                <w:b/>
                <w:bCs/>
              </w:rPr>
            </w:pPr>
            <w:r w:rsidRPr="00A845B7">
              <w:rPr>
                <w:rFonts w:ascii="Arial" w:hAnsi="Arial" w:cs="Arial"/>
                <w:b/>
                <w:bCs/>
              </w:rPr>
              <w:t xml:space="preserve">at 31 </w:t>
            </w:r>
            <w:r w:rsidR="00F764D3" w:rsidRPr="00A845B7">
              <w:rPr>
                <w:rFonts w:ascii="Arial" w:hAnsi="Arial" w:cs="Arial"/>
                <w:b/>
                <w:bCs/>
              </w:rPr>
              <w:t xml:space="preserve">Jan </w:t>
            </w:r>
            <w:r w:rsidRPr="00A845B7">
              <w:rPr>
                <w:rFonts w:ascii="Arial" w:hAnsi="Arial" w:cs="Arial"/>
                <w:b/>
                <w:bCs/>
              </w:rPr>
              <w:t>201</w:t>
            </w:r>
            <w:r w:rsidR="00027CD1">
              <w:rPr>
                <w:rFonts w:ascii="Arial" w:hAnsi="Arial" w:cs="Arial"/>
                <w:b/>
                <w:bCs/>
              </w:rPr>
              <w:t>9</w:t>
            </w:r>
          </w:p>
        </w:tc>
        <w:tc>
          <w:tcPr>
            <w:tcW w:w="735" w:type="pct"/>
          </w:tcPr>
          <w:p w14:paraId="5F3C9B42" w14:textId="77777777" w:rsidR="0041662F" w:rsidRPr="00A845B7" w:rsidRDefault="0041662F" w:rsidP="00FD5A2D">
            <w:pPr>
              <w:ind w:left="110" w:hanging="110"/>
              <w:jc w:val="right"/>
              <w:rPr>
                <w:rFonts w:ascii="Arial" w:hAnsi="Arial" w:cs="Arial"/>
                <w:b/>
                <w:bCs/>
              </w:rPr>
            </w:pPr>
          </w:p>
          <w:p w14:paraId="331D11C3" w14:textId="77777777" w:rsidR="00C449AA" w:rsidRPr="00A845B7" w:rsidRDefault="00C449AA" w:rsidP="00FD5A2D">
            <w:pPr>
              <w:ind w:left="110" w:hanging="110"/>
              <w:jc w:val="right"/>
              <w:rPr>
                <w:rFonts w:ascii="Arial" w:hAnsi="Arial" w:cs="Arial"/>
                <w:b/>
                <w:bCs/>
              </w:rPr>
            </w:pPr>
          </w:p>
          <w:p w14:paraId="7D3F370F" w14:textId="77777777" w:rsidR="001178CC" w:rsidRPr="00A845B7" w:rsidRDefault="001178CC" w:rsidP="00FD5A2D">
            <w:pPr>
              <w:ind w:left="110" w:hanging="110"/>
              <w:jc w:val="right"/>
              <w:rPr>
                <w:rFonts w:ascii="Arial" w:hAnsi="Arial" w:cs="Arial"/>
                <w:b/>
                <w:bCs/>
              </w:rPr>
            </w:pPr>
            <w:r w:rsidRPr="00A845B7">
              <w:rPr>
                <w:rFonts w:ascii="Arial" w:hAnsi="Arial" w:cs="Arial"/>
                <w:b/>
                <w:bCs/>
              </w:rPr>
              <w:t>Net new stores</w:t>
            </w:r>
          </w:p>
          <w:p w14:paraId="7D3036C0" w14:textId="5E9FE234" w:rsidR="00C449AA" w:rsidRPr="00A845B7" w:rsidRDefault="00C449AA">
            <w:pPr>
              <w:ind w:left="110" w:hanging="110"/>
              <w:jc w:val="right"/>
              <w:rPr>
                <w:rFonts w:ascii="Arial" w:hAnsi="Arial" w:cs="Arial"/>
                <w:b/>
                <w:bCs/>
              </w:rPr>
            </w:pPr>
            <w:r w:rsidRPr="00A845B7">
              <w:rPr>
                <w:rFonts w:ascii="Arial" w:hAnsi="Arial" w:cs="Arial"/>
                <w:b/>
                <w:bCs/>
              </w:rPr>
              <w:t>FY 1</w:t>
            </w:r>
            <w:r w:rsidR="00027CD1">
              <w:rPr>
                <w:rFonts w:ascii="Arial" w:hAnsi="Arial" w:cs="Arial"/>
                <w:b/>
                <w:bCs/>
              </w:rPr>
              <w:t>9</w:t>
            </w:r>
            <w:r w:rsidR="00F764D3" w:rsidRPr="00A845B7">
              <w:rPr>
                <w:rFonts w:ascii="Arial" w:hAnsi="Arial" w:cs="Arial"/>
                <w:b/>
                <w:bCs/>
              </w:rPr>
              <w:t>/</w:t>
            </w:r>
            <w:r w:rsidR="00027CD1">
              <w:rPr>
                <w:rFonts w:ascii="Arial" w:hAnsi="Arial" w:cs="Arial"/>
                <w:b/>
                <w:bCs/>
              </w:rPr>
              <w:t>20</w:t>
            </w:r>
          </w:p>
        </w:tc>
        <w:tc>
          <w:tcPr>
            <w:tcW w:w="735" w:type="pct"/>
          </w:tcPr>
          <w:p w14:paraId="3DB17124" w14:textId="77777777" w:rsidR="0041662F" w:rsidRPr="00A845B7" w:rsidRDefault="0041662F" w:rsidP="00FD5A2D">
            <w:pPr>
              <w:ind w:left="110" w:hanging="110"/>
              <w:jc w:val="center"/>
              <w:rPr>
                <w:rFonts w:ascii="Arial" w:hAnsi="Arial" w:cs="Arial"/>
                <w:b/>
                <w:bCs/>
              </w:rPr>
            </w:pPr>
          </w:p>
          <w:p w14:paraId="5B4E42A0" w14:textId="77777777" w:rsidR="00C449AA" w:rsidRPr="00A845B7" w:rsidRDefault="00C449AA" w:rsidP="00440B16">
            <w:pPr>
              <w:ind w:left="110" w:hanging="110"/>
              <w:jc w:val="right"/>
              <w:rPr>
                <w:rFonts w:ascii="Arial" w:hAnsi="Arial" w:cs="Arial"/>
                <w:b/>
                <w:bCs/>
              </w:rPr>
            </w:pPr>
          </w:p>
          <w:p w14:paraId="645ED814" w14:textId="77777777" w:rsidR="001178CC" w:rsidRPr="00A845B7" w:rsidRDefault="001178CC" w:rsidP="00440B16">
            <w:pPr>
              <w:ind w:left="110" w:hanging="110"/>
              <w:jc w:val="right"/>
              <w:rPr>
                <w:rFonts w:ascii="Arial" w:hAnsi="Arial" w:cs="Arial"/>
                <w:b/>
                <w:bCs/>
              </w:rPr>
            </w:pPr>
            <w:r w:rsidRPr="00A845B7">
              <w:rPr>
                <w:rFonts w:ascii="Arial" w:hAnsi="Arial" w:cs="Arial"/>
                <w:b/>
                <w:bCs/>
              </w:rPr>
              <w:t>Space</w:t>
            </w:r>
          </w:p>
          <w:p w14:paraId="25945CF2" w14:textId="77777777" w:rsidR="001178CC" w:rsidRPr="00A845B7" w:rsidRDefault="001178CC" w:rsidP="00440B16">
            <w:pPr>
              <w:ind w:left="110" w:hanging="110"/>
              <w:jc w:val="right"/>
              <w:rPr>
                <w:rFonts w:ascii="Arial" w:hAnsi="Arial" w:cs="Arial"/>
                <w:b/>
                <w:bCs/>
              </w:rPr>
            </w:pPr>
            <w:r w:rsidRPr="00A845B7">
              <w:rPr>
                <w:rFonts w:ascii="Arial" w:hAnsi="Arial" w:cs="Arial"/>
                <w:b/>
                <w:bCs/>
              </w:rPr>
              <w:t>% change</w:t>
            </w:r>
          </w:p>
          <w:p w14:paraId="47BE760C" w14:textId="25F60443" w:rsidR="00C449AA" w:rsidRPr="00A845B7" w:rsidRDefault="00C449AA">
            <w:pPr>
              <w:ind w:left="110" w:hanging="110"/>
              <w:jc w:val="right"/>
              <w:rPr>
                <w:rFonts w:ascii="Arial" w:hAnsi="Arial" w:cs="Arial"/>
                <w:b/>
                <w:bCs/>
              </w:rPr>
            </w:pPr>
            <w:r w:rsidRPr="00A845B7">
              <w:rPr>
                <w:rFonts w:ascii="Arial" w:hAnsi="Arial" w:cs="Arial"/>
                <w:b/>
                <w:bCs/>
              </w:rPr>
              <w:t>FY 1</w:t>
            </w:r>
            <w:r w:rsidR="00027CD1">
              <w:rPr>
                <w:rFonts w:ascii="Arial" w:hAnsi="Arial" w:cs="Arial"/>
                <w:b/>
                <w:bCs/>
              </w:rPr>
              <w:t>9</w:t>
            </w:r>
            <w:r w:rsidR="00F764D3" w:rsidRPr="00A845B7">
              <w:rPr>
                <w:rFonts w:ascii="Arial" w:hAnsi="Arial" w:cs="Arial"/>
                <w:b/>
                <w:bCs/>
              </w:rPr>
              <w:t>/</w:t>
            </w:r>
            <w:r w:rsidR="00027CD1">
              <w:rPr>
                <w:rFonts w:ascii="Arial" w:hAnsi="Arial" w:cs="Arial"/>
                <w:b/>
                <w:bCs/>
              </w:rPr>
              <w:t>20</w:t>
            </w:r>
          </w:p>
        </w:tc>
      </w:tr>
      <w:tr w:rsidR="00B87095" w:rsidRPr="004226C9" w14:paraId="1D8FAFDD" w14:textId="77777777" w:rsidTr="00925EFB">
        <w:tc>
          <w:tcPr>
            <w:tcW w:w="1247" w:type="pct"/>
            <w:tcBorders>
              <w:top w:val="single" w:sz="4" w:space="0" w:color="auto"/>
            </w:tcBorders>
          </w:tcPr>
          <w:p w14:paraId="17CA692B" w14:textId="77777777" w:rsidR="00B87095" w:rsidRPr="004226C9" w:rsidRDefault="00B87095" w:rsidP="00B87095">
            <w:pPr>
              <w:spacing w:before="60"/>
              <w:jc w:val="left"/>
              <w:rPr>
                <w:rFonts w:ascii="Arial" w:hAnsi="Arial" w:cs="Arial"/>
              </w:rPr>
            </w:pPr>
            <w:r w:rsidRPr="004226C9">
              <w:rPr>
                <w:rFonts w:ascii="Arial" w:hAnsi="Arial" w:cs="Arial"/>
              </w:rPr>
              <w:t>B&amp;Q UK &amp; Ireland</w:t>
            </w:r>
          </w:p>
        </w:tc>
        <w:tc>
          <w:tcPr>
            <w:tcW w:w="792" w:type="pct"/>
            <w:tcBorders>
              <w:top w:val="single" w:sz="4" w:space="0" w:color="auto"/>
            </w:tcBorders>
          </w:tcPr>
          <w:p w14:paraId="4B314F31" w14:textId="41D87FB6" w:rsidR="00B87095" w:rsidRPr="004226C9" w:rsidRDefault="00B87095" w:rsidP="00B87095">
            <w:pPr>
              <w:spacing w:before="60"/>
              <w:ind w:left="110" w:hanging="110"/>
              <w:jc w:val="right"/>
              <w:rPr>
                <w:rFonts w:ascii="Arial" w:hAnsi="Arial" w:cs="Arial"/>
              </w:rPr>
            </w:pPr>
            <w:r w:rsidRPr="004226C9">
              <w:rPr>
                <w:rFonts w:ascii="Arial" w:hAnsi="Arial" w:cs="Arial"/>
              </w:rPr>
              <w:t>1</w:t>
            </w:r>
            <w:r w:rsidR="007861AD" w:rsidRPr="004226C9">
              <w:rPr>
                <w:rFonts w:ascii="Arial" w:hAnsi="Arial" w:cs="Arial"/>
              </w:rPr>
              <w:t>6</w:t>
            </w:r>
            <w:r w:rsidR="00E54CF3" w:rsidRPr="004226C9">
              <w:rPr>
                <w:rFonts w:ascii="Arial" w:hAnsi="Arial" w:cs="Arial"/>
              </w:rPr>
              <w:t>,</w:t>
            </w:r>
            <w:r w:rsidR="007861AD" w:rsidRPr="004226C9">
              <w:rPr>
                <w:rFonts w:ascii="Arial" w:hAnsi="Arial" w:cs="Arial"/>
              </w:rPr>
              <w:t>221</w:t>
            </w:r>
          </w:p>
        </w:tc>
        <w:tc>
          <w:tcPr>
            <w:tcW w:w="661" w:type="pct"/>
            <w:tcBorders>
              <w:top w:val="single" w:sz="4" w:space="0" w:color="auto"/>
            </w:tcBorders>
          </w:tcPr>
          <w:p w14:paraId="3DB7E9F6" w14:textId="70F25321" w:rsidR="00B87095" w:rsidRPr="004226C9" w:rsidRDefault="00B87095" w:rsidP="00B87095">
            <w:pPr>
              <w:spacing w:before="60"/>
              <w:ind w:left="110" w:hanging="110"/>
              <w:jc w:val="right"/>
              <w:rPr>
                <w:rFonts w:ascii="Arial" w:hAnsi="Arial" w:cs="Arial"/>
              </w:rPr>
            </w:pPr>
            <w:r w:rsidRPr="004226C9">
              <w:rPr>
                <w:rFonts w:ascii="Arial" w:hAnsi="Arial" w:cs="Arial"/>
              </w:rPr>
              <w:t>29</w:t>
            </w:r>
            <w:r w:rsidR="00E54CF3" w:rsidRPr="004226C9">
              <w:rPr>
                <w:rFonts w:ascii="Arial" w:hAnsi="Arial" w:cs="Arial"/>
              </w:rPr>
              <w:t>6</w:t>
            </w:r>
          </w:p>
        </w:tc>
        <w:tc>
          <w:tcPr>
            <w:tcW w:w="830" w:type="pct"/>
            <w:tcBorders>
              <w:top w:val="single" w:sz="4" w:space="0" w:color="auto"/>
            </w:tcBorders>
          </w:tcPr>
          <w:p w14:paraId="53975011" w14:textId="1B6C1752" w:rsidR="00B87095" w:rsidRPr="004226C9" w:rsidRDefault="00B87095" w:rsidP="00B87095">
            <w:pPr>
              <w:spacing w:before="60"/>
              <w:ind w:left="110" w:hanging="110"/>
              <w:jc w:val="right"/>
              <w:rPr>
                <w:rFonts w:ascii="Arial" w:hAnsi="Arial" w:cs="Arial"/>
              </w:rPr>
            </w:pPr>
            <w:r w:rsidRPr="004226C9">
              <w:rPr>
                <w:rFonts w:ascii="Arial" w:hAnsi="Arial" w:cs="Arial"/>
              </w:rPr>
              <w:t>2,2</w:t>
            </w:r>
            <w:r w:rsidR="00F21498" w:rsidRPr="004226C9">
              <w:rPr>
                <w:rFonts w:ascii="Arial" w:hAnsi="Arial" w:cs="Arial"/>
              </w:rPr>
              <w:t>1</w:t>
            </w:r>
            <w:r w:rsidR="00E54CF3" w:rsidRPr="004226C9">
              <w:rPr>
                <w:rFonts w:ascii="Arial" w:hAnsi="Arial" w:cs="Arial"/>
              </w:rPr>
              <w:t>0</w:t>
            </w:r>
          </w:p>
        </w:tc>
        <w:tc>
          <w:tcPr>
            <w:tcW w:w="735" w:type="pct"/>
            <w:tcBorders>
              <w:top w:val="single" w:sz="4" w:space="0" w:color="auto"/>
            </w:tcBorders>
          </w:tcPr>
          <w:p w14:paraId="6EE783E0" w14:textId="72C4D262" w:rsidR="00B87095" w:rsidRPr="0035009E" w:rsidRDefault="004226C9" w:rsidP="00B87095">
            <w:pPr>
              <w:spacing w:before="60"/>
              <w:ind w:left="110" w:hanging="110"/>
              <w:jc w:val="right"/>
              <w:rPr>
                <w:rFonts w:ascii="Arial" w:hAnsi="Arial" w:cs="Arial"/>
              </w:rPr>
            </w:pPr>
            <w:r w:rsidRPr="0035009E">
              <w:rPr>
                <w:rFonts w:ascii="Arial" w:hAnsi="Arial" w:cs="Arial"/>
              </w:rPr>
              <w:t>2</w:t>
            </w:r>
          </w:p>
        </w:tc>
        <w:tc>
          <w:tcPr>
            <w:tcW w:w="735" w:type="pct"/>
            <w:tcBorders>
              <w:top w:val="single" w:sz="4" w:space="0" w:color="auto"/>
            </w:tcBorders>
          </w:tcPr>
          <w:p w14:paraId="42BB1133" w14:textId="27D01C24" w:rsidR="00B87095" w:rsidRPr="0035009E" w:rsidRDefault="004226C9" w:rsidP="00B87095">
            <w:pPr>
              <w:spacing w:before="60"/>
              <w:ind w:left="110" w:hanging="110"/>
              <w:jc w:val="right"/>
              <w:rPr>
                <w:rFonts w:ascii="Arial" w:hAnsi="Arial" w:cs="Arial"/>
              </w:rPr>
            </w:pPr>
            <w:r w:rsidRPr="0035009E">
              <w:rPr>
                <w:rFonts w:ascii="Arial" w:hAnsi="Arial" w:cs="Arial"/>
              </w:rPr>
              <w:t>-</w:t>
            </w:r>
          </w:p>
        </w:tc>
      </w:tr>
      <w:tr w:rsidR="00B87095" w:rsidRPr="00A845B7" w14:paraId="7147C580" w14:textId="77777777" w:rsidTr="00AF307A">
        <w:trPr>
          <w:trHeight w:val="203"/>
        </w:trPr>
        <w:tc>
          <w:tcPr>
            <w:tcW w:w="1247" w:type="pct"/>
            <w:tcBorders>
              <w:bottom w:val="single" w:sz="4" w:space="0" w:color="auto"/>
            </w:tcBorders>
          </w:tcPr>
          <w:p w14:paraId="2C5A7F10" w14:textId="3404C670" w:rsidR="00B87095" w:rsidRPr="004226C9" w:rsidRDefault="00B87095" w:rsidP="00B87095">
            <w:pPr>
              <w:ind w:left="110" w:hanging="110"/>
              <w:jc w:val="left"/>
              <w:rPr>
                <w:rFonts w:ascii="Arial" w:hAnsi="Arial" w:cs="Arial"/>
              </w:rPr>
            </w:pPr>
            <w:r w:rsidRPr="004226C9">
              <w:rPr>
                <w:rFonts w:ascii="Arial" w:hAnsi="Arial" w:cs="Arial"/>
              </w:rPr>
              <w:t xml:space="preserve">Screwfix </w:t>
            </w:r>
            <w:r w:rsidR="0043393F" w:rsidRPr="004226C9">
              <w:rPr>
                <w:rFonts w:ascii="Arial" w:hAnsi="Arial" w:cs="Arial"/>
              </w:rPr>
              <w:t>UK &amp; Ireland</w:t>
            </w:r>
          </w:p>
        </w:tc>
        <w:tc>
          <w:tcPr>
            <w:tcW w:w="792" w:type="pct"/>
            <w:tcBorders>
              <w:bottom w:val="single" w:sz="4" w:space="0" w:color="auto"/>
            </w:tcBorders>
          </w:tcPr>
          <w:p w14:paraId="26C9511F" w14:textId="3950E954" w:rsidR="00B87095" w:rsidRPr="004226C9" w:rsidRDefault="007861AD" w:rsidP="00342365">
            <w:pPr>
              <w:spacing w:before="60"/>
              <w:ind w:left="110" w:hanging="110"/>
              <w:jc w:val="right"/>
              <w:rPr>
                <w:rFonts w:ascii="Arial" w:hAnsi="Arial" w:cs="Arial"/>
              </w:rPr>
            </w:pPr>
            <w:r w:rsidRPr="004226C9">
              <w:rPr>
                <w:rFonts w:ascii="Arial" w:hAnsi="Arial" w:cs="Arial"/>
              </w:rPr>
              <w:t>8,330</w:t>
            </w:r>
          </w:p>
        </w:tc>
        <w:tc>
          <w:tcPr>
            <w:tcW w:w="661" w:type="pct"/>
            <w:tcBorders>
              <w:bottom w:val="single" w:sz="4" w:space="0" w:color="auto"/>
            </w:tcBorders>
          </w:tcPr>
          <w:p w14:paraId="1439D09B" w14:textId="4D225A21" w:rsidR="00B87095" w:rsidRPr="004226C9" w:rsidRDefault="007861AD" w:rsidP="00342365">
            <w:pPr>
              <w:spacing w:before="60"/>
              <w:ind w:left="110" w:hanging="110"/>
              <w:jc w:val="right"/>
              <w:rPr>
                <w:rFonts w:ascii="Arial" w:hAnsi="Arial" w:cs="Arial"/>
              </w:rPr>
            </w:pPr>
            <w:r w:rsidRPr="004226C9">
              <w:rPr>
                <w:rFonts w:ascii="Arial" w:hAnsi="Arial" w:cs="Arial"/>
              </w:rPr>
              <w:t>62</w:t>
            </w:r>
            <w:r w:rsidR="00F21498" w:rsidRPr="004226C9">
              <w:rPr>
                <w:rFonts w:ascii="Arial" w:hAnsi="Arial" w:cs="Arial"/>
              </w:rPr>
              <w:t>7</w:t>
            </w:r>
          </w:p>
        </w:tc>
        <w:tc>
          <w:tcPr>
            <w:tcW w:w="830" w:type="pct"/>
            <w:tcBorders>
              <w:bottom w:val="single" w:sz="4" w:space="0" w:color="auto"/>
            </w:tcBorders>
            <w:shd w:val="clear" w:color="auto" w:fill="auto"/>
          </w:tcPr>
          <w:p w14:paraId="09048295" w14:textId="251F177C" w:rsidR="00B87095" w:rsidRPr="004226C9" w:rsidRDefault="007861AD" w:rsidP="00342365">
            <w:pPr>
              <w:spacing w:before="60"/>
              <w:ind w:left="110" w:hanging="110"/>
              <w:jc w:val="right"/>
              <w:rPr>
                <w:rFonts w:ascii="Arial" w:hAnsi="Arial" w:cs="Arial"/>
              </w:rPr>
            </w:pPr>
            <w:r w:rsidRPr="004226C9">
              <w:rPr>
                <w:rFonts w:ascii="Arial" w:hAnsi="Arial" w:cs="Arial"/>
              </w:rPr>
              <w:t>40</w:t>
            </w:r>
          </w:p>
        </w:tc>
        <w:tc>
          <w:tcPr>
            <w:tcW w:w="735" w:type="pct"/>
            <w:tcBorders>
              <w:bottom w:val="single" w:sz="4" w:space="0" w:color="auto"/>
            </w:tcBorders>
          </w:tcPr>
          <w:p w14:paraId="0D12516B" w14:textId="4071BC18" w:rsidR="00B87095" w:rsidRPr="0035009E" w:rsidRDefault="00613DF2" w:rsidP="002146A2">
            <w:pPr>
              <w:spacing w:before="60"/>
              <w:ind w:left="110" w:hanging="110"/>
              <w:jc w:val="right"/>
              <w:rPr>
                <w:rFonts w:ascii="Arial" w:hAnsi="Arial" w:cs="Arial"/>
              </w:rPr>
            </w:pPr>
            <w:r w:rsidRPr="0035009E">
              <w:rPr>
                <w:rFonts w:ascii="Arial" w:hAnsi="Arial" w:cs="Arial"/>
              </w:rPr>
              <w:t>55</w:t>
            </w:r>
          </w:p>
        </w:tc>
        <w:tc>
          <w:tcPr>
            <w:tcW w:w="735" w:type="pct"/>
            <w:tcBorders>
              <w:bottom w:val="single" w:sz="4" w:space="0" w:color="auto"/>
            </w:tcBorders>
          </w:tcPr>
          <w:p w14:paraId="12CA2DB2" w14:textId="47787551" w:rsidR="00B87095" w:rsidRPr="0035009E" w:rsidRDefault="00B87095" w:rsidP="002146A2">
            <w:pPr>
              <w:spacing w:before="60"/>
              <w:ind w:left="110" w:hanging="110"/>
              <w:jc w:val="right"/>
              <w:rPr>
                <w:rFonts w:ascii="Arial" w:hAnsi="Arial" w:cs="Arial"/>
              </w:rPr>
            </w:pPr>
            <w:r w:rsidRPr="0035009E">
              <w:rPr>
                <w:rFonts w:ascii="Arial" w:hAnsi="Arial" w:cs="Arial"/>
              </w:rPr>
              <w:t>+</w:t>
            </w:r>
            <w:r w:rsidR="004226C9" w:rsidRPr="0035009E">
              <w:rPr>
                <w:rFonts w:ascii="Arial" w:hAnsi="Arial" w:cs="Arial"/>
              </w:rPr>
              <w:t>10</w:t>
            </w:r>
            <w:r w:rsidRPr="0035009E">
              <w:rPr>
                <w:rFonts w:ascii="Arial" w:hAnsi="Arial" w:cs="Arial"/>
              </w:rPr>
              <w:t>%</w:t>
            </w:r>
          </w:p>
        </w:tc>
      </w:tr>
      <w:tr w:rsidR="00B87095" w:rsidRPr="00A845B7" w14:paraId="34BB9A78" w14:textId="77777777" w:rsidTr="00FD5A2D">
        <w:tc>
          <w:tcPr>
            <w:tcW w:w="1247" w:type="pct"/>
            <w:tcBorders>
              <w:top w:val="single" w:sz="4" w:space="0" w:color="auto"/>
            </w:tcBorders>
          </w:tcPr>
          <w:p w14:paraId="6970B669" w14:textId="77777777" w:rsidR="00B87095" w:rsidRPr="004226C9" w:rsidRDefault="00B87095" w:rsidP="00B87095">
            <w:pPr>
              <w:ind w:left="110" w:hanging="110"/>
              <w:jc w:val="left"/>
              <w:rPr>
                <w:rFonts w:ascii="Arial" w:hAnsi="Arial" w:cs="Arial"/>
                <w:b/>
                <w:bCs/>
              </w:rPr>
            </w:pPr>
            <w:r w:rsidRPr="004226C9">
              <w:rPr>
                <w:rFonts w:ascii="Arial" w:hAnsi="Arial" w:cs="Arial"/>
                <w:b/>
                <w:bCs/>
              </w:rPr>
              <w:t>UK &amp; Ireland</w:t>
            </w:r>
          </w:p>
        </w:tc>
        <w:tc>
          <w:tcPr>
            <w:tcW w:w="792" w:type="pct"/>
            <w:tcBorders>
              <w:top w:val="single" w:sz="4" w:space="0" w:color="auto"/>
            </w:tcBorders>
          </w:tcPr>
          <w:p w14:paraId="2412BE2D" w14:textId="34D4C072" w:rsidR="00B87095" w:rsidRPr="004226C9" w:rsidRDefault="00B87095" w:rsidP="00B87095">
            <w:pPr>
              <w:ind w:left="110" w:hanging="110"/>
              <w:jc w:val="right"/>
              <w:rPr>
                <w:rFonts w:ascii="Arial" w:hAnsi="Arial" w:cs="Arial"/>
                <w:b/>
                <w:bCs/>
              </w:rPr>
            </w:pPr>
            <w:r w:rsidRPr="004226C9">
              <w:rPr>
                <w:rFonts w:ascii="Arial" w:hAnsi="Arial" w:cs="Arial"/>
                <w:b/>
                <w:bCs/>
              </w:rPr>
              <w:t>2</w:t>
            </w:r>
            <w:r w:rsidR="00E54CF3" w:rsidRPr="004226C9">
              <w:rPr>
                <w:rFonts w:ascii="Arial" w:hAnsi="Arial" w:cs="Arial"/>
                <w:b/>
                <w:bCs/>
              </w:rPr>
              <w:t>4,</w:t>
            </w:r>
            <w:r w:rsidR="007861AD" w:rsidRPr="004226C9">
              <w:rPr>
                <w:rFonts w:ascii="Arial" w:hAnsi="Arial" w:cs="Arial"/>
                <w:b/>
                <w:bCs/>
              </w:rPr>
              <w:t>551</w:t>
            </w:r>
          </w:p>
        </w:tc>
        <w:tc>
          <w:tcPr>
            <w:tcW w:w="661" w:type="pct"/>
            <w:tcBorders>
              <w:top w:val="single" w:sz="4" w:space="0" w:color="auto"/>
            </w:tcBorders>
          </w:tcPr>
          <w:p w14:paraId="7E168AA0" w14:textId="32A888E2" w:rsidR="00B87095" w:rsidRPr="004226C9" w:rsidRDefault="007861AD" w:rsidP="00B87095">
            <w:pPr>
              <w:ind w:left="110" w:hanging="110"/>
              <w:jc w:val="right"/>
              <w:rPr>
                <w:rFonts w:ascii="Arial" w:hAnsi="Arial" w:cs="Arial"/>
                <w:b/>
                <w:bCs/>
              </w:rPr>
            </w:pPr>
            <w:r w:rsidRPr="004226C9">
              <w:rPr>
                <w:rFonts w:ascii="Arial" w:hAnsi="Arial" w:cs="Arial"/>
                <w:b/>
                <w:bCs/>
              </w:rPr>
              <w:t>92</w:t>
            </w:r>
            <w:r w:rsidR="00E54CF3" w:rsidRPr="004226C9">
              <w:rPr>
                <w:rFonts w:ascii="Arial" w:hAnsi="Arial" w:cs="Arial"/>
                <w:b/>
                <w:bCs/>
              </w:rPr>
              <w:t>3</w:t>
            </w:r>
          </w:p>
        </w:tc>
        <w:tc>
          <w:tcPr>
            <w:tcW w:w="830" w:type="pct"/>
            <w:tcBorders>
              <w:top w:val="single" w:sz="4" w:space="0" w:color="auto"/>
            </w:tcBorders>
          </w:tcPr>
          <w:p w14:paraId="41D12ADD" w14:textId="06980B7D" w:rsidR="00B87095" w:rsidRPr="004226C9" w:rsidRDefault="00B87095" w:rsidP="00B87095">
            <w:pPr>
              <w:ind w:left="110" w:hanging="110"/>
              <w:jc w:val="right"/>
              <w:rPr>
                <w:rFonts w:ascii="Arial" w:hAnsi="Arial" w:cs="Arial"/>
                <w:b/>
                <w:bCs/>
              </w:rPr>
            </w:pPr>
            <w:r w:rsidRPr="004226C9">
              <w:rPr>
                <w:rFonts w:ascii="Arial" w:hAnsi="Arial" w:cs="Arial"/>
                <w:b/>
                <w:bCs/>
              </w:rPr>
              <w:t>2,2</w:t>
            </w:r>
            <w:r w:rsidR="007861AD" w:rsidRPr="004226C9">
              <w:rPr>
                <w:rFonts w:ascii="Arial" w:hAnsi="Arial" w:cs="Arial"/>
                <w:b/>
                <w:bCs/>
              </w:rPr>
              <w:t>50</w:t>
            </w:r>
          </w:p>
        </w:tc>
        <w:tc>
          <w:tcPr>
            <w:tcW w:w="735" w:type="pct"/>
            <w:tcBorders>
              <w:top w:val="single" w:sz="4" w:space="0" w:color="auto"/>
            </w:tcBorders>
          </w:tcPr>
          <w:p w14:paraId="10663B2D" w14:textId="53708522" w:rsidR="00B87095" w:rsidRPr="0035009E" w:rsidRDefault="00613DF2" w:rsidP="002146A2">
            <w:pPr>
              <w:spacing w:before="60"/>
              <w:ind w:left="110" w:hanging="110"/>
              <w:jc w:val="right"/>
              <w:rPr>
                <w:rFonts w:ascii="Arial" w:hAnsi="Arial" w:cs="Arial"/>
                <w:b/>
              </w:rPr>
            </w:pPr>
            <w:r w:rsidRPr="0035009E">
              <w:rPr>
                <w:rFonts w:ascii="Arial" w:hAnsi="Arial" w:cs="Arial"/>
                <w:b/>
              </w:rPr>
              <w:t>5</w:t>
            </w:r>
            <w:r w:rsidR="004226C9" w:rsidRPr="0035009E">
              <w:rPr>
                <w:rFonts w:ascii="Arial" w:hAnsi="Arial" w:cs="Arial"/>
                <w:b/>
              </w:rPr>
              <w:t>7</w:t>
            </w:r>
          </w:p>
        </w:tc>
        <w:tc>
          <w:tcPr>
            <w:tcW w:w="735" w:type="pct"/>
            <w:tcBorders>
              <w:top w:val="single" w:sz="4" w:space="0" w:color="auto"/>
            </w:tcBorders>
          </w:tcPr>
          <w:p w14:paraId="3CF8ED7D" w14:textId="77777777" w:rsidR="00B87095" w:rsidRPr="0035009E" w:rsidRDefault="00B87095" w:rsidP="002146A2">
            <w:pPr>
              <w:spacing w:before="60"/>
              <w:ind w:left="110" w:hanging="110"/>
              <w:jc w:val="right"/>
              <w:rPr>
                <w:rFonts w:ascii="Arial" w:hAnsi="Arial" w:cs="Arial"/>
                <w:b/>
              </w:rPr>
            </w:pPr>
            <w:r w:rsidRPr="0035009E">
              <w:rPr>
                <w:rFonts w:ascii="Arial" w:hAnsi="Arial" w:cs="Arial"/>
                <w:b/>
              </w:rPr>
              <w:t>-</w:t>
            </w:r>
          </w:p>
        </w:tc>
      </w:tr>
      <w:tr w:rsidR="007861AD" w:rsidRPr="00A845B7" w14:paraId="0FF0E4F6" w14:textId="77777777" w:rsidTr="00FF5257">
        <w:tc>
          <w:tcPr>
            <w:tcW w:w="1247" w:type="pct"/>
            <w:tcBorders>
              <w:top w:val="single" w:sz="4" w:space="0" w:color="auto"/>
            </w:tcBorders>
          </w:tcPr>
          <w:p w14:paraId="1C21C111" w14:textId="77777777" w:rsidR="007861AD" w:rsidRPr="004226C9" w:rsidRDefault="007861AD" w:rsidP="007861AD">
            <w:pPr>
              <w:ind w:left="110" w:hanging="110"/>
              <w:jc w:val="left"/>
              <w:rPr>
                <w:rFonts w:ascii="Arial" w:hAnsi="Arial" w:cs="Arial"/>
              </w:rPr>
            </w:pPr>
            <w:r w:rsidRPr="004226C9">
              <w:rPr>
                <w:rFonts w:ascii="Arial" w:hAnsi="Arial" w:cs="Arial"/>
              </w:rPr>
              <w:t>Castorama</w:t>
            </w:r>
            <w:r w:rsidRPr="004226C9" w:rsidDel="00CC3AB5">
              <w:rPr>
                <w:rFonts w:ascii="Arial" w:hAnsi="Arial" w:cs="Arial"/>
              </w:rPr>
              <w:t xml:space="preserve"> </w:t>
            </w:r>
          </w:p>
        </w:tc>
        <w:tc>
          <w:tcPr>
            <w:tcW w:w="792" w:type="pct"/>
            <w:tcBorders>
              <w:top w:val="single" w:sz="4" w:space="0" w:color="auto"/>
            </w:tcBorders>
          </w:tcPr>
          <w:p w14:paraId="55F869FD" w14:textId="4392A1F2" w:rsidR="007861AD" w:rsidRPr="004226C9" w:rsidRDefault="007861AD" w:rsidP="007861AD">
            <w:pPr>
              <w:spacing w:before="60"/>
              <w:ind w:left="110" w:hanging="110"/>
              <w:jc w:val="right"/>
              <w:rPr>
                <w:rFonts w:ascii="Arial" w:hAnsi="Arial" w:cs="Arial"/>
              </w:rPr>
            </w:pPr>
            <w:r w:rsidRPr="004226C9">
              <w:rPr>
                <w:rFonts w:ascii="Arial" w:hAnsi="Arial" w:cs="Arial"/>
              </w:rPr>
              <w:t>10,921</w:t>
            </w:r>
          </w:p>
        </w:tc>
        <w:tc>
          <w:tcPr>
            <w:tcW w:w="661" w:type="pct"/>
            <w:tcBorders>
              <w:top w:val="single" w:sz="4" w:space="0" w:color="auto"/>
            </w:tcBorders>
          </w:tcPr>
          <w:p w14:paraId="3606ED52" w14:textId="6B5B9BF3" w:rsidR="007861AD" w:rsidRPr="004226C9" w:rsidRDefault="007861AD" w:rsidP="007861AD">
            <w:pPr>
              <w:spacing w:before="60"/>
              <w:ind w:left="110" w:hanging="110"/>
              <w:jc w:val="right"/>
              <w:rPr>
                <w:rFonts w:ascii="Arial" w:hAnsi="Arial" w:cs="Arial"/>
              </w:rPr>
            </w:pPr>
            <w:r w:rsidRPr="004226C9">
              <w:rPr>
                <w:rFonts w:ascii="Arial" w:hAnsi="Arial" w:cs="Arial"/>
              </w:rPr>
              <w:t>101</w:t>
            </w:r>
          </w:p>
        </w:tc>
        <w:tc>
          <w:tcPr>
            <w:tcW w:w="830" w:type="pct"/>
            <w:tcBorders>
              <w:top w:val="single" w:sz="4" w:space="0" w:color="auto"/>
            </w:tcBorders>
          </w:tcPr>
          <w:p w14:paraId="42CB3788" w14:textId="347AADB8" w:rsidR="007861AD" w:rsidRPr="004226C9" w:rsidRDefault="007861AD" w:rsidP="007861AD">
            <w:pPr>
              <w:spacing w:before="60"/>
              <w:ind w:left="110" w:hanging="110"/>
              <w:jc w:val="right"/>
              <w:rPr>
                <w:rFonts w:ascii="Arial" w:hAnsi="Arial" w:cs="Arial"/>
              </w:rPr>
            </w:pPr>
            <w:r w:rsidRPr="004226C9">
              <w:rPr>
                <w:rFonts w:ascii="Arial" w:hAnsi="Arial" w:cs="Arial"/>
              </w:rPr>
              <w:t>1,250</w:t>
            </w:r>
          </w:p>
        </w:tc>
        <w:tc>
          <w:tcPr>
            <w:tcW w:w="735" w:type="pct"/>
            <w:tcBorders>
              <w:top w:val="single" w:sz="4" w:space="0" w:color="auto"/>
            </w:tcBorders>
          </w:tcPr>
          <w:p w14:paraId="091E46F5" w14:textId="69E66DCA" w:rsidR="007861AD" w:rsidRPr="0035009E" w:rsidRDefault="004226C9" w:rsidP="007861AD">
            <w:pPr>
              <w:spacing w:before="60"/>
              <w:ind w:left="110" w:hanging="110"/>
              <w:jc w:val="right"/>
              <w:rPr>
                <w:rFonts w:ascii="Arial" w:hAnsi="Arial" w:cs="Arial"/>
              </w:rPr>
            </w:pPr>
            <w:r w:rsidRPr="0035009E">
              <w:rPr>
                <w:rFonts w:ascii="Arial" w:hAnsi="Arial" w:cs="Arial"/>
              </w:rPr>
              <w:t>2</w:t>
            </w:r>
          </w:p>
        </w:tc>
        <w:tc>
          <w:tcPr>
            <w:tcW w:w="735" w:type="pct"/>
            <w:tcBorders>
              <w:top w:val="single" w:sz="4" w:space="0" w:color="auto"/>
            </w:tcBorders>
          </w:tcPr>
          <w:p w14:paraId="6994E3B7" w14:textId="480EE09C" w:rsidR="007861AD" w:rsidRPr="0035009E" w:rsidRDefault="00BF260C" w:rsidP="007861AD">
            <w:pPr>
              <w:spacing w:before="60"/>
              <w:ind w:left="110" w:hanging="110"/>
              <w:jc w:val="right"/>
              <w:rPr>
                <w:rFonts w:ascii="Arial" w:hAnsi="Arial" w:cs="Arial"/>
              </w:rPr>
            </w:pPr>
            <w:r w:rsidRPr="0035009E">
              <w:rPr>
                <w:rFonts w:ascii="Arial" w:hAnsi="Arial" w:cs="Arial"/>
              </w:rPr>
              <w:t>(</w:t>
            </w:r>
            <w:proofErr w:type="gramStart"/>
            <w:r w:rsidRPr="0035009E">
              <w:rPr>
                <w:rFonts w:ascii="Arial" w:hAnsi="Arial" w:cs="Arial"/>
              </w:rPr>
              <w:t>1)%</w:t>
            </w:r>
            <w:proofErr w:type="gramEnd"/>
          </w:p>
        </w:tc>
      </w:tr>
      <w:tr w:rsidR="007861AD" w:rsidRPr="00A845B7" w14:paraId="59805774" w14:textId="77777777" w:rsidTr="00FF5257">
        <w:tc>
          <w:tcPr>
            <w:tcW w:w="1247" w:type="pct"/>
            <w:tcBorders>
              <w:bottom w:val="single" w:sz="4" w:space="0" w:color="auto"/>
            </w:tcBorders>
          </w:tcPr>
          <w:p w14:paraId="278C600D" w14:textId="77777777" w:rsidR="007861AD" w:rsidRPr="004226C9" w:rsidRDefault="007861AD" w:rsidP="007861AD">
            <w:pPr>
              <w:ind w:left="110" w:hanging="110"/>
              <w:jc w:val="left"/>
              <w:rPr>
                <w:rFonts w:ascii="Arial" w:hAnsi="Arial" w:cs="Arial"/>
              </w:rPr>
            </w:pPr>
            <w:r w:rsidRPr="004226C9">
              <w:rPr>
                <w:rFonts w:ascii="Arial" w:hAnsi="Arial" w:cs="Arial"/>
              </w:rPr>
              <w:t>Brico Dépôt</w:t>
            </w:r>
          </w:p>
        </w:tc>
        <w:tc>
          <w:tcPr>
            <w:tcW w:w="792" w:type="pct"/>
            <w:tcBorders>
              <w:bottom w:val="single" w:sz="4" w:space="0" w:color="auto"/>
            </w:tcBorders>
          </w:tcPr>
          <w:p w14:paraId="4F4D8C6B" w14:textId="389B96F3" w:rsidR="007861AD" w:rsidRPr="004226C9" w:rsidRDefault="007861AD" w:rsidP="007861AD">
            <w:pPr>
              <w:spacing w:before="60"/>
              <w:ind w:left="110" w:hanging="110"/>
              <w:jc w:val="right"/>
              <w:rPr>
                <w:rFonts w:ascii="Arial" w:hAnsi="Arial" w:cs="Arial"/>
              </w:rPr>
            </w:pPr>
            <w:r w:rsidRPr="004226C9">
              <w:rPr>
                <w:rFonts w:ascii="Arial" w:hAnsi="Arial" w:cs="Arial"/>
              </w:rPr>
              <w:t>7,390</w:t>
            </w:r>
          </w:p>
        </w:tc>
        <w:tc>
          <w:tcPr>
            <w:tcW w:w="661" w:type="pct"/>
            <w:tcBorders>
              <w:bottom w:val="single" w:sz="4" w:space="0" w:color="auto"/>
            </w:tcBorders>
          </w:tcPr>
          <w:p w14:paraId="6D10B976" w14:textId="43FAC497" w:rsidR="007861AD" w:rsidRPr="004226C9" w:rsidRDefault="007861AD" w:rsidP="007861AD">
            <w:pPr>
              <w:spacing w:before="60"/>
              <w:ind w:left="110" w:hanging="110"/>
              <w:jc w:val="right"/>
              <w:rPr>
                <w:rFonts w:ascii="Arial" w:hAnsi="Arial" w:cs="Arial"/>
              </w:rPr>
            </w:pPr>
            <w:r w:rsidRPr="004226C9">
              <w:rPr>
                <w:rFonts w:ascii="Arial" w:hAnsi="Arial" w:cs="Arial"/>
              </w:rPr>
              <w:t>123</w:t>
            </w:r>
          </w:p>
        </w:tc>
        <w:tc>
          <w:tcPr>
            <w:tcW w:w="830" w:type="pct"/>
            <w:tcBorders>
              <w:bottom w:val="single" w:sz="4" w:space="0" w:color="auto"/>
            </w:tcBorders>
          </w:tcPr>
          <w:p w14:paraId="35A7E6D8" w14:textId="0654A64E" w:rsidR="007861AD" w:rsidRPr="004226C9" w:rsidRDefault="007861AD" w:rsidP="007861AD">
            <w:pPr>
              <w:spacing w:before="60"/>
              <w:ind w:left="110" w:hanging="110"/>
              <w:jc w:val="right"/>
              <w:rPr>
                <w:rFonts w:ascii="Arial" w:hAnsi="Arial" w:cs="Arial"/>
              </w:rPr>
            </w:pPr>
            <w:r w:rsidRPr="004226C9">
              <w:rPr>
                <w:rFonts w:ascii="Arial" w:hAnsi="Arial" w:cs="Arial"/>
              </w:rPr>
              <w:t>850</w:t>
            </w:r>
          </w:p>
        </w:tc>
        <w:tc>
          <w:tcPr>
            <w:tcW w:w="735" w:type="pct"/>
            <w:tcBorders>
              <w:bottom w:val="single" w:sz="4" w:space="0" w:color="auto"/>
            </w:tcBorders>
          </w:tcPr>
          <w:p w14:paraId="054FB36E" w14:textId="7DCB8EAB" w:rsidR="007861AD" w:rsidRPr="0035009E" w:rsidRDefault="00BF260C" w:rsidP="007861AD">
            <w:pPr>
              <w:spacing w:before="60"/>
              <w:ind w:left="110" w:hanging="110"/>
              <w:jc w:val="right"/>
              <w:rPr>
                <w:rFonts w:ascii="Arial" w:hAnsi="Arial" w:cs="Arial"/>
              </w:rPr>
            </w:pPr>
            <w:r w:rsidRPr="0035009E">
              <w:rPr>
                <w:rFonts w:ascii="Arial" w:hAnsi="Arial" w:cs="Arial"/>
              </w:rPr>
              <w:t>(1)</w:t>
            </w:r>
          </w:p>
        </w:tc>
        <w:tc>
          <w:tcPr>
            <w:tcW w:w="735" w:type="pct"/>
            <w:tcBorders>
              <w:bottom w:val="single" w:sz="4" w:space="0" w:color="auto"/>
            </w:tcBorders>
          </w:tcPr>
          <w:p w14:paraId="5DA336F6" w14:textId="052D39B3" w:rsidR="007861AD" w:rsidRPr="0035009E" w:rsidRDefault="00BF260C" w:rsidP="007861AD">
            <w:pPr>
              <w:spacing w:before="60"/>
              <w:ind w:left="110" w:hanging="110"/>
              <w:jc w:val="right"/>
              <w:rPr>
                <w:rFonts w:ascii="Arial" w:hAnsi="Arial" w:cs="Arial"/>
              </w:rPr>
            </w:pPr>
            <w:r w:rsidRPr="0035009E">
              <w:rPr>
                <w:rFonts w:ascii="Arial" w:hAnsi="Arial" w:cs="Arial"/>
              </w:rPr>
              <w:t>(</w:t>
            </w:r>
            <w:proofErr w:type="gramStart"/>
            <w:r w:rsidRPr="0035009E">
              <w:rPr>
                <w:rFonts w:ascii="Arial" w:hAnsi="Arial" w:cs="Arial"/>
              </w:rPr>
              <w:t>1)%</w:t>
            </w:r>
            <w:proofErr w:type="gramEnd"/>
          </w:p>
        </w:tc>
      </w:tr>
      <w:tr w:rsidR="007861AD" w:rsidRPr="008863CF" w14:paraId="1D5F3357" w14:textId="77777777" w:rsidTr="00925EFB">
        <w:tc>
          <w:tcPr>
            <w:tcW w:w="1247" w:type="pct"/>
            <w:tcBorders>
              <w:top w:val="single" w:sz="4" w:space="0" w:color="auto"/>
              <w:bottom w:val="single" w:sz="4" w:space="0" w:color="auto"/>
            </w:tcBorders>
          </w:tcPr>
          <w:p w14:paraId="2BA7E00C" w14:textId="77777777" w:rsidR="007861AD" w:rsidRPr="004226C9" w:rsidRDefault="007861AD" w:rsidP="007861AD">
            <w:pPr>
              <w:ind w:left="110" w:hanging="110"/>
              <w:jc w:val="left"/>
              <w:rPr>
                <w:rFonts w:ascii="Arial" w:hAnsi="Arial" w:cs="Arial"/>
                <w:b/>
                <w:bCs/>
              </w:rPr>
            </w:pPr>
            <w:r w:rsidRPr="004226C9">
              <w:rPr>
                <w:rFonts w:ascii="Arial" w:hAnsi="Arial" w:cs="Arial"/>
                <w:b/>
                <w:bCs/>
              </w:rPr>
              <w:t>France</w:t>
            </w:r>
          </w:p>
        </w:tc>
        <w:tc>
          <w:tcPr>
            <w:tcW w:w="792" w:type="pct"/>
            <w:tcBorders>
              <w:top w:val="single" w:sz="4" w:space="0" w:color="auto"/>
              <w:bottom w:val="single" w:sz="4" w:space="0" w:color="auto"/>
            </w:tcBorders>
          </w:tcPr>
          <w:p w14:paraId="624AFD35" w14:textId="01A29E72" w:rsidR="007861AD" w:rsidRPr="004226C9" w:rsidRDefault="007861AD" w:rsidP="007861AD">
            <w:pPr>
              <w:spacing w:before="60"/>
              <w:ind w:left="110" w:hanging="110"/>
              <w:jc w:val="right"/>
              <w:rPr>
                <w:rFonts w:ascii="Arial" w:hAnsi="Arial" w:cs="Arial"/>
                <w:b/>
              </w:rPr>
            </w:pPr>
            <w:r w:rsidRPr="004226C9">
              <w:rPr>
                <w:rFonts w:ascii="Arial" w:hAnsi="Arial" w:cs="Arial"/>
                <w:b/>
              </w:rPr>
              <w:t>18,311</w:t>
            </w:r>
          </w:p>
        </w:tc>
        <w:tc>
          <w:tcPr>
            <w:tcW w:w="661" w:type="pct"/>
            <w:tcBorders>
              <w:top w:val="single" w:sz="4" w:space="0" w:color="auto"/>
              <w:bottom w:val="single" w:sz="4" w:space="0" w:color="auto"/>
            </w:tcBorders>
          </w:tcPr>
          <w:p w14:paraId="71E0B3B7" w14:textId="56A5328F" w:rsidR="007861AD" w:rsidRPr="004226C9" w:rsidRDefault="007861AD" w:rsidP="007861AD">
            <w:pPr>
              <w:spacing w:before="60"/>
              <w:ind w:left="110" w:hanging="110"/>
              <w:jc w:val="right"/>
              <w:rPr>
                <w:rFonts w:ascii="Arial" w:hAnsi="Arial" w:cs="Arial"/>
                <w:b/>
              </w:rPr>
            </w:pPr>
            <w:r w:rsidRPr="004226C9">
              <w:rPr>
                <w:rFonts w:ascii="Arial" w:hAnsi="Arial" w:cs="Arial"/>
                <w:b/>
              </w:rPr>
              <w:t>224</w:t>
            </w:r>
          </w:p>
        </w:tc>
        <w:tc>
          <w:tcPr>
            <w:tcW w:w="830" w:type="pct"/>
            <w:tcBorders>
              <w:top w:val="single" w:sz="4" w:space="0" w:color="auto"/>
              <w:bottom w:val="single" w:sz="4" w:space="0" w:color="auto"/>
            </w:tcBorders>
          </w:tcPr>
          <w:p w14:paraId="545B6F09" w14:textId="1A918C2B" w:rsidR="007861AD" w:rsidRPr="004226C9" w:rsidRDefault="007861AD" w:rsidP="007861AD">
            <w:pPr>
              <w:spacing w:before="60"/>
              <w:ind w:left="110" w:hanging="110"/>
              <w:jc w:val="right"/>
              <w:rPr>
                <w:rFonts w:ascii="Arial" w:hAnsi="Arial" w:cs="Arial"/>
                <w:b/>
              </w:rPr>
            </w:pPr>
            <w:r w:rsidRPr="004226C9">
              <w:rPr>
                <w:rFonts w:ascii="Arial" w:hAnsi="Arial" w:cs="Arial"/>
                <w:b/>
              </w:rPr>
              <w:t>2,100</w:t>
            </w:r>
          </w:p>
        </w:tc>
        <w:tc>
          <w:tcPr>
            <w:tcW w:w="735" w:type="pct"/>
            <w:tcBorders>
              <w:top w:val="single" w:sz="4" w:space="0" w:color="auto"/>
              <w:bottom w:val="single" w:sz="4" w:space="0" w:color="auto"/>
            </w:tcBorders>
          </w:tcPr>
          <w:p w14:paraId="52BF9A57" w14:textId="50BD181F" w:rsidR="007861AD" w:rsidRPr="0035009E" w:rsidRDefault="004226C9" w:rsidP="007861AD">
            <w:pPr>
              <w:spacing w:before="60"/>
              <w:ind w:left="110" w:hanging="110"/>
              <w:jc w:val="right"/>
              <w:rPr>
                <w:rFonts w:ascii="Arial" w:hAnsi="Arial" w:cs="Arial"/>
                <w:b/>
              </w:rPr>
            </w:pPr>
            <w:r w:rsidRPr="0035009E">
              <w:rPr>
                <w:rFonts w:ascii="Arial" w:hAnsi="Arial" w:cs="Arial"/>
                <w:b/>
              </w:rPr>
              <w:t>1</w:t>
            </w:r>
          </w:p>
        </w:tc>
        <w:tc>
          <w:tcPr>
            <w:tcW w:w="735" w:type="pct"/>
            <w:tcBorders>
              <w:top w:val="single" w:sz="4" w:space="0" w:color="auto"/>
              <w:bottom w:val="single" w:sz="4" w:space="0" w:color="auto"/>
            </w:tcBorders>
          </w:tcPr>
          <w:p w14:paraId="1B90CEEE" w14:textId="01533C5A" w:rsidR="007861AD" w:rsidRPr="0035009E" w:rsidRDefault="00BF260C" w:rsidP="007861AD">
            <w:pPr>
              <w:spacing w:before="60"/>
              <w:ind w:left="110" w:hanging="110"/>
              <w:jc w:val="right"/>
              <w:rPr>
                <w:rFonts w:ascii="Arial" w:hAnsi="Arial" w:cs="Arial"/>
                <w:b/>
              </w:rPr>
            </w:pPr>
            <w:r w:rsidRPr="0035009E">
              <w:rPr>
                <w:rFonts w:ascii="Arial" w:hAnsi="Arial" w:cs="Arial"/>
              </w:rPr>
              <w:t>(</w:t>
            </w:r>
            <w:proofErr w:type="gramStart"/>
            <w:r w:rsidRPr="0035009E">
              <w:rPr>
                <w:rFonts w:ascii="Arial" w:hAnsi="Arial" w:cs="Arial"/>
              </w:rPr>
              <w:t>1)%</w:t>
            </w:r>
            <w:proofErr w:type="gramEnd"/>
          </w:p>
        </w:tc>
      </w:tr>
      <w:tr w:rsidR="00B87095" w:rsidRPr="004226C9" w14:paraId="334918C9" w14:textId="77777777" w:rsidTr="00925EFB">
        <w:tc>
          <w:tcPr>
            <w:tcW w:w="1247" w:type="pct"/>
            <w:tcBorders>
              <w:top w:val="single" w:sz="4" w:space="0" w:color="auto"/>
            </w:tcBorders>
          </w:tcPr>
          <w:p w14:paraId="684150E4" w14:textId="2E6BD531" w:rsidR="00B87095" w:rsidRPr="004226C9" w:rsidRDefault="00770CCA" w:rsidP="00B87095">
            <w:pPr>
              <w:spacing w:before="60"/>
              <w:ind w:left="110" w:hanging="110"/>
              <w:jc w:val="left"/>
              <w:rPr>
                <w:rFonts w:ascii="Arial" w:hAnsi="Arial" w:cs="Arial"/>
              </w:rPr>
            </w:pPr>
            <w:r w:rsidRPr="004226C9">
              <w:rPr>
                <w:rFonts w:ascii="Arial" w:hAnsi="Arial" w:cs="Arial"/>
              </w:rPr>
              <w:t>Iberia</w:t>
            </w:r>
          </w:p>
        </w:tc>
        <w:tc>
          <w:tcPr>
            <w:tcW w:w="792" w:type="pct"/>
            <w:tcBorders>
              <w:top w:val="single" w:sz="4" w:space="0" w:color="auto"/>
            </w:tcBorders>
          </w:tcPr>
          <w:p w14:paraId="2CC93530" w14:textId="699B5B89" w:rsidR="00B87095" w:rsidRPr="004226C9" w:rsidRDefault="00B87095" w:rsidP="00B87095">
            <w:pPr>
              <w:spacing w:before="60"/>
              <w:ind w:left="110" w:hanging="110"/>
              <w:jc w:val="right"/>
              <w:rPr>
                <w:rFonts w:ascii="Arial" w:hAnsi="Arial" w:cs="Arial"/>
              </w:rPr>
            </w:pPr>
            <w:r w:rsidRPr="004226C9">
              <w:rPr>
                <w:rFonts w:ascii="Arial" w:hAnsi="Arial" w:cs="Arial"/>
              </w:rPr>
              <w:t>1</w:t>
            </w:r>
            <w:r w:rsidR="00770CCA" w:rsidRPr="004226C9">
              <w:rPr>
                <w:rFonts w:ascii="Arial" w:hAnsi="Arial" w:cs="Arial"/>
              </w:rPr>
              <w:t>,824</w:t>
            </w:r>
          </w:p>
        </w:tc>
        <w:tc>
          <w:tcPr>
            <w:tcW w:w="661" w:type="pct"/>
            <w:tcBorders>
              <w:top w:val="single" w:sz="4" w:space="0" w:color="auto"/>
            </w:tcBorders>
          </w:tcPr>
          <w:p w14:paraId="3E0A3DAA" w14:textId="6DF35569" w:rsidR="00B87095" w:rsidRPr="004226C9" w:rsidRDefault="00770CCA" w:rsidP="00B87095">
            <w:pPr>
              <w:spacing w:before="60"/>
              <w:ind w:left="110" w:hanging="110"/>
              <w:jc w:val="right"/>
              <w:rPr>
                <w:rFonts w:ascii="Arial" w:hAnsi="Arial" w:cs="Arial"/>
              </w:rPr>
            </w:pPr>
            <w:r w:rsidRPr="004226C9">
              <w:rPr>
                <w:rFonts w:ascii="Arial" w:hAnsi="Arial" w:cs="Arial"/>
              </w:rPr>
              <w:t>31</w:t>
            </w:r>
          </w:p>
        </w:tc>
        <w:tc>
          <w:tcPr>
            <w:tcW w:w="830" w:type="pct"/>
            <w:tcBorders>
              <w:top w:val="single" w:sz="4" w:space="0" w:color="auto"/>
            </w:tcBorders>
          </w:tcPr>
          <w:p w14:paraId="29EC8AAF" w14:textId="18EBA300" w:rsidR="00B87095" w:rsidRPr="004226C9" w:rsidRDefault="00770CCA" w:rsidP="00B87095">
            <w:pPr>
              <w:spacing w:before="60"/>
              <w:ind w:left="110" w:hanging="110"/>
              <w:jc w:val="right"/>
              <w:rPr>
                <w:rFonts w:ascii="Arial" w:hAnsi="Arial" w:cs="Arial"/>
              </w:rPr>
            </w:pPr>
            <w:r w:rsidRPr="004226C9">
              <w:rPr>
                <w:rFonts w:ascii="Arial" w:hAnsi="Arial" w:cs="Arial"/>
              </w:rPr>
              <w:t>195</w:t>
            </w:r>
          </w:p>
        </w:tc>
        <w:tc>
          <w:tcPr>
            <w:tcW w:w="735" w:type="pct"/>
            <w:tcBorders>
              <w:top w:val="single" w:sz="4" w:space="0" w:color="auto"/>
            </w:tcBorders>
          </w:tcPr>
          <w:p w14:paraId="729132F0" w14:textId="22D902D4" w:rsidR="00B87095" w:rsidRPr="0035009E" w:rsidRDefault="00770CCA" w:rsidP="00B87095">
            <w:pPr>
              <w:spacing w:before="60"/>
              <w:ind w:left="110" w:hanging="110"/>
              <w:jc w:val="right"/>
              <w:rPr>
                <w:rFonts w:ascii="Arial" w:hAnsi="Arial" w:cs="Arial"/>
              </w:rPr>
            </w:pPr>
            <w:r w:rsidRPr="0035009E">
              <w:rPr>
                <w:rFonts w:ascii="Arial" w:hAnsi="Arial" w:cs="Arial"/>
              </w:rPr>
              <w:t>-</w:t>
            </w:r>
          </w:p>
        </w:tc>
        <w:tc>
          <w:tcPr>
            <w:tcW w:w="735" w:type="pct"/>
            <w:tcBorders>
              <w:top w:val="single" w:sz="4" w:space="0" w:color="auto"/>
            </w:tcBorders>
          </w:tcPr>
          <w:p w14:paraId="475C1973" w14:textId="713EE910" w:rsidR="00B87095" w:rsidRPr="0035009E" w:rsidRDefault="00F770A3" w:rsidP="00B87095">
            <w:pPr>
              <w:spacing w:before="60"/>
              <w:ind w:left="110" w:hanging="110"/>
              <w:jc w:val="right"/>
              <w:rPr>
                <w:rFonts w:ascii="Arial" w:hAnsi="Arial" w:cs="Arial"/>
              </w:rPr>
            </w:pPr>
            <w:r w:rsidRPr="0035009E">
              <w:rPr>
                <w:rFonts w:ascii="Arial" w:hAnsi="Arial" w:cs="Arial"/>
              </w:rPr>
              <w:t>-</w:t>
            </w:r>
          </w:p>
        </w:tc>
      </w:tr>
      <w:tr w:rsidR="00770CCA" w:rsidRPr="004226C9" w14:paraId="0CB21B5E" w14:textId="77777777" w:rsidTr="00FD5A2D">
        <w:tc>
          <w:tcPr>
            <w:tcW w:w="1247" w:type="pct"/>
          </w:tcPr>
          <w:p w14:paraId="6F32182A" w14:textId="3246F380" w:rsidR="00770CCA" w:rsidRPr="004226C9" w:rsidRDefault="00770CCA" w:rsidP="00770CCA">
            <w:pPr>
              <w:ind w:left="110" w:hanging="110"/>
              <w:jc w:val="left"/>
              <w:rPr>
                <w:rFonts w:ascii="Arial" w:hAnsi="Arial" w:cs="Arial"/>
                <w:lang w:val="it-IT"/>
              </w:rPr>
            </w:pPr>
            <w:r w:rsidRPr="004226C9">
              <w:rPr>
                <w:rFonts w:ascii="Arial" w:hAnsi="Arial" w:cs="Arial"/>
              </w:rPr>
              <w:t>Poland</w:t>
            </w:r>
          </w:p>
        </w:tc>
        <w:tc>
          <w:tcPr>
            <w:tcW w:w="792" w:type="pct"/>
          </w:tcPr>
          <w:p w14:paraId="6FD5E350" w14:textId="02EEFE32" w:rsidR="00770CCA" w:rsidRPr="004226C9" w:rsidRDefault="00770CCA" w:rsidP="00770CCA">
            <w:pPr>
              <w:spacing w:before="60"/>
              <w:ind w:left="110" w:hanging="110"/>
              <w:jc w:val="right"/>
              <w:rPr>
                <w:rFonts w:ascii="Arial" w:hAnsi="Arial" w:cs="Arial"/>
              </w:rPr>
            </w:pPr>
            <w:r w:rsidRPr="004226C9">
              <w:rPr>
                <w:rFonts w:ascii="Arial" w:hAnsi="Arial" w:cs="Arial"/>
              </w:rPr>
              <w:t>10,988</w:t>
            </w:r>
          </w:p>
        </w:tc>
        <w:tc>
          <w:tcPr>
            <w:tcW w:w="661" w:type="pct"/>
          </w:tcPr>
          <w:p w14:paraId="7B7E6F2B" w14:textId="5C1A5008" w:rsidR="00770CCA" w:rsidRPr="004226C9" w:rsidRDefault="00770CCA" w:rsidP="00770CCA">
            <w:pPr>
              <w:spacing w:before="60"/>
              <w:ind w:left="110" w:hanging="110"/>
              <w:jc w:val="right"/>
              <w:rPr>
                <w:rFonts w:ascii="Arial" w:hAnsi="Arial" w:cs="Arial"/>
              </w:rPr>
            </w:pPr>
            <w:r w:rsidRPr="004226C9">
              <w:rPr>
                <w:rFonts w:ascii="Arial" w:hAnsi="Arial" w:cs="Arial"/>
              </w:rPr>
              <w:t>76</w:t>
            </w:r>
          </w:p>
        </w:tc>
        <w:tc>
          <w:tcPr>
            <w:tcW w:w="830" w:type="pct"/>
          </w:tcPr>
          <w:p w14:paraId="3C7BAF3F" w14:textId="323D1CA2" w:rsidR="00770CCA" w:rsidRPr="004226C9" w:rsidRDefault="00770CCA" w:rsidP="00770CCA">
            <w:pPr>
              <w:spacing w:before="60"/>
              <w:ind w:left="110" w:hanging="110"/>
              <w:jc w:val="right"/>
              <w:rPr>
                <w:rFonts w:ascii="Arial" w:hAnsi="Arial" w:cs="Arial"/>
              </w:rPr>
            </w:pPr>
            <w:r w:rsidRPr="004226C9">
              <w:rPr>
                <w:rFonts w:ascii="Arial" w:hAnsi="Arial" w:cs="Arial"/>
              </w:rPr>
              <w:t>652</w:t>
            </w:r>
          </w:p>
        </w:tc>
        <w:tc>
          <w:tcPr>
            <w:tcW w:w="735" w:type="pct"/>
          </w:tcPr>
          <w:p w14:paraId="6FFEC9A4" w14:textId="157FF6A3" w:rsidR="00770CCA" w:rsidRPr="0035009E" w:rsidRDefault="00F770A3" w:rsidP="00770CCA">
            <w:pPr>
              <w:spacing w:before="60"/>
              <w:ind w:left="110" w:hanging="110"/>
              <w:jc w:val="right"/>
              <w:rPr>
                <w:rFonts w:ascii="Arial" w:hAnsi="Arial" w:cs="Arial"/>
              </w:rPr>
            </w:pPr>
            <w:r w:rsidRPr="0035009E">
              <w:rPr>
                <w:rFonts w:ascii="Arial" w:hAnsi="Arial" w:cs="Arial"/>
              </w:rPr>
              <w:t>6</w:t>
            </w:r>
          </w:p>
        </w:tc>
        <w:tc>
          <w:tcPr>
            <w:tcW w:w="735" w:type="pct"/>
          </w:tcPr>
          <w:p w14:paraId="1C8A9CE7" w14:textId="692598EA" w:rsidR="00770CCA" w:rsidRPr="0035009E" w:rsidRDefault="00F770A3" w:rsidP="00770CCA">
            <w:pPr>
              <w:spacing w:before="60"/>
              <w:ind w:left="110" w:hanging="110"/>
              <w:jc w:val="right"/>
              <w:rPr>
                <w:rFonts w:ascii="Arial" w:hAnsi="Arial" w:cs="Arial"/>
              </w:rPr>
            </w:pPr>
            <w:r w:rsidRPr="0035009E">
              <w:rPr>
                <w:rFonts w:ascii="Arial" w:hAnsi="Arial" w:cs="Arial"/>
              </w:rPr>
              <w:t>+8%</w:t>
            </w:r>
          </w:p>
        </w:tc>
      </w:tr>
      <w:tr w:rsidR="00770CCA" w:rsidRPr="004226C9" w14:paraId="2B30C5C6" w14:textId="77777777" w:rsidTr="00FD5A2D">
        <w:tc>
          <w:tcPr>
            <w:tcW w:w="1247" w:type="pct"/>
          </w:tcPr>
          <w:p w14:paraId="48223CD9" w14:textId="77777777" w:rsidR="00770CCA" w:rsidRPr="004226C9" w:rsidRDefault="00770CCA" w:rsidP="00770CCA">
            <w:pPr>
              <w:ind w:left="110" w:hanging="110"/>
              <w:jc w:val="left"/>
              <w:rPr>
                <w:rFonts w:ascii="Arial" w:hAnsi="Arial" w:cs="Arial"/>
                <w:lang w:val="it-IT"/>
              </w:rPr>
            </w:pPr>
            <w:r w:rsidRPr="004226C9">
              <w:rPr>
                <w:rFonts w:ascii="Arial" w:hAnsi="Arial" w:cs="Arial"/>
                <w:lang w:val="it-IT"/>
              </w:rPr>
              <w:t>Romania</w:t>
            </w:r>
          </w:p>
        </w:tc>
        <w:tc>
          <w:tcPr>
            <w:tcW w:w="792" w:type="pct"/>
          </w:tcPr>
          <w:p w14:paraId="648537DB" w14:textId="52217894" w:rsidR="00770CCA" w:rsidRPr="004226C9" w:rsidRDefault="00E616F1" w:rsidP="00770CCA">
            <w:pPr>
              <w:spacing w:before="60"/>
              <w:ind w:left="110" w:hanging="110"/>
              <w:jc w:val="right"/>
              <w:rPr>
                <w:rFonts w:ascii="Arial" w:hAnsi="Arial" w:cs="Arial"/>
              </w:rPr>
            </w:pPr>
            <w:r w:rsidRPr="004226C9">
              <w:rPr>
                <w:rFonts w:ascii="Arial" w:hAnsi="Arial" w:cs="Arial"/>
              </w:rPr>
              <w:t>2,538</w:t>
            </w:r>
          </w:p>
        </w:tc>
        <w:tc>
          <w:tcPr>
            <w:tcW w:w="661" w:type="pct"/>
          </w:tcPr>
          <w:p w14:paraId="65BCC365" w14:textId="0BAA6454" w:rsidR="00770CCA" w:rsidRPr="004226C9" w:rsidRDefault="00770CCA" w:rsidP="00770CCA">
            <w:pPr>
              <w:spacing w:before="60"/>
              <w:ind w:left="110" w:hanging="110"/>
              <w:jc w:val="right"/>
              <w:rPr>
                <w:rFonts w:ascii="Arial" w:hAnsi="Arial" w:cs="Arial"/>
              </w:rPr>
            </w:pPr>
            <w:r w:rsidRPr="004226C9">
              <w:rPr>
                <w:rFonts w:ascii="Arial" w:hAnsi="Arial" w:cs="Arial"/>
              </w:rPr>
              <w:t>38</w:t>
            </w:r>
          </w:p>
        </w:tc>
        <w:tc>
          <w:tcPr>
            <w:tcW w:w="830" w:type="pct"/>
          </w:tcPr>
          <w:p w14:paraId="15A0D6AE" w14:textId="22D7A0C4" w:rsidR="00770CCA" w:rsidRPr="004226C9" w:rsidRDefault="00770CCA" w:rsidP="00770CCA">
            <w:pPr>
              <w:spacing w:before="60"/>
              <w:ind w:left="110" w:hanging="110"/>
              <w:jc w:val="right"/>
              <w:rPr>
                <w:rFonts w:ascii="Arial" w:hAnsi="Arial" w:cs="Arial"/>
                <w:vertAlign w:val="superscript"/>
              </w:rPr>
            </w:pPr>
            <w:r w:rsidRPr="004226C9">
              <w:rPr>
                <w:rFonts w:ascii="Arial" w:hAnsi="Arial" w:cs="Arial"/>
              </w:rPr>
              <w:t>273</w:t>
            </w:r>
          </w:p>
        </w:tc>
        <w:tc>
          <w:tcPr>
            <w:tcW w:w="735" w:type="pct"/>
          </w:tcPr>
          <w:p w14:paraId="565894A5" w14:textId="691BA406" w:rsidR="00770CCA" w:rsidRPr="0035009E" w:rsidRDefault="00F770A3" w:rsidP="00770CCA">
            <w:pPr>
              <w:spacing w:before="60"/>
              <w:ind w:left="110" w:hanging="110"/>
              <w:jc w:val="right"/>
              <w:rPr>
                <w:rFonts w:ascii="Arial" w:hAnsi="Arial" w:cs="Arial"/>
              </w:rPr>
            </w:pPr>
            <w:r w:rsidRPr="0035009E">
              <w:rPr>
                <w:rFonts w:ascii="Arial" w:hAnsi="Arial" w:cs="Arial"/>
              </w:rPr>
              <w:t>(3)</w:t>
            </w:r>
          </w:p>
        </w:tc>
        <w:tc>
          <w:tcPr>
            <w:tcW w:w="735" w:type="pct"/>
          </w:tcPr>
          <w:p w14:paraId="1F4B6A11" w14:textId="64706759" w:rsidR="00770CCA" w:rsidRPr="0035009E" w:rsidRDefault="00F770A3" w:rsidP="00770CCA">
            <w:pPr>
              <w:spacing w:before="60"/>
              <w:ind w:left="110" w:hanging="110"/>
              <w:jc w:val="right"/>
              <w:rPr>
                <w:rFonts w:ascii="Arial" w:hAnsi="Arial" w:cs="Arial"/>
              </w:rPr>
            </w:pPr>
            <w:r w:rsidRPr="0035009E">
              <w:rPr>
                <w:rFonts w:ascii="Arial" w:hAnsi="Arial" w:cs="Arial"/>
              </w:rPr>
              <w:t>(</w:t>
            </w:r>
            <w:proofErr w:type="gramStart"/>
            <w:r w:rsidRPr="0035009E">
              <w:rPr>
                <w:rFonts w:ascii="Arial" w:hAnsi="Arial" w:cs="Arial"/>
              </w:rPr>
              <w:t>8)%</w:t>
            </w:r>
            <w:proofErr w:type="gramEnd"/>
          </w:p>
        </w:tc>
      </w:tr>
      <w:tr w:rsidR="00770CCA" w:rsidRPr="004226C9" w14:paraId="001D93A9" w14:textId="77777777" w:rsidTr="00FD5A2D">
        <w:tc>
          <w:tcPr>
            <w:tcW w:w="1247" w:type="pct"/>
          </w:tcPr>
          <w:p w14:paraId="09200E3B" w14:textId="77777777" w:rsidR="00770CCA" w:rsidRPr="004226C9" w:rsidRDefault="00770CCA" w:rsidP="00770CCA">
            <w:pPr>
              <w:jc w:val="left"/>
              <w:rPr>
                <w:rFonts w:ascii="Arial" w:hAnsi="Arial" w:cs="Arial"/>
                <w:lang w:val="it-IT"/>
              </w:rPr>
            </w:pPr>
            <w:r w:rsidRPr="004226C9">
              <w:rPr>
                <w:rFonts w:ascii="Arial" w:hAnsi="Arial" w:cs="Arial"/>
                <w:lang w:val="it-IT"/>
              </w:rPr>
              <w:t>Russia</w:t>
            </w:r>
          </w:p>
        </w:tc>
        <w:tc>
          <w:tcPr>
            <w:tcW w:w="792" w:type="pct"/>
          </w:tcPr>
          <w:p w14:paraId="2DCEA3FC" w14:textId="453F4629" w:rsidR="00770CCA" w:rsidRPr="004226C9" w:rsidRDefault="00770CCA" w:rsidP="00770CCA">
            <w:pPr>
              <w:spacing w:before="60"/>
              <w:ind w:left="110" w:hanging="110"/>
              <w:jc w:val="right"/>
              <w:rPr>
                <w:rFonts w:ascii="Arial" w:hAnsi="Arial" w:cs="Arial"/>
              </w:rPr>
            </w:pPr>
            <w:r w:rsidRPr="004226C9">
              <w:rPr>
                <w:rFonts w:ascii="Arial" w:hAnsi="Arial" w:cs="Arial"/>
              </w:rPr>
              <w:t>3,157</w:t>
            </w:r>
          </w:p>
        </w:tc>
        <w:tc>
          <w:tcPr>
            <w:tcW w:w="661" w:type="pct"/>
          </w:tcPr>
          <w:p w14:paraId="6B75B703" w14:textId="0E04ED87" w:rsidR="00770CCA" w:rsidRPr="004226C9" w:rsidRDefault="00770CCA" w:rsidP="00770CCA">
            <w:pPr>
              <w:spacing w:before="60"/>
              <w:ind w:left="110" w:hanging="110"/>
              <w:jc w:val="right"/>
              <w:rPr>
                <w:rFonts w:ascii="Arial" w:hAnsi="Arial" w:cs="Arial"/>
              </w:rPr>
            </w:pPr>
            <w:r w:rsidRPr="004226C9">
              <w:rPr>
                <w:rFonts w:ascii="Arial" w:hAnsi="Arial" w:cs="Arial"/>
              </w:rPr>
              <w:t>20</w:t>
            </w:r>
          </w:p>
        </w:tc>
        <w:tc>
          <w:tcPr>
            <w:tcW w:w="830" w:type="pct"/>
          </w:tcPr>
          <w:p w14:paraId="1DFADE56" w14:textId="27736D43" w:rsidR="00770CCA" w:rsidRPr="004226C9" w:rsidRDefault="00770CCA" w:rsidP="00770CCA">
            <w:pPr>
              <w:spacing w:before="60"/>
              <w:ind w:left="110" w:hanging="110"/>
              <w:jc w:val="right"/>
              <w:rPr>
                <w:rFonts w:ascii="Arial" w:hAnsi="Arial" w:cs="Arial"/>
              </w:rPr>
            </w:pPr>
            <w:r w:rsidRPr="004226C9">
              <w:rPr>
                <w:rFonts w:ascii="Arial" w:hAnsi="Arial" w:cs="Arial"/>
              </w:rPr>
              <w:t>208</w:t>
            </w:r>
          </w:p>
        </w:tc>
        <w:tc>
          <w:tcPr>
            <w:tcW w:w="735" w:type="pct"/>
          </w:tcPr>
          <w:p w14:paraId="3C30409D" w14:textId="4739B41F" w:rsidR="00770CCA" w:rsidRPr="0035009E" w:rsidRDefault="00F770A3" w:rsidP="00770CCA">
            <w:pPr>
              <w:spacing w:before="60"/>
              <w:ind w:left="110" w:hanging="110"/>
              <w:jc w:val="right"/>
              <w:rPr>
                <w:rFonts w:ascii="Arial" w:hAnsi="Arial" w:cs="Arial"/>
              </w:rPr>
            </w:pPr>
            <w:r w:rsidRPr="0035009E">
              <w:rPr>
                <w:rFonts w:ascii="Arial" w:hAnsi="Arial" w:cs="Arial"/>
              </w:rPr>
              <w:t>(1)</w:t>
            </w:r>
          </w:p>
        </w:tc>
        <w:tc>
          <w:tcPr>
            <w:tcW w:w="735" w:type="pct"/>
          </w:tcPr>
          <w:p w14:paraId="222BA9CB" w14:textId="0BBFED98" w:rsidR="00770CCA" w:rsidRPr="0035009E" w:rsidRDefault="00F770A3" w:rsidP="00770CCA">
            <w:pPr>
              <w:spacing w:before="60"/>
              <w:ind w:left="110" w:hanging="110"/>
              <w:jc w:val="right"/>
              <w:rPr>
                <w:rFonts w:ascii="Arial" w:hAnsi="Arial" w:cs="Arial"/>
              </w:rPr>
            </w:pPr>
            <w:r w:rsidRPr="0035009E">
              <w:rPr>
                <w:rFonts w:ascii="Arial" w:hAnsi="Arial" w:cs="Arial"/>
              </w:rPr>
              <w:t>(</w:t>
            </w:r>
            <w:proofErr w:type="gramStart"/>
            <w:r w:rsidRPr="0035009E">
              <w:rPr>
                <w:rFonts w:ascii="Arial" w:hAnsi="Arial" w:cs="Arial"/>
              </w:rPr>
              <w:t>5)%</w:t>
            </w:r>
            <w:proofErr w:type="gramEnd"/>
          </w:p>
        </w:tc>
      </w:tr>
      <w:tr w:rsidR="00770CCA" w:rsidRPr="00A845B7" w14:paraId="56ED7350" w14:textId="77777777" w:rsidTr="00FD5A2D">
        <w:tc>
          <w:tcPr>
            <w:tcW w:w="1247" w:type="pct"/>
            <w:tcBorders>
              <w:bottom w:val="single" w:sz="4" w:space="0" w:color="auto"/>
            </w:tcBorders>
          </w:tcPr>
          <w:p w14:paraId="62E60388" w14:textId="77777777" w:rsidR="00770CCA" w:rsidRPr="004226C9" w:rsidRDefault="00770CCA" w:rsidP="00770CCA">
            <w:pPr>
              <w:jc w:val="left"/>
              <w:rPr>
                <w:rFonts w:ascii="Arial" w:hAnsi="Arial" w:cs="Arial"/>
                <w:lang w:val="it-IT"/>
              </w:rPr>
            </w:pPr>
            <w:r w:rsidRPr="004226C9">
              <w:rPr>
                <w:rFonts w:ascii="Arial" w:hAnsi="Arial" w:cs="Arial"/>
                <w:lang w:val="it-IT"/>
              </w:rPr>
              <w:t>Screwfix Germany</w:t>
            </w:r>
          </w:p>
        </w:tc>
        <w:tc>
          <w:tcPr>
            <w:tcW w:w="792" w:type="pct"/>
            <w:tcBorders>
              <w:bottom w:val="single" w:sz="4" w:space="0" w:color="auto"/>
            </w:tcBorders>
          </w:tcPr>
          <w:p w14:paraId="2D2272FE" w14:textId="4E6B6CB1" w:rsidR="00770CCA" w:rsidRPr="004226C9" w:rsidRDefault="00770CCA" w:rsidP="00770CCA">
            <w:pPr>
              <w:spacing w:before="60"/>
              <w:ind w:left="110" w:hanging="110"/>
              <w:jc w:val="right"/>
              <w:rPr>
                <w:rFonts w:ascii="Arial" w:hAnsi="Arial" w:cs="Arial"/>
              </w:rPr>
            </w:pPr>
            <w:r w:rsidRPr="004226C9">
              <w:rPr>
                <w:rFonts w:ascii="Arial" w:hAnsi="Arial" w:cs="Arial"/>
              </w:rPr>
              <w:t>182</w:t>
            </w:r>
          </w:p>
        </w:tc>
        <w:tc>
          <w:tcPr>
            <w:tcW w:w="661" w:type="pct"/>
            <w:tcBorders>
              <w:bottom w:val="single" w:sz="4" w:space="0" w:color="auto"/>
            </w:tcBorders>
          </w:tcPr>
          <w:p w14:paraId="1DA2340C" w14:textId="4D994525" w:rsidR="00770CCA" w:rsidRPr="004226C9" w:rsidRDefault="00770CCA" w:rsidP="00770CCA">
            <w:pPr>
              <w:spacing w:before="60"/>
              <w:ind w:left="110" w:hanging="110"/>
              <w:jc w:val="right"/>
              <w:rPr>
                <w:rFonts w:ascii="Arial" w:hAnsi="Arial" w:cs="Arial"/>
              </w:rPr>
            </w:pPr>
            <w:r w:rsidRPr="004226C9">
              <w:rPr>
                <w:rFonts w:ascii="Arial" w:hAnsi="Arial" w:cs="Arial"/>
              </w:rPr>
              <w:t>19</w:t>
            </w:r>
          </w:p>
        </w:tc>
        <w:tc>
          <w:tcPr>
            <w:tcW w:w="830" w:type="pct"/>
            <w:tcBorders>
              <w:bottom w:val="single" w:sz="4" w:space="0" w:color="auto"/>
            </w:tcBorders>
          </w:tcPr>
          <w:p w14:paraId="72B3658E" w14:textId="0BFE705D" w:rsidR="00770CCA" w:rsidRPr="004226C9" w:rsidRDefault="00770CCA" w:rsidP="00770CCA">
            <w:pPr>
              <w:spacing w:before="60"/>
              <w:ind w:left="110" w:hanging="110"/>
              <w:jc w:val="right"/>
              <w:rPr>
                <w:rFonts w:ascii="Arial" w:hAnsi="Arial" w:cs="Arial"/>
              </w:rPr>
            </w:pPr>
            <w:r w:rsidRPr="004226C9">
              <w:rPr>
                <w:rFonts w:ascii="Arial" w:hAnsi="Arial" w:cs="Arial"/>
              </w:rPr>
              <w:t>1</w:t>
            </w:r>
          </w:p>
        </w:tc>
        <w:tc>
          <w:tcPr>
            <w:tcW w:w="735" w:type="pct"/>
            <w:tcBorders>
              <w:bottom w:val="single" w:sz="4" w:space="0" w:color="auto"/>
            </w:tcBorders>
          </w:tcPr>
          <w:p w14:paraId="674BF770" w14:textId="41FB43CF" w:rsidR="00770CCA" w:rsidRPr="0035009E" w:rsidRDefault="00662C23" w:rsidP="00770CCA">
            <w:pPr>
              <w:spacing w:before="60"/>
              <w:ind w:left="110" w:hanging="110"/>
              <w:jc w:val="right"/>
              <w:rPr>
                <w:rFonts w:ascii="Arial" w:hAnsi="Arial" w:cs="Arial"/>
              </w:rPr>
            </w:pPr>
            <w:r w:rsidRPr="0035009E">
              <w:rPr>
                <w:rFonts w:ascii="Arial" w:hAnsi="Arial" w:cs="Arial"/>
              </w:rPr>
              <w:t>(19)</w:t>
            </w:r>
          </w:p>
        </w:tc>
        <w:tc>
          <w:tcPr>
            <w:tcW w:w="735" w:type="pct"/>
            <w:tcBorders>
              <w:bottom w:val="single" w:sz="4" w:space="0" w:color="auto"/>
            </w:tcBorders>
          </w:tcPr>
          <w:p w14:paraId="68607175" w14:textId="5D0A9C03" w:rsidR="00770CCA" w:rsidRPr="0035009E" w:rsidRDefault="00BF260C" w:rsidP="00770CCA">
            <w:pPr>
              <w:spacing w:before="60"/>
              <w:ind w:left="110" w:hanging="110"/>
              <w:jc w:val="right"/>
              <w:rPr>
                <w:rFonts w:ascii="Arial" w:hAnsi="Arial" w:cs="Arial"/>
              </w:rPr>
            </w:pPr>
            <w:proofErr w:type="spellStart"/>
            <w:r w:rsidRPr="0035009E">
              <w:rPr>
                <w:rFonts w:ascii="Arial" w:hAnsi="Arial" w:cs="Arial"/>
              </w:rPr>
              <w:t>n.a.</w:t>
            </w:r>
            <w:proofErr w:type="spellEnd"/>
          </w:p>
        </w:tc>
      </w:tr>
      <w:tr w:rsidR="00770CCA" w:rsidRPr="004226C9" w14:paraId="3B80E171" w14:textId="77777777" w:rsidTr="00FD5A2D">
        <w:tc>
          <w:tcPr>
            <w:tcW w:w="1247" w:type="pct"/>
            <w:tcBorders>
              <w:top w:val="single" w:sz="4" w:space="0" w:color="auto"/>
              <w:bottom w:val="single" w:sz="4" w:space="0" w:color="auto"/>
            </w:tcBorders>
          </w:tcPr>
          <w:p w14:paraId="6E6DADC9" w14:textId="77777777" w:rsidR="00770CCA" w:rsidRPr="004226C9" w:rsidRDefault="00770CCA" w:rsidP="00770CCA">
            <w:pPr>
              <w:jc w:val="left"/>
              <w:rPr>
                <w:rFonts w:ascii="Arial" w:hAnsi="Arial" w:cs="Arial"/>
                <w:b/>
                <w:bCs/>
              </w:rPr>
            </w:pPr>
            <w:r w:rsidRPr="004226C9">
              <w:rPr>
                <w:rFonts w:ascii="Arial" w:hAnsi="Arial" w:cs="Arial"/>
                <w:b/>
                <w:bCs/>
              </w:rPr>
              <w:t>Other International</w:t>
            </w:r>
          </w:p>
        </w:tc>
        <w:tc>
          <w:tcPr>
            <w:tcW w:w="792" w:type="pct"/>
            <w:tcBorders>
              <w:top w:val="single" w:sz="4" w:space="0" w:color="auto"/>
              <w:bottom w:val="single" w:sz="4" w:space="0" w:color="auto"/>
            </w:tcBorders>
          </w:tcPr>
          <w:p w14:paraId="00B0DD2D" w14:textId="02BB0742" w:rsidR="00770CCA" w:rsidRPr="004226C9" w:rsidRDefault="00770CCA" w:rsidP="00770CCA">
            <w:pPr>
              <w:spacing w:before="60"/>
              <w:ind w:left="110" w:hanging="110"/>
              <w:jc w:val="right"/>
              <w:rPr>
                <w:rFonts w:ascii="Arial" w:hAnsi="Arial" w:cs="Arial"/>
                <w:b/>
              </w:rPr>
            </w:pPr>
            <w:r w:rsidRPr="004226C9">
              <w:rPr>
                <w:rFonts w:ascii="Arial" w:hAnsi="Arial" w:cs="Arial"/>
                <w:b/>
              </w:rPr>
              <w:t>1</w:t>
            </w:r>
            <w:r w:rsidR="00E616F1" w:rsidRPr="004226C9">
              <w:rPr>
                <w:rFonts w:ascii="Arial" w:hAnsi="Arial" w:cs="Arial"/>
                <w:b/>
              </w:rPr>
              <w:t>8</w:t>
            </w:r>
            <w:r w:rsidRPr="004226C9">
              <w:rPr>
                <w:rFonts w:ascii="Arial" w:hAnsi="Arial" w:cs="Arial"/>
                <w:b/>
              </w:rPr>
              <w:t>,</w:t>
            </w:r>
            <w:r w:rsidR="00E616F1" w:rsidRPr="004226C9">
              <w:rPr>
                <w:rFonts w:ascii="Arial" w:hAnsi="Arial" w:cs="Arial"/>
                <w:b/>
              </w:rPr>
              <w:t>689</w:t>
            </w:r>
          </w:p>
        </w:tc>
        <w:tc>
          <w:tcPr>
            <w:tcW w:w="661" w:type="pct"/>
            <w:tcBorders>
              <w:top w:val="single" w:sz="4" w:space="0" w:color="auto"/>
              <w:bottom w:val="single" w:sz="4" w:space="0" w:color="auto"/>
            </w:tcBorders>
          </w:tcPr>
          <w:p w14:paraId="1C21C338" w14:textId="26DF2279" w:rsidR="00770CCA" w:rsidRPr="004226C9" w:rsidRDefault="00770CCA" w:rsidP="00770CCA">
            <w:pPr>
              <w:spacing w:before="60"/>
              <w:ind w:left="110" w:hanging="110"/>
              <w:jc w:val="right"/>
              <w:rPr>
                <w:rFonts w:ascii="Arial" w:hAnsi="Arial" w:cs="Arial"/>
                <w:b/>
              </w:rPr>
            </w:pPr>
            <w:r w:rsidRPr="004226C9">
              <w:rPr>
                <w:rFonts w:ascii="Arial" w:hAnsi="Arial" w:cs="Arial"/>
                <w:b/>
              </w:rPr>
              <w:t>184</w:t>
            </w:r>
          </w:p>
        </w:tc>
        <w:tc>
          <w:tcPr>
            <w:tcW w:w="830" w:type="pct"/>
            <w:tcBorders>
              <w:top w:val="single" w:sz="4" w:space="0" w:color="auto"/>
              <w:bottom w:val="single" w:sz="4" w:space="0" w:color="auto"/>
            </w:tcBorders>
          </w:tcPr>
          <w:p w14:paraId="564AF3D7" w14:textId="45A58366" w:rsidR="00770CCA" w:rsidRPr="004226C9" w:rsidRDefault="00770CCA" w:rsidP="00770CCA">
            <w:pPr>
              <w:spacing w:before="60"/>
              <w:ind w:left="110" w:hanging="110"/>
              <w:jc w:val="right"/>
              <w:rPr>
                <w:rFonts w:ascii="Arial" w:hAnsi="Arial" w:cs="Arial"/>
                <w:b/>
              </w:rPr>
            </w:pPr>
            <w:r w:rsidRPr="004226C9">
              <w:rPr>
                <w:rFonts w:ascii="Arial" w:hAnsi="Arial" w:cs="Arial"/>
                <w:b/>
              </w:rPr>
              <w:t>1,32</w:t>
            </w:r>
            <w:r w:rsidR="007861AD" w:rsidRPr="004226C9">
              <w:rPr>
                <w:rFonts w:ascii="Arial" w:hAnsi="Arial" w:cs="Arial"/>
                <w:b/>
              </w:rPr>
              <w:t>9</w:t>
            </w:r>
          </w:p>
        </w:tc>
        <w:tc>
          <w:tcPr>
            <w:tcW w:w="735" w:type="pct"/>
            <w:tcBorders>
              <w:top w:val="single" w:sz="4" w:space="0" w:color="auto"/>
              <w:bottom w:val="single" w:sz="4" w:space="0" w:color="auto"/>
            </w:tcBorders>
          </w:tcPr>
          <w:p w14:paraId="147962CD" w14:textId="5C121B55" w:rsidR="00770CCA" w:rsidRPr="0035009E" w:rsidRDefault="00F770A3" w:rsidP="00770CCA">
            <w:pPr>
              <w:spacing w:before="60"/>
              <w:ind w:left="110" w:hanging="110"/>
              <w:jc w:val="right"/>
              <w:rPr>
                <w:rFonts w:ascii="Arial" w:hAnsi="Arial" w:cs="Arial"/>
                <w:b/>
              </w:rPr>
            </w:pPr>
            <w:r w:rsidRPr="0035009E">
              <w:rPr>
                <w:rFonts w:ascii="Arial" w:hAnsi="Arial" w:cs="Arial"/>
                <w:b/>
              </w:rPr>
              <w:t>(17)</w:t>
            </w:r>
          </w:p>
        </w:tc>
        <w:tc>
          <w:tcPr>
            <w:tcW w:w="735" w:type="pct"/>
            <w:tcBorders>
              <w:top w:val="single" w:sz="4" w:space="0" w:color="auto"/>
              <w:bottom w:val="single" w:sz="4" w:space="0" w:color="auto"/>
            </w:tcBorders>
          </w:tcPr>
          <w:p w14:paraId="0FD00C9F" w14:textId="3DAF7A1A" w:rsidR="00770CCA" w:rsidRPr="0035009E" w:rsidRDefault="00F770A3" w:rsidP="00770CCA">
            <w:pPr>
              <w:spacing w:before="60"/>
              <w:ind w:left="110" w:hanging="110"/>
              <w:jc w:val="right"/>
              <w:rPr>
                <w:rFonts w:ascii="Arial" w:hAnsi="Arial" w:cs="Arial"/>
                <w:b/>
              </w:rPr>
            </w:pPr>
            <w:r w:rsidRPr="0035009E">
              <w:rPr>
                <w:rFonts w:ascii="Arial" w:hAnsi="Arial" w:cs="Arial"/>
                <w:b/>
              </w:rPr>
              <w:t>+2%</w:t>
            </w:r>
          </w:p>
        </w:tc>
      </w:tr>
      <w:tr w:rsidR="00770CCA" w:rsidRPr="008863CF" w14:paraId="5BAA6E41" w14:textId="77777777" w:rsidTr="00AF307A">
        <w:trPr>
          <w:trHeight w:val="257"/>
        </w:trPr>
        <w:tc>
          <w:tcPr>
            <w:tcW w:w="1247" w:type="pct"/>
            <w:tcBorders>
              <w:top w:val="single" w:sz="4" w:space="0" w:color="auto"/>
              <w:bottom w:val="single" w:sz="4" w:space="0" w:color="auto"/>
            </w:tcBorders>
          </w:tcPr>
          <w:p w14:paraId="5A556FEF" w14:textId="77777777" w:rsidR="00770CCA" w:rsidRPr="004226C9" w:rsidRDefault="00770CCA" w:rsidP="00770CCA">
            <w:pPr>
              <w:spacing w:before="100"/>
              <w:ind w:left="108" w:hanging="108"/>
              <w:jc w:val="left"/>
              <w:rPr>
                <w:rFonts w:ascii="Arial" w:hAnsi="Arial" w:cs="Arial"/>
                <w:b/>
                <w:bCs/>
              </w:rPr>
            </w:pPr>
            <w:r w:rsidRPr="004226C9">
              <w:rPr>
                <w:rFonts w:ascii="Arial" w:hAnsi="Arial" w:cs="Arial"/>
                <w:b/>
                <w:bCs/>
              </w:rPr>
              <w:t xml:space="preserve">Total </w:t>
            </w:r>
          </w:p>
        </w:tc>
        <w:tc>
          <w:tcPr>
            <w:tcW w:w="792" w:type="pct"/>
            <w:tcBorders>
              <w:top w:val="single" w:sz="4" w:space="0" w:color="auto"/>
              <w:bottom w:val="single" w:sz="4" w:space="0" w:color="auto"/>
            </w:tcBorders>
          </w:tcPr>
          <w:p w14:paraId="1AB41365" w14:textId="60DC649B" w:rsidR="00770CCA" w:rsidRPr="004226C9" w:rsidRDefault="00770CCA" w:rsidP="00770CCA">
            <w:pPr>
              <w:spacing w:before="60"/>
              <w:ind w:left="110" w:hanging="110"/>
              <w:jc w:val="right"/>
              <w:rPr>
                <w:rFonts w:ascii="Arial" w:hAnsi="Arial" w:cs="Arial"/>
                <w:b/>
              </w:rPr>
            </w:pPr>
            <w:r w:rsidRPr="004226C9">
              <w:rPr>
                <w:rFonts w:ascii="Arial" w:hAnsi="Arial" w:cs="Arial"/>
                <w:b/>
              </w:rPr>
              <w:t>6</w:t>
            </w:r>
            <w:r w:rsidR="00E616F1" w:rsidRPr="004226C9">
              <w:rPr>
                <w:rFonts w:ascii="Arial" w:hAnsi="Arial" w:cs="Arial"/>
                <w:b/>
              </w:rPr>
              <w:t>1</w:t>
            </w:r>
            <w:r w:rsidR="007861AD" w:rsidRPr="004226C9">
              <w:rPr>
                <w:rFonts w:ascii="Arial" w:hAnsi="Arial" w:cs="Arial"/>
                <w:b/>
              </w:rPr>
              <w:t>,</w:t>
            </w:r>
            <w:r w:rsidR="00E616F1" w:rsidRPr="004226C9">
              <w:rPr>
                <w:rFonts w:ascii="Arial" w:hAnsi="Arial" w:cs="Arial"/>
                <w:b/>
              </w:rPr>
              <w:t>551</w:t>
            </w:r>
          </w:p>
        </w:tc>
        <w:tc>
          <w:tcPr>
            <w:tcW w:w="661" w:type="pct"/>
            <w:tcBorders>
              <w:top w:val="single" w:sz="4" w:space="0" w:color="auto"/>
              <w:bottom w:val="single" w:sz="4" w:space="0" w:color="auto"/>
            </w:tcBorders>
          </w:tcPr>
          <w:p w14:paraId="0958CEEE" w14:textId="0A2383AD" w:rsidR="00770CCA" w:rsidRPr="004226C9" w:rsidRDefault="00770CCA" w:rsidP="00770CCA">
            <w:pPr>
              <w:spacing w:before="60"/>
              <w:ind w:left="110" w:hanging="110"/>
              <w:jc w:val="right"/>
              <w:rPr>
                <w:rFonts w:ascii="Arial" w:hAnsi="Arial" w:cs="Arial"/>
                <w:b/>
              </w:rPr>
            </w:pPr>
            <w:r w:rsidRPr="004226C9">
              <w:rPr>
                <w:rFonts w:ascii="Arial" w:hAnsi="Arial" w:cs="Arial"/>
                <w:b/>
              </w:rPr>
              <w:t>1,</w:t>
            </w:r>
            <w:r w:rsidR="007861AD" w:rsidRPr="004226C9">
              <w:rPr>
                <w:rFonts w:ascii="Arial" w:hAnsi="Arial" w:cs="Arial"/>
                <w:b/>
              </w:rPr>
              <w:t>331</w:t>
            </w:r>
          </w:p>
        </w:tc>
        <w:tc>
          <w:tcPr>
            <w:tcW w:w="830" w:type="pct"/>
            <w:tcBorders>
              <w:top w:val="single" w:sz="4" w:space="0" w:color="auto"/>
              <w:bottom w:val="single" w:sz="4" w:space="0" w:color="auto"/>
            </w:tcBorders>
          </w:tcPr>
          <w:p w14:paraId="2F072DA5" w14:textId="0F7F30E2" w:rsidR="00770CCA" w:rsidRPr="004226C9" w:rsidRDefault="00770CCA" w:rsidP="00770CCA">
            <w:pPr>
              <w:spacing w:before="60"/>
              <w:ind w:left="110" w:hanging="110"/>
              <w:jc w:val="right"/>
              <w:rPr>
                <w:rFonts w:ascii="Arial" w:hAnsi="Arial" w:cs="Arial"/>
                <w:b/>
              </w:rPr>
            </w:pPr>
            <w:r w:rsidRPr="004226C9">
              <w:rPr>
                <w:rFonts w:ascii="Arial" w:hAnsi="Arial" w:cs="Arial"/>
                <w:b/>
              </w:rPr>
              <w:t>5,6</w:t>
            </w:r>
            <w:r w:rsidR="007861AD" w:rsidRPr="004226C9">
              <w:rPr>
                <w:rFonts w:ascii="Arial" w:hAnsi="Arial" w:cs="Arial"/>
                <w:b/>
              </w:rPr>
              <w:t>79</w:t>
            </w:r>
          </w:p>
        </w:tc>
        <w:tc>
          <w:tcPr>
            <w:tcW w:w="735" w:type="pct"/>
            <w:tcBorders>
              <w:top w:val="single" w:sz="4" w:space="0" w:color="auto"/>
              <w:bottom w:val="single" w:sz="4" w:space="0" w:color="auto"/>
            </w:tcBorders>
          </w:tcPr>
          <w:p w14:paraId="416EDAB9" w14:textId="2ED9CFF8" w:rsidR="00770CCA" w:rsidRPr="0035009E" w:rsidRDefault="004226C9" w:rsidP="00770CCA">
            <w:pPr>
              <w:spacing w:before="60"/>
              <w:ind w:left="110" w:hanging="110"/>
              <w:jc w:val="right"/>
              <w:rPr>
                <w:rFonts w:ascii="Arial" w:hAnsi="Arial" w:cs="Arial"/>
                <w:b/>
              </w:rPr>
            </w:pPr>
            <w:r>
              <w:rPr>
                <w:rFonts w:ascii="Arial" w:hAnsi="Arial" w:cs="Arial"/>
                <w:b/>
              </w:rPr>
              <w:t>41</w:t>
            </w:r>
          </w:p>
        </w:tc>
        <w:tc>
          <w:tcPr>
            <w:tcW w:w="735" w:type="pct"/>
            <w:tcBorders>
              <w:top w:val="single" w:sz="4" w:space="0" w:color="auto"/>
              <w:bottom w:val="single" w:sz="4" w:space="0" w:color="auto"/>
            </w:tcBorders>
          </w:tcPr>
          <w:p w14:paraId="54C9C57F" w14:textId="5ED1E223" w:rsidR="00770CCA" w:rsidRPr="0035009E" w:rsidRDefault="00BF260C" w:rsidP="00770CCA">
            <w:pPr>
              <w:spacing w:before="60"/>
              <w:ind w:left="110" w:hanging="110"/>
              <w:jc w:val="right"/>
              <w:rPr>
                <w:rFonts w:ascii="Arial" w:hAnsi="Arial" w:cs="Arial"/>
                <w:b/>
              </w:rPr>
            </w:pPr>
            <w:r w:rsidRPr="0035009E">
              <w:rPr>
                <w:rFonts w:ascii="Arial" w:hAnsi="Arial" w:cs="Arial"/>
                <w:b/>
              </w:rPr>
              <w:t>-</w:t>
            </w:r>
          </w:p>
        </w:tc>
      </w:tr>
    </w:tbl>
    <w:p w14:paraId="3FF54375" w14:textId="77777777" w:rsidR="00832149" w:rsidRDefault="00832149" w:rsidP="007D43ED">
      <w:pPr>
        <w:jc w:val="left"/>
        <w:rPr>
          <w:rFonts w:ascii="Arial" w:hAnsi="Arial" w:cs="Arial"/>
          <w:bCs/>
          <w:sz w:val="18"/>
          <w:szCs w:val="18"/>
          <w:vertAlign w:val="superscript"/>
        </w:rPr>
      </w:pPr>
    </w:p>
    <w:p w14:paraId="34549AA4" w14:textId="047E3CC8" w:rsidR="00CF487E" w:rsidRDefault="007D43ED" w:rsidP="007D43ED">
      <w:pPr>
        <w:jc w:val="left"/>
        <w:rPr>
          <w:rFonts w:ascii="Arial" w:hAnsi="Arial" w:cs="Arial"/>
          <w:sz w:val="18"/>
          <w:szCs w:val="18"/>
        </w:rPr>
      </w:pPr>
      <w:r w:rsidRPr="00F74486">
        <w:rPr>
          <w:rFonts w:ascii="Arial" w:hAnsi="Arial" w:cs="Arial"/>
          <w:bCs/>
          <w:sz w:val="18"/>
          <w:szCs w:val="18"/>
          <w:vertAlign w:val="superscript"/>
        </w:rPr>
        <w:t>(</w:t>
      </w:r>
      <w:r w:rsidR="009275D1">
        <w:rPr>
          <w:rFonts w:ascii="Arial" w:hAnsi="Arial" w:cs="Arial"/>
          <w:bCs/>
          <w:sz w:val="18"/>
          <w:szCs w:val="18"/>
          <w:vertAlign w:val="superscript"/>
        </w:rPr>
        <w:t>3</w:t>
      </w:r>
      <w:r w:rsidRPr="00F74486">
        <w:rPr>
          <w:rFonts w:ascii="Arial" w:hAnsi="Arial" w:cs="Arial"/>
          <w:bCs/>
          <w:sz w:val="18"/>
          <w:szCs w:val="18"/>
          <w:vertAlign w:val="superscript"/>
        </w:rPr>
        <w:t xml:space="preserve">) </w:t>
      </w:r>
      <w:r w:rsidRPr="00F74486">
        <w:rPr>
          <w:rFonts w:ascii="Arial" w:hAnsi="Arial" w:cs="Arial"/>
          <w:sz w:val="18"/>
          <w:szCs w:val="18"/>
        </w:rPr>
        <w:t>Screwfix sales area relates to the front of counter area of an outlet</w:t>
      </w:r>
    </w:p>
    <w:p w14:paraId="2CBD560D" w14:textId="77777777" w:rsidR="007D43ED" w:rsidRPr="00A845B7" w:rsidRDefault="007D43ED" w:rsidP="005D6FAA">
      <w:pPr>
        <w:jc w:val="left"/>
        <w:rPr>
          <w:rFonts w:ascii="Arial" w:hAnsi="Arial" w:cs="Arial"/>
          <w:bCs/>
          <w:highlight w:val="yellow"/>
        </w:rPr>
      </w:pPr>
    </w:p>
    <w:p w14:paraId="769B0DB5" w14:textId="77777777" w:rsidR="007D43ED" w:rsidRPr="00A845B7" w:rsidRDefault="007D43ED" w:rsidP="00925EFB">
      <w:pPr>
        <w:jc w:val="left"/>
        <w:rPr>
          <w:rFonts w:ascii="Arial" w:hAnsi="Arial" w:cs="Arial"/>
          <w:b/>
          <w:bCs/>
        </w:rPr>
      </w:pPr>
      <w:r w:rsidRPr="00A845B7">
        <w:rPr>
          <w:rFonts w:ascii="Arial" w:hAnsi="Arial" w:cs="Arial"/>
          <w:b/>
          <w:bCs/>
        </w:rPr>
        <w:t>Income statement:</w:t>
      </w:r>
    </w:p>
    <w:p w14:paraId="1D055FD1" w14:textId="1E5484E7" w:rsidR="00C2187E" w:rsidRDefault="00C2187E" w:rsidP="00E630F1">
      <w:pPr>
        <w:pStyle w:val="ListParagraph"/>
        <w:numPr>
          <w:ilvl w:val="0"/>
          <w:numId w:val="77"/>
        </w:numPr>
        <w:jc w:val="left"/>
        <w:rPr>
          <w:rFonts w:ascii="Arial" w:hAnsi="Arial" w:cs="Arial"/>
          <w:bCs/>
        </w:rPr>
      </w:pPr>
      <w:r>
        <w:rPr>
          <w:rFonts w:ascii="Arial" w:hAnsi="Arial" w:cs="Arial"/>
          <w:bCs/>
        </w:rPr>
        <w:t>Sales outlook:</w:t>
      </w:r>
    </w:p>
    <w:p w14:paraId="0B24BB4E" w14:textId="7CE8E8D4" w:rsidR="00372A58" w:rsidRPr="00372A58" w:rsidRDefault="00C2187E">
      <w:pPr>
        <w:pStyle w:val="ListParagraph"/>
        <w:numPr>
          <w:ilvl w:val="1"/>
          <w:numId w:val="77"/>
        </w:numPr>
        <w:jc w:val="left"/>
        <w:rPr>
          <w:rFonts w:ascii="Arial" w:hAnsi="Arial" w:cs="Arial"/>
          <w:bCs/>
        </w:rPr>
      </w:pPr>
      <w:r w:rsidRPr="00372A58">
        <w:rPr>
          <w:rFonts w:ascii="Arial" w:hAnsi="Arial" w:cs="Arial"/>
          <w:bCs/>
        </w:rPr>
        <w:t>UK – heightened levels of uncertainty</w:t>
      </w:r>
      <w:r w:rsidR="00813CC2" w:rsidRPr="00372A58">
        <w:rPr>
          <w:rFonts w:ascii="Arial" w:hAnsi="Arial" w:cs="Arial"/>
          <w:bCs/>
        </w:rPr>
        <w:t xml:space="preserve">; </w:t>
      </w:r>
      <w:r w:rsidR="00372A58" w:rsidRPr="00372A58">
        <w:rPr>
          <w:rFonts w:ascii="Arial" w:hAnsi="Arial" w:cs="Arial"/>
          <w:bCs/>
        </w:rPr>
        <w:t xml:space="preserve">annualisation of discontinuation of installations (c.1-2% impact to B&amp;Q H1 </w:t>
      </w:r>
      <w:r w:rsidR="008D1AC5">
        <w:rPr>
          <w:rFonts w:ascii="Arial" w:hAnsi="Arial" w:cs="Arial"/>
          <w:bCs/>
        </w:rPr>
        <w:t xml:space="preserve">19/20 </w:t>
      </w:r>
      <w:r w:rsidR="00372A58" w:rsidRPr="00372A58">
        <w:rPr>
          <w:rFonts w:ascii="Arial" w:hAnsi="Arial" w:cs="Arial"/>
          <w:bCs/>
        </w:rPr>
        <w:t xml:space="preserve">LFL) </w:t>
      </w:r>
    </w:p>
    <w:p w14:paraId="48E9455D" w14:textId="297B2EA0" w:rsidR="00C2187E" w:rsidRPr="00C2187E" w:rsidRDefault="00C2187E" w:rsidP="00C2187E">
      <w:pPr>
        <w:pStyle w:val="ListParagraph"/>
        <w:numPr>
          <w:ilvl w:val="1"/>
          <w:numId w:val="77"/>
        </w:numPr>
        <w:jc w:val="left"/>
        <w:rPr>
          <w:rFonts w:ascii="Arial" w:hAnsi="Arial" w:cs="Arial"/>
          <w:bCs/>
        </w:rPr>
      </w:pPr>
      <w:r w:rsidRPr="00C2187E">
        <w:rPr>
          <w:rFonts w:ascii="Arial" w:hAnsi="Arial" w:cs="Arial"/>
          <w:bCs/>
        </w:rPr>
        <w:t xml:space="preserve">France – </w:t>
      </w:r>
      <w:r w:rsidR="0085173E">
        <w:rPr>
          <w:rFonts w:ascii="Arial" w:hAnsi="Arial" w:cs="Arial"/>
          <w:bCs/>
        </w:rPr>
        <w:t>weaker housing data</w:t>
      </w:r>
      <w:r w:rsidRPr="00C2187E">
        <w:rPr>
          <w:rFonts w:ascii="Arial" w:hAnsi="Arial" w:cs="Arial"/>
          <w:bCs/>
        </w:rPr>
        <w:t xml:space="preserve">; </w:t>
      </w:r>
      <w:r w:rsidR="00B50A38">
        <w:rPr>
          <w:rFonts w:ascii="Arial" w:hAnsi="Arial" w:cs="Arial"/>
          <w:bCs/>
        </w:rPr>
        <w:t>encouraged by Castorama’s start to the year</w:t>
      </w:r>
    </w:p>
    <w:p w14:paraId="62093B44" w14:textId="79EE85C4" w:rsidR="00C2187E" w:rsidRDefault="00C2187E" w:rsidP="0035009E">
      <w:pPr>
        <w:pStyle w:val="ListParagraph"/>
        <w:numPr>
          <w:ilvl w:val="1"/>
          <w:numId w:val="77"/>
        </w:numPr>
        <w:jc w:val="left"/>
        <w:rPr>
          <w:rFonts w:ascii="Arial" w:hAnsi="Arial" w:cs="Arial"/>
          <w:bCs/>
        </w:rPr>
      </w:pPr>
      <w:r w:rsidRPr="00C2187E">
        <w:rPr>
          <w:rFonts w:ascii="Arial" w:hAnsi="Arial" w:cs="Arial"/>
          <w:bCs/>
        </w:rPr>
        <w:t>Poland – loss of one further Sunday of trading per month (3</w:t>
      </w:r>
      <w:r w:rsidR="002C729C">
        <w:rPr>
          <w:rFonts w:ascii="Arial" w:hAnsi="Arial" w:cs="Arial"/>
          <w:bCs/>
        </w:rPr>
        <w:t xml:space="preserve"> non-trading Sundays; previously 2</w:t>
      </w:r>
      <w:r w:rsidRPr="00C2187E">
        <w:rPr>
          <w:rFonts w:ascii="Arial" w:hAnsi="Arial" w:cs="Arial"/>
          <w:bCs/>
        </w:rPr>
        <w:t>)</w:t>
      </w:r>
    </w:p>
    <w:p w14:paraId="38C61383" w14:textId="4E8EAA7C" w:rsidR="004023C9" w:rsidRPr="00E630F1" w:rsidRDefault="004023C9" w:rsidP="00E630F1">
      <w:pPr>
        <w:pStyle w:val="ListParagraph"/>
        <w:numPr>
          <w:ilvl w:val="0"/>
          <w:numId w:val="77"/>
        </w:numPr>
        <w:jc w:val="left"/>
        <w:rPr>
          <w:rFonts w:ascii="Arial" w:hAnsi="Arial" w:cs="Arial"/>
          <w:bCs/>
        </w:rPr>
      </w:pPr>
      <w:r w:rsidRPr="00E630F1">
        <w:rPr>
          <w:rFonts w:ascii="Arial" w:hAnsi="Arial" w:cs="Arial"/>
          <w:bCs/>
        </w:rPr>
        <w:t xml:space="preserve">Gross margin </w:t>
      </w:r>
      <w:r w:rsidR="00915B28">
        <w:rPr>
          <w:rFonts w:ascii="Arial" w:hAnsi="Arial" w:cs="Arial"/>
          <w:bCs/>
        </w:rPr>
        <w:t xml:space="preserve">after clearance </w:t>
      </w:r>
      <w:r w:rsidRPr="00E630F1">
        <w:rPr>
          <w:rFonts w:ascii="Arial" w:hAnsi="Arial" w:cs="Arial"/>
          <w:bCs/>
        </w:rPr>
        <w:t xml:space="preserve">expected to be </w:t>
      </w:r>
      <w:proofErr w:type="gramStart"/>
      <w:r w:rsidRPr="00E630F1">
        <w:rPr>
          <w:rFonts w:ascii="Arial" w:hAnsi="Arial" w:cs="Arial"/>
          <w:bCs/>
        </w:rPr>
        <w:t>flat</w:t>
      </w:r>
      <w:r w:rsidR="00372A58" w:rsidRPr="00C2187E">
        <w:rPr>
          <w:rFonts w:ascii="Arial" w:hAnsi="Arial" w:cs="Arial"/>
          <w:bCs/>
          <w:vertAlign w:val="superscript"/>
        </w:rPr>
        <w:t>(</w:t>
      </w:r>
      <w:proofErr w:type="gramEnd"/>
      <w:r w:rsidR="009275D1">
        <w:rPr>
          <w:rFonts w:ascii="Arial" w:hAnsi="Arial" w:cs="Arial"/>
          <w:bCs/>
          <w:vertAlign w:val="superscript"/>
        </w:rPr>
        <w:t>2</w:t>
      </w:r>
      <w:r w:rsidR="00372A58">
        <w:rPr>
          <w:rFonts w:ascii="Arial" w:hAnsi="Arial" w:cs="Arial"/>
          <w:bCs/>
          <w:vertAlign w:val="superscript"/>
        </w:rPr>
        <w:t>)</w:t>
      </w:r>
    </w:p>
    <w:p w14:paraId="24559A42" w14:textId="5398CB45" w:rsidR="008D08EE" w:rsidRPr="008D08EE" w:rsidRDefault="008D08EE" w:rsidP="00C2187E">
      <w:pPr>
        <w:pStyle w:val="ListParagraph"/>
        <w:numPr>
          <w:ilvl w:val="1"/>
          <w:numId w:val="77"/>
        </w:numPr>
        <w:jc w:val="left"/>
        <w:rPr>
          <w:rFonts w:ascii="Arial" w:hAnsi="Arial" w:cs="Arial"/>
          <w:bCs/>
        </w:rPr>
      </w:pPr>
      <w:r w:rsidRPr="008D08EE">
        <w:rPr>
          <w:rFonts w:ascii="Arial" w:hAnsi="Arial" w:cs="Arial"/>
          <w:bCs/>
        </w:rPr>
        <w:t>Includes c.£2</w:t>
      </w:r>
      <w:r w:rsidR="00F10DE0">
        <w:rPr>
          <w:rFonts w:ascii="Arial" w:hAnsi="Arial" w:cs="Arial"/>
          <w:bCs/>
        </w:rPr>
        <w:t>5-30</w:t>
      </w:r>
      <w:r w:rsidRPr="008D08EE">
        <w:rPr>
          <w:rFonts w:ascii="Arial" w:hAnsi="Arial" w:cs="Arial"/>
          <w:bCs/>
        </w:rPr>
        <w:t xml:space="preserve">m incremental clearance costs (H1 </w:t>
      </w:r>
      <w:r w:rsidR="008D1AC5">
        <w:rPr>
          <w:rFonts w:ascii="Arial" w:hAnsi="Arial" w:cs="Arial"/>
          <w:bCs/>
        </w:rPr>
        <w:t xml:space="preserve">19/20 </w:t>
      </w:r>
      <w:r w:rsidRPr="008D08EE">
        <w:rPr>
          <w:rFonts w:ascii="Arial" w:hAnsi="Arial" w:cs="Arial"/>
          <w:bCs/>
        </w:rPr>
        <w:t>weighted) associated with</w:t>
      </w:r>
      <w:r w:rsidR="00F10DE0">
        <w:rPr>
          <w:rFonts w:ascii="Arial" w:hAnsi="Arial" w:cs="Arial"/>
          <w:bCs/>
        </w:rPr>
        <w:t xml:space="preserve"> the implementation of</w:t>
      </w:r>
      <w:r w:rsidRPr="008D08EE">
        <w:rPr>
          <w:rFonts w:ascii="Arial" w:hAnsi="Arial" w:cs="Arial"/>
          <w:bCs/>
        </w:rPr>
        <w:t xml:space="preserve"> new unified </w:t>
      </w:r>
      <w:r w:rsidR="00F10DE0">
        <w:rPr>
          <w:rFonts w:ascii="Arial" w:hAnsi="Arial" w:cs="Arial"/>
          <w:bCs/>
        </w:rPr>
        <w:t xml:space="preserve">ranges including </w:t>
      </w:r>
      <w:r w:rsidRPr="008D08EE">
        <w:rPr>
          <w:rFonts w:ascii="Arial" w:hAnsi="Arial" w:cs="Arial"/>
          <w:bCs/>
        </w:rPr>
        <w:t>kitchen</w:t>
      </w:r>
      <w:r w:rsidR="00F10DE0">
        <w:rPr>
          <w:rFonts w:ascii="Arial" w:hAnsi="Arial" w:cs="Arial"/>
          <w:bCs/>
        </w:rPr>
        <w:t>s</w:t>
      </w:r>
      <w:r w:rsidRPr="008D08EE">
        <w:rPr>
          <w:rFonts w:ascii="Arial" w:hAnsi="Arial" w:cs="Arial"/>
          <w:bCs/>
        </w:rPr>
        <w:t xml:space="preserve"> in B&amp;Q</w:t>
      </w:r>
    </w:p>
    <w:p w14:paraId="060B17B8" w14:textId="4F5711AB" w:rsidR="0043467A" w:rsidRPr="00F74486" w:rsidRDefault="0043467A" w:rsidP="0043467A">
      <w:pPr>
        <w:pStyle w:val="ListParagraph"/>
        <w:numPr>
          <w:ilvl w:val="0"/>
          <w:numId w:val="4"/>
        </w:numPr>
        <w:jc w:val="left"/>
        <w:rPr>
          <w:rFonts w:ascii="Arial" w:hAnsi="Arial" w:cs="Arial"/>
          <w:bCs/>
        </w:rPr>
      </w:pPr>
      <w:r w:rsidRPr="00F74486">
        <w:rPr>
          <w:rFonts w:ascii="Arial" w:hAnsi="Arial" w:cs="Arial"/>
          <w:bCs/>
        </w:rPr>
        <w:t>Central costs expected to be c.£50m</w:t>
      </w:r>
    </w:p>
    <w:p w14:paraId="24442439" w14:textId="5A4DAC6E" w:rsidR="008D08EE" w:rsidRPr="00C2187E" w:rsidRDefault="008D08EE" w:rsidP="008D08EE">
      <w:pPr>
        <w:numPr>
          <w:ilvl w:val="0"/>
          <w:numId w:val="4"/>
        </w:numPr>
        <w:jc w:val="left"/>
        <w:rPr>
          <w:rFonts w:ascii="Arial" w:hAnsi="Arial" w:cs="Arial"/>
          <w:bCs/>
        </w:rPr>
      </w:pPr>
      <w:r w:rsidRPr="00C2187E">
        <w:rPr>
          <w:rFonts w:ascii="Arial" w:hAnsi="Arial" w:cs="Arial"/>
          <w:bCs/>
        </w:rPr>
        <w:t xml:space="preserve">Total transformation costs over 5 years to FY 20/21 expected to be </w:t>
      </w:r>
      <w:r w:rsidR="00A151D1">
        <w:rPr>
          <w:rFonts w:ascii="Arial" w:hAnsi="Arial" w:cs="Arial"/>
          <w:bCs/>
        </w:rPr>
        <w:t>less than</w:t>
      </w:r>
      <w:r w:rsidR="00A151D1" w:rsidRPr="00C2187E">
        <w:rPr>
          <w:rFonts w:ascii="Arial" w:hAnsi="Arial" w:cs="Arial"/>
          <w:bCs/>
        </w:rPr>
        <w:t xml:space="preserve"> </w:t>
      </w:r>
      <w:r w:rsidRPr="00C2187E">
        <w:rPr>
          <w:rFonts w:ascii="Arial" w:hAnsi="Arial" w:cs="Arial"/>
          <w:bCs/>
        </w:rPr>
        <w:t xml:space="preserve">£800m </w:t>
      </w:r>
    </w:p>
    <w:p w14:paraId="068B33C3" w14:textId="62AE740A" w:rsidR="000E51EF" w:rsidRPr="00E630F1" w:rsidRDefault="000E51EF" w:rsidP="0043467A">
      <w:pPr>
        <w:pStyle w:val="ListParagraph"/>
        <w:numPr>
          <w:ilvl w:val="1"/>
          <w:numId w:val="4"/>
        </w:numPr>
        <w:jc w:val="left"/>
        <w:rPr>
          <w:rFonts w:ascii="Arial" w:hAnsi="Arial" w:cs="Arial"/>
          <w:bCs/>
        </w:rPr>
      </w:pPr>
      <w:r w:rsidRPr="00E630F1">
        <w:rPr>
          <w:rFonts w:ascii="Arial" w:hAnsi="Arial" w:cs="Arial"/>
          <w:bCs/>
        </w:rPr>
        <w:t xml:space="preserve">Transformation P&amp;L costs expected to be </w:t>
      </w:r>
      <w:r w:rsidR="007072BB" w:rsidRPr="00E630F1">
        <w:rPr>
          <w:rFonts w:ascii="Arial" w:hAnsi="Arial" w:cs="Arial"/>
          <w:bCs/>
        </w:rPr>
        <w:t>c.</w:t>
      </w:r>
      <w:r w:rsidRPr="00E630F1">
        <w:rPr>
          <w:rFonts w:ascii="Arial" w:hAnsi="Arial" w:cs="Arial"/>
          <w:bCs/>
        </w:rPr>
        <w:t>£</w:t>
      </w:r>
      <w:r w:rsidR="00662C23" w:rsidRPr="0035009E">
        <w:rPr>
          <w:rFonts w:ascii="Arial" w:hAnsi="Arial" w:cs="Arial"/>
          <w:bCs/>
        </w:rPr>
        <w:t>60</w:t>
      </w:r>
      <w:r w:rsidR="00826C49" w:rsidRPr="0035009E">
        <w:rPr>
          <w:rFonts w:ascii="Arial" w:hAnsi="Arial" w:cs="Arial"/>
          <w:bCs/>
        </w:rPr>
        <w:t>-80</w:t>
      </w:r>
      <w:r w:rsidR="00170F16" w:rsidRPr="00E630F1">
        <w:rPr>
          <w:rFonts w:ascii="Arial" w:hAnsi="Arial" w:cs="Arial"/>
          <w:bCs/>
        </w:rPr>
        <w:t xml:space="preserve">m </w:t>
      </w:r>
      <w:r w:rsidR="00E01D80" w:rsidRPr="00E630F1">
        <w:rPr>
          <w:rFonts w:ascii="Arial" w:hAnsi="Arial" w:cs="Arial"/>
          <w:bCs/>
        </w:rPr>
        <w:t>in FY 19/20</w:t>
      </w:r>
    </w:p>
    <w:p w14:paraId="254D7664" w14:textId="6589C136" w:rsidR="000E51EF" w:rsidRDefault="000E51EF" w:rsidP="00C36E6F">
      <w:pPr>
        <w:pStyle w:val="ListParagraph"/>
        <w:numPr>
          <w:ilvl w:val="1"/>
          <w:numId w:val="4"/>
        </w:numPr>
        <w:jc w:val="left"/>
        <w:rPr>
          <w:rFonts w:ascii="Arial" w:hAnsi="Arial" w:cs="Arial"/>
          <w:bCs/>
        </w:rPr>
      </w:pPr>
      <w:r w:rsidRPr="00F74486">
        <w:rPr>
          <w:rFonts w:ascii="Arial" w:hAnsi="Arial" w:cs="Arial"/>
          <w:bCs/>
        </w:rPr>
        <w:t>Transformation exceptional costs expected to be</w:t>
      </w:r>
      <w:r w:rsidR="007110C0" w:rsidRPr="00F74486">
        <w:rPr>
          <w:rFonts w:ascii="Arial" w:hAnsi="Arial" w:cs="Arial"/>
          <w:bCs/>
        </w:rPr>
        <w:t xml:space="preserve"> </w:t>
      </w:r>
      <w:r w:rsidR="00B23552" w:rsidRPr="00F74486">
        <w:rPr>
          <w:rFonts w:ascii="Arial" w:hAnsi="Arial" w:cs="Arial"/>
          <w:bCs/>
        </w:rPr>
        <w:t>c.</w:t>
      </w:r>
      <w:r w:rsidR="007110C0" w:rsidRPr="00F74486">
        <w:rPr>
          <w:rFonts w:ascii="Arial" w:hAnsi="Arial" w:cs="Arial"/>
          <w:bCs/>
        </w:rPr>
        <w:t>£</w:t>
      </w:r>
      <w:r w:rsidR="0043467A" w:rsidRPr="0035009E">
        <w:rPr>
          <w:rFonts w:ascii="Arial" w:hAnsi="Arial" w:cs="Arial"/>
          <w:bCs/>
        </w:rPr>
        <w:t>40</w:t>
      </w:r>
      <w:r w:rsidR="006B55FF" w:rsidRPr="00F74486">
        <w:rPr>
          <w:rFonts w:ascii="Arial" w:hAnsi="Arial" w:cs="Arial"/>
          <w:bCs/>
        </w:rPr>
        <w:t>m</w:t>
      </w:r>
      <w:r w:rsidR="00E01D80">
        <w:rPr>
          <w:rFonts w:ascii="Arial" w:hAnsi="Arial" w:cs="Arial"/>
          <w:bCs/>
        </w:rPr>
        <w:t xml:space="preserve"> in FY 19/20</w:t>
      </w:r>
    </w:p>
    <w:p w14:paraId="4B5925C4" w14:textId="4A126CEB" w:rsidR="000D6B5F" w:rsidRPr="0035009E" w:rsidRDefault="000D6B5F" w:rsidP="000D6B5F">
      <w:pPr>
        <w:pStyle w:val="ListParagraph"/>
        <w:numPr>
          <w:ilvl w:val="0"/>
          <w:numId w:val="4"/>
        </w:numPr>
        <w:rPr>
          <w:rFonts w:ascii="Arial" w:hAnsi="Arial" w:cs="Arial"/>
          <w:bCs/>
        </w:rPr>
      </w:pPr>
      <w:bookmarkStart w:id="32" w:name="_Hlk2950775"/>
      <w:r w:rsidRPr="0035009E">
        <w:rPr>
          <w:rFonts w:ascii="Arial" w:hAnsi="Arial" w:cs="Arial"/>
          <w:bCs/>
        </w:rPr>
        <w:t>Adjusted effective tax rate expected to be</w:t>
      </w:r>
      <w:r w:rsidR="00C2187E" w:rsidRPr="0035009E">
        <w:rPr>
          <w:rFonts w:ascii="Arial" w:hAnsi="Arial" w:cs="Arial"/>
          <w:bCs/>
        </w:rPr>
        <w:t xml:space="preserve"> around</w:t>
      </w:r>
      <w:r w:rsidRPr="0035009E">
        <w:rPr>
          <w:rFonts w:ascii="Arial" w:hAnsi="Arial" w:cs="Arial"/>
          <w:bCs/>
        </w:rPr>
        <w:t xml:space="preserve"> 26</w:t>
      </w:r>
      <w:r w:rsidR="00AA29FF">
        <w:rPr>
          <w:rFonts w:ascii="Arial" w:hAnsi="Arial" w:cs="Arial"/>
          <w:bCs/>
        </w:rPr>
        <w:t>-27</w:t>
      </w:r>
      <w:r w:rsidRPr="0035009E">
        <w:rPr>
          <w:rFonts w:ascii="Arial" w:hAnsi="Arial" w:cs="Arial"/>
          <w:bCs/>
        </w:rPr>
        <w:t xml:space="preserve">%, subject to the blend of profit within the companies' various jurisdictions, as well as the timing of exits from Russia and Iberia </w:t>
      </w:r>
    </w:p>
    <w:bookmarkEnd w:id="32"/>
    <w:p w14:paraId="442D0D18" w14:textId="77777777" w:rsidR="00B50A38" w:rsidRDefault="00B50A38" w:rsidP="00925EFB">
      <w:pPr>
        <w:jc w:val="left"/>
        <w:rPr>
          <w:rFonts w:ascii="Arial" w:hAnsi="Arial" w:cs="Arial"/>
          <w:b/>
          <w:bCs/>
        </w:rPr>
      </w:pPr>
    </w:p>
    <w:p w14:paraId="697CE190" w14:textId="2C6F4815" w:rsidR="007D43ED" w:rsidRPr="00E742A0" w:rsidRDefault="007D43ED" w:rsidP="00925EFB">
      <w:pPr>
        <w:jc w:val="left"/>
        <w:rPr>
          <w:rFonts w:ascii="Arial" w:hAnsi="Arial" w:cs="Arial"/>
          <w:b/>
          <w:bCs/>
        </w:rPr>
      </w:pPr>
      <w:r w:rsidRPr="00E742A0">
        <w:rPr>
          <w:rFonts w:ascii="Arial" w:hAnsi="Arial" w:cs="Arial"/>
          <w:b/>
          <w:bCs/>
        </w:rPr>
        <w:t>Cash flow:</w:t>
      </w:r>
    </w:p>
    <w:p w14:paraId="0B6FAEEF" w14:textId="5A34F180" w:rsidR="003C2667" w:rsidRPr="00E742A0" w:rsidRDefault="007110C0" w:rsidP="00925EFB">
      <w:pPr>
        <w:pStyle w:val="ListParagraph"/>
        <w:numPr>
          <w:ilvl w:val="0"/>
          <w:numId w:val="4"/>
        </w:numPr>
        <w:jc w:val="left"/>
        <w:rPr>
          <w:rFonts w:ascii="Arial" w:hAnsi="Arial" w:cs="Arial"/>
          <w:bCs/>
        </w:rPr>
      </w:pPr>
      <w:r w:rsidRPr="00E742A0">
        <w:rPr>
          <w:rFonts w:ascii="Arial" w:hAnsi="Arial" w:cs="Arial"/>
          <w:bCs/>
        </w:rPr>
        <w:t xml:space="preserve">Total capex including transformation of </w:t>
      </w:r>
      <w:r w:rsidR="00295B76" w:rsidRPr="00E742A0">
        <w:rPr>
          <w:rFonts w:ascii="Arial" w:hAnsi="Arial" w:cs="Arial"/>
          <w:bCs/>
        </w:rPr>
        <w:t xml:space="preserve">up to </w:t>
      </w:r>
      <w:r w:rsidR="0043467A" w:rsidRPr="00E742A0">
        <w:rPr>
          <w:rFonts w:ascii="Arial" w:hAnsi="Arial" w:cs="Arial"/>
          <w:bCs/>
        </w:rPr>
        <w:t>c.</w:t>
      </w:r>
      <w:r w:rsidR="00AD3484" w:rsidRPr="00E742A0">
        <w:rPr>
          <w:rFonts w:ascii="Arial" w:hAnsi="Arial" w:cs="Arial"/>
          <w:bCs/>
        </w:rPr>
        <w:t>£</w:t>
      </w:r>
      <w:r w:rsidR="008B6A9F">
        <w:rPr>
          <w:rFonts w:ascii="Arial" w:hAnsi="Arial" w:cs="Arial"/>
          <w:bCs/>
        </w:rPr>
        <w:t>375</w:t>
      </w:r>
      <w:r w:rsidR="002B3E94" w:rsidRPr="00E742A0">
        <w:rPr>
          <w:rFonts w:ascii="Arial" w:hAnsi="Arial" w:cs="Arial"/>
          <w:bCs/>
        </w:rPr>
        <w:t>m</w:t>
      </w:r>
    </w:p>
    <w:p w14:paraId="7EBBDC0C" w14:textId="522F41AB" w:rsidR="00DF7A24" w:rsidRPr="003C2667" w:rsidRDefault="00F55DDC" w:rsidP="0035009E">
      <w:pPr>
        <w:pStyle w:val="ListParagraph"/>
        <w:numPr>
          <w:ilvl w:val="0"/>
          <w:numId w:val="4"/>
        </w:numPr>
        <w:jc w:val="left"/>
        <w:rPr>
          <w:rFonts w:ascii="Arial" w:hAnsi="Arial" w:cs="Arial"/>
          <w:bCs/>
        </w:rPr>
      </w:pPr>
      <w:r w:rsidRPr="00493601">
        <w:rPr>
          <w:rFonts w:ascii="Arial" w:hAnsi="Arial" w:cs="Arial"/>
          <w:bCs/>
        </w:rPr>
        <w:t>Store</w:t>
      </w:r>
      <w:r w:rsidR="008D1AC5" w:rsidRPr="0035009E">
        <w:rPr>
          <w:rFonts w:ascii="Arial" w:hAnsi="Arial" w:cs="Arial"/>
          <w:bCs/>
        </w:rPr>
        <w:t>s considered for closure:</w:t>
      </w:r>
      <w:r w:rsidRPr="00493601">
        <w:rPr>
          <w:rFonts w:ascii="Arial" w:hAnsi="Arial" w:cs="Arial"/>
          <w:bCs/>
        </w:rPr>
        <w:t xml:space="preserve"> </w:t>
      </w:r>
      <w:r w:rsidR="003C2667">
        <w:rPr>
          <w:rFonts w:ascii="Arial" w:hAnsi="Arial" w:cs="Arial"/>
          <w:bCs/>
        </w:rPr>
        <w:t>c</w:t>
      </w:r>
      <w:r w:rsidRPr="003C2667">
        <w:rPr>
          <w:rFonts w:ascii="Arial" w:hAnsi="Arial" w:cs="Arial"/>
          <w:bCs/>
        </w:rPr>
        <w:t>ash co</w:t>
      </w:r>
      <w:r w:rsidR="00DF7A24" w:rsidRPr="003C2667">
        <w:rPr>
          <w:rFonts w:ascii="Arial" w:hAnsi="Arial" w:cs="Arial"/>
          <w:bCs/>
        </w:rPr>
        <w:t>st</w:t>
      </w:r>
      <w:r w:rsidR="00621531" w:rsidRPr="003C2667">
        <w:rPr>
          <w:rFonts w:ascii="Arial" w:hAnsi="Arial" w:cs="Arial"/>
          <w:bCs/>
        </w:rPr>
        <w:t>s</w:t>
      </w:r>
      <w:r w:rsidR="00DF7A24" w:rsidRPr="003C2667">
        <w:rPr>
          <w:rFonts w:ascii="Arial" w:hAnsi="Arial" w:cs="Arial"/>
          <w:bCs/>
        </w:rPr>
        <w:t xml:space="preserve"> expected to be covered by disposal proceeds </w:t>
      </w:r>
    </w:p>
    <w:p w14:paraId="7F40AA37" w14:textId="3D151F6C" w:rsidR="008D08EE" w:rsidRDefault="008D08EE" w:rsidP="008D08EE">
      <w:pPr>
        <w:jc w:val="left"/>
        <w:rPr>
          <w:rFonts w:ascii="Arial" w:hAnsi="Arial" w:cs="Arial"/>
          <w:bCs/>
          <w:highlight w:val="yellow"/>
        </w:rPr>
      </w:pPr>
    </w:p>
    <w:p w14:paraId="330702FC" w14:textId="68216DE8" w:rsidR="008D08EE" w:rsidRPr="00C2187E" w:rsidRDefault="008D08EE" w:rsidP="008D08EE">
      <w:pPr>
        <w:rPr>
          <w:rFonts w:ascii="Arial" w:hAnsi="Arial" w:cs="Arial"/>
          <w:bCs/>
          <w:sz w:val="18"/>
        </w:rPr>
      </w:pPr>
      <w:r w:rsidRPr="00C2187E">
        <w:rPr>
          <w:rFonts w:ascii="Arial" w:hAnsi="Arial" w:cs="Arial"/>
          <w:bCs/>
          <w:sz w:val="18"/>
          <w:vertAlign w:val="superscript"/>
        </w:rPr>
        <w:t>(</w:t>
      </w:r>
      <w:r w:rsidR="002B3129">
        <w:rPr>
          <w:rFonts w:ascii="Arial" w:hAnsi="Arial" w:cs="Arial"/>
          <w:bCs/>
          <w:sz w:val="18"/>
          <w:vertAlign w:val="superscript"/>
        </w:rPr>
        <w:t>1</w:t>
      </w:r>
      <w:r w:rsidRPr="00C2187E">
        <w:rPr>
          <w:rFonts w:ascii="Arial" w:hAnsi="Arial" w:cs="Arial"/>
          <w:bCs/>
          <w:sz w:val="18"/>
          <w:vertAlign w:val="superscript"/>
        </w:rPr>
        <w:t>)</w:t>
      </w:r>
      <w:r w:rsidRPr="00C2187E">
        <w:rPr>
          <w:rFonts w:ascii="Arial" w:hAnsi="Arial" w:cs="Arial"/>
          <w:bCs/>
          <w:sz w:val="18"/>
        </w:rPr>
        <w:t xml:space="preserve"> Guidance given before the impact of the new lease accounting rules per IFRS 16</w:t>
      </w:r>
    </w:p>
    <w:p w14:paraId="2F0A4AF3" w14:textId="79F7292A" w:rsidR="008D08EE" w:rsidRPr="00C2187E" w:rsidRDefault="008D08EE" w:rsidP="008D08EE">
      <w:pPr>
        <w:rPr>
          <w:rFonts w:ascii="Arial" w:hAnsi="Arial" w:cs="Arial"/>
          <w:bCs/>
          <w:sz w:val="18"/>
        </w:rPr>
      </w:pPr>
      <w:r w:rsidRPr="00C2187E">
        <w:rPr>
          <w:rFonts w:ascii="Arial" w:hAnsi="Arial" w:cs="Arial"/>
          <w:bCs/>
          <w:sz w:val="18"/>
          <w:vertAlign w:val="superscript"/>
        </w:rPr>
        <w:t>(</w:t>
      </w:r>
      <w:r w:rsidR="009275D1">
        <w:rPr>
          <w:rFonts w:ascii="Arial" w:hAnsi="Arial" w:cs="Arial"/>
          <w:bCs/>
          <w:sz w:val="18"/>
          <w:vertAlign w:val="superscript"/>
        </w:rPr>
        <w:t>2</w:t>
      </w:r>
      <w:r w:rsidRPr="00C2187E">
        <w:rPr>
          <w:rFonts w:ascii="Arial" w:hAnsi="Arial" w:cs="Arial"/>
          <w:bCs/>
          <w:sz w:val="18"/>
          <w:vertAlign w:val="superscript"/>
        </w:rPr>
        <w:t>)</w:t>
      </w:r>
      <w:r w:rsidRPr="00C2187E">
        <w:rPr>
          <w:rFonts w:ascii="Arial" w:hAnsi="Arial" w:cs="Arial"/>
          <w:bCs/>
          <w:sz w:val="18"/>
        </w:rPr>
        <w:t xml:space="preserve"> Gross margin movement excluding Russia and Iberia</w:t>
      </w:r>
    </w:p>
    <w:p w14:paraId="2AC05016" w14:textId="2A9E0D6D" w:rsidR="00DB19E7" w:rsidRDefault="005F07BF" w:rsidP="00773A54">
      <w:pPr>
        <w:jc w:val="left"/>
        <w:rPr>
          <w:rFonts w:ascii="Arial" w:hAnsi="Arial" w:cs="Arial"/>
          <w:bCs/>
        </w:rPr>
      </w:pPr>
      <w:r w:rsidRPr="00C2187E" w:rsidDel="005F07BF">
        <w:rPr>
          <w:rFonts w:ascii="Arial" w:hAnsi="Arial" w:cs="Arial"/>
          <w:bCs/>
        </w:rPr>
        <w:t xml:space="preserve"> </w:t>
      </w:r>
    </w:p>
    <w:p w14:paraId="0C75D63C" w14:textId="1FA861CA" w:rsidR="00750E65" w:rsidRDefault="00750E65" w:rsidP="00773A54">
      <w:pPr>
        <w:jc w:val="left"/>
        <w:rPr>
          <w:rFonts w:ascii="Arial" w:hAnsi="Arial" w:cs="Arial"/>
          <w:bCs/>
        </w:rPr>
      </w:pPr>
    </w:p>
    <w:p w14:paraId="19BC3962" w14:textId="64F22483" w:rsidR="00750E65" w:rsidRDefault="00750E65" w:rsidP="00773A54">
      <w:pPr>
        <w:jc w:val="left"/>
        <w:rPr>
          <w:rFonts w:ascii="Arial" w:hAnsi="Arial" w:cs="Arial"/>
          <w:bCs/>
        </w:rPr>
      </w:pPr>
    </w:p>
    <w:p w14:paraId="386FB378" w14:textId="3044E26E" w:rsidR="00750E65" w:rsidRDefault="00750E65" w:rsidP="00773A54">
      <w:pPr>
        <w:jc w:val="left"/>
        <w:rPr>
          <w:rFonts w:ascii="Arial" w:hAnsi="Arial" w:cs="Arial"/>
          <w:bCs/>
        </w:rPr>
      </w:pPr>
    </w:p>
    <w:p w14:paraId="5DAF55A6" w14:textId="2A75AA48" w:rsidR="00750E65" w:rsidRDefault="00750E65" w:rsidP="00773A54">
      <w:pPr>
        <w:jc w:val="left"/>
        <w:rPr>
          <w:rFonts w:ascii="Arial" w:hAnsi="Arial" w:cs="Arial"/>
          <w:bCs/>
        </w:rPr>
      </w:pPr>
    </w:p>
    <w:p w14:paraId="7F1251FC" w14:textId="7CE03BD6" w:rsidR="00750E65" w:rsidRDefault="00750E65" w:rsidP="00773A54">
      <w:pPr>
        <w:jc w:val="left"/>
        <w:rPr>
          <w:rFonts w:ascii="Arial" w:hAnsi="Arial" w:cs="Arial"/>
          <w:bCs/>
        </w:rPr>
      </w:pPr>
    </w:p>
    <w:p w14:paraId="4164745B" w14:textId="45D0AB63" w:rsidR="00750E65" w:rsidRDefault="00750E65" w:rsidP="00773A54">
      <w:pPr>
        <w:jc w:val="left"/>
        <w:rPr>
          <w:rFonts w:ascii="Arial" w:hAnsi="Arial" w:cs="Arial"/>
          <w:bCs/>
        </w:rPr>
      </w:pPr>
    </w:p>
    <w:p w14:paraId="714BD71E" w14:textId="77777777" w:rsidR="00750E65" w:rsidRDefault="00750E65" w:rsidP="00773A54">
      <w:pPr>
        <w:jc w:val="left"/>
        <w:rPr>
          <w:rFonts w:ascii="Arial" w:hAnsi="Arial" w:cs="Arial"/>
          <w:bCs/>
        </w:rPr>
      </w:pPr>
    </w:p>
    <w:p w14:paraId="1D22CB00" w14:textId="1D3DAEF7" w:rsidR="00773A54" w:rsidRPr="00A845B7" w:rsidRDefault="00773A54" w:rsidP="00773A54">
      <w:pPr>
        <w:jc w:val="left"/>
        <w:rPr>
          <w:rFonts w:ascii="Arial" w:hAnsi="Arial" w:cs="Arial"/>
        </w:rPr>
      </w:pPr>
      <w:bookmarkStart w:id="33" w:name="_Hlk3541151"/>
      <w:r w:rsidRPr="00A845B7">
        <w:rPr>
          <w:rFonts w:ascii="Arial" w:hAnsi="Arial" w:cs="Arial"/>
          <w:b/>
          <w:bCs/>
        </w:rPr>
        <w:lastRenderedPageBreak/>
        <w:t xml:space="preserve">Section 4: </w:t>
      </w:r>
      <w:r w:rsidR="00930D09" w:rsidRPr="00A845B7">
        <w:rPr>
          <w:rFonts w:ascii="Arial" w:hAnsi="Arial" w:cs="Arial"/>
          <w:b/>
          <w:bCs/>
        </w:rPr>
        <w:t xml:space="preserve">FY </w:t>
      </w:r>
      <w:r w:rsidRPr="00A845B7">
        <w:rPr>
          <w:rFonts w:ascii="Arial" w:hAnsi="Arial" w:cs="Arial"/>
          <w:b/>
          <w:bCs/>
        </w:rPr>
        <w:t>1</w:t>
      </w:r>
      <w:r w:rsidR="005A65ED">
        <w:rPr>
          <w:rFonts w:ascii="Arial" w:hAnsi="Arial" w:cs="Arial"/>
          <w:b/>
          <w:bCs/>
        </w:rPr>
        <w:t>8</w:t>
      </w:r>
      <w:r w:rsidRPr="00A845B7">
        <w:rPr>
          <w:rFonts w:ascii="Arial" w:hAnsi="Arial" w:cs="Arial"/>
          <w:b/>
          <w:bCs/>
        </w:rPr>
        <w:t>/1</w:t>
      </w:r>
      <w:r w:rsidR="005A65ED">
        <w:rPr>
          <w:rFonts w:ascii="Arial" w:hAnsi="Arial" w:cs="Arial"/>
          <w:b/>
          <w:bCs/>
        </w:rPr>
        <w:t>9</w:t>
      </w:r>
      <w:r w:rsidRPr="00A845B7">
        <w:rPr>
          <w:rFonts w:ascii="Arial" w:hAnsi="Arial" w:cs="Arial"/>
          <w:b/>
          <w:bCs/>
        </w:rPr>
        <w:t xml:space="preserve"> Financial </w:t>
      </w:r>
      <w:r w:rsidR="007341CC" w:rsidRPr="00A845B7">
        <w:rPr>
          <w:rFonts w:ascii="Arial" w:hAnsi="Arial" w:cs="Arial"/>
          <w:b/>
          <w:bCs/>
        </w:rPr>
        <w:t>r</w:t>
      </w:r>
      <w:r w:rsidRPr="00A845B7">
        <w:rPr>
          <w:rFonts w:ascii="Arial" w:hAnsi="Arial" w:cs="Arial"/>
          <w:b/>
          <w:bCs/>
        </w:rPr>
        <w:t xml:space="preserve">eview </w:t>
      </w:r>
    </w:p>
    <w:bookmarkEnd w:id="33"/>
    <w:p w14:paraId="5AD272A0" w14:textId="77777777" w:rsidR="00773A54" w:rsidRPr="00A845B7" w:rsidRDefault="00773A54" w:rsidP="00773A54">
      <w:pPr>
        <w:tabs>
          <w:tab w:val="right" w:pos="9356"/>
        </w:tabs>
        <w:rPr>
          <w:rFonts w:ascii="Arial" w:hAnsi="Arial" w:cs="Arial"/>
          <w:b/>
          <w:i/>
        </w:rPr>
      </w:pPr>
    </w:p>
    <w:p w14:paraId="568443BC" w14:textId="34134108" w:rsidR="00997637" w:rsidRPr="00A845B7" w:rsidRDefault="00997637" w:rsidP="00997637">
      <w:pPr>
        <w:jc w:val="left"/>
        <w:rPr>
          <w:rFonts w:ascii="Arial" w:hAnsi="Arial" w:cs="Arial"/>
        </w:rPr>
      </w:pPr>
      <w:r w:rsidRPr="00A845B7">
        <w:rPr>
          <w:rFonts w:ascii="Arial" w:hAnsi="Arial" w:cs="Arial"/>
        </w:rPr>
        <w:t>A summary of the reported financial results for the year ended 31 January 201</w:t>
      </w:r>
      <w:r w:rsidR="005A65ED">
        <w:rPr>
          <w:rFonts w:ascii="Arial" w:hAnsi="Arial" w:cs="Arial"/>
        </w:rPr>
        <w:t>9</w:t>
      </w:r>
      <w:r w:rsidRPr="00A845B7">
        <w:rPr>
          <w:rFonts w:ascii="Arial" w:hAnsi="Arial" w:cs="Arial"/>
        </w:rPr>
        <w:t xml:space="preserve"> is set out below:</w:t>
      </w:r>
    </w:p>
    <w:p w14:paraId="2B275472" w14:textId="77777777" w:rsidR="00997637" w:rsidRPr="00A845B7" w:rsidRDefault="00997637" w:rsidP="00997637">
      <w:pPr>
        <w:jc w:val="left"/>
        <w:rPr>
          <w:rFonts w:ascii="Arial" w:hAnsi="Arial" w:cs="Arial"/>
        </w:rPr>
      </w:pPr>
    </w:p>
    <w:tbl>
      <w:tblPr>
        <w:tblW w:w="5000" w:type="pct"/>
        <w:tblLayout w:type="fixed"/>
        <w:tblLook w:val="01E0" w:firstRow="1" w:lastRow="1" w:firstColumn="1" w:lastColumn="1" w:noHBand="0" w:noVBand="0"/>
      </w:tblPr>
      <w:tblGrid>
        <w:gridCol w:w="4086"/>
        <w:gridCol w:w="1552"/>
        <w:gridCol w:w="1409"/>
        <w:gridCol w:w="1383"/>
        <w:gridCol w:w="1437"/>
      </w:tblGrid>
      <w:tr w:rsidR="00997637" w:rsidRPr="00A845B7" w14:paraId="5C74BEE3" w14:textId="77777777" w:rsidTr="00D26880">
        <w:tc>
          <w:tcPr>
            <w:tcW w:w="2070" w:type="pct"/>
            <w:tcBorders>
              <w:bottom w:val="single" w:sz="4" w:space="0" w:color="auto"/>
            </w:tcBorders>
            <w:shd w:val="clear" w:color="auto" w:fill="auto"/>
          </w:tcPr>
          <w:p w14:paraId="1EDF6864" w14:textId="77777777" w:rsidR="00997637" w:rsidRPr="00A845B7" w:rsidRDefault="00997637" w:rsidP="00F24C8A">
            <w:pPr>
              <w:rPr>
                <w:rFonts w:ascii="Arial" w:hAnsi="Arial" w:cs="Arial"/>
              </w:rPr>
            </w:pPr>
          </w:p>
        </w:tc>
        <w:tc>
          <w:tcPr>
            <w:tcW w:w="786" w:type="pct"/>
            <w:tcBorders>
              <w:bottom w:val="single" w:sz="4" w:space="0" w:color="auto"/>
            </w:tcBorders>
            <w:shd w:val="clear" w:color="auto" w:fill="auto"/>
          </w:tcPr>
          <w:p w14:paraId="7BB48909" w14:textId="1A9A7EEE" w:rsidR="00997637" w:rsidRPr="00F50924" w:rsidRDefault="00997637" w:rsidP="00F24C8A">
            <w:pPr>
              <w:jc w:val="right"/>
              <w:rPr>
                <w:rFonts w:ascii="Arial" w:hAnsi="Arial" w:cs="Arial"/>
                <w:b/>
              </w:rPr>
            </w:pPr>
            <w:r w:rsidRPr="00F50924">
              <w:rPr>
                <w:rFonts w:ascii="Arial" w:hAnsi="Arial" w:cs="Arial"/>
                <w:b/>
              </w:rPr>
              <w:t>201</w:t>
            </w:r>
            <w:r w:rsidR="005A65ED">
              <w:rPr>
                <w:rFonts w:ascii="Arial" w:hAnsi="Arial" w:cs="Arial"/>
                <w:b/>
              </w:rPr>
              <w:t>8</w:t>
            </w:r>
            <w:r w:rsidRPr="00F50924">
              <w:rPr>
                <w:rFonts w:ascii="Arial" w:hAnsi="Arial" w:cs="Arial"/>
                <w:b/>
              </w:rPr>
              <w:t>/1</w:t>
            </w:r>
            <w:r w:rsidR="005A65ED">
              <w:rPr>
                <w:rFonts w:ascii="Arial" w:hAnsi="Arial" w:cs="Arial"/>
                <w:b/>
              </w:rPr>
              <w:t>9</w:t>
            </w:r>
          </w:p>
          <w:p w14:paraId="57FA0DC3" w14:textId="77777777" w:rsidR="00997637" w:rsidRPr="003C6F01" w:rsidRDefault="00997637" w:rsidP="00F24C8A">
            <w:pPr>
              <w:jc w:val="right"/>
              <w:rPr>
                <w:rFonts w:ascii="Arial" w:hAnsi="Arial" w:cs="Arial"/>
                <w:b/>
              </w:rPr>
            </w:pPr>
          </w:p>
        </w:tc>
        <w:tc>
          <w:tcPr>
            <w:tcW w:w="714" w:type="pct"/>
            <w:tcBorders>
              <w:bottom w:val="single" w:sz="4" w:space="0" w:color="auto"/>
            </w:tcBorders>
            <w:shd w:val="clear" w:color="auto" w:fill="auto"/>
          </w:tcPr>
          <w:p w14:paraId="2EEED678" w14:textId="1D81C442" w:rsidR="00997637" w:rsidRPr="001E7802" w:rsidRDefault="00997637" w:rsidP="00F24C8A">
            <w:pPr>
              <w:jc w:val="right"/>
              <w:rPr>
                <w:rFonts w:ascii="Arial" w:hAnsi="Arial" w:cs="Arial"/>
              </w:rPr>
            </w:pPr>
            <w:r w:rsidRPr="001E7802">
              <w:rPr>
                <w:rFonts w:ascii="Arial" w:hAnsi="Arial" w:cs="Arial"/>
              </w:rPr>
              <w:t>201</w:t>
            </w:r>
            <w:r w:rsidR="005A65ED">
              <w:rPr>
                <w:rFonts w:ascii="Arial" w:hAnsi="Arial" w:cs="Arial"/>
              </w:rPr>
              <w:t>7</w:t>
            </w:r>
            <w:r w:rsidRPr="001E7802">
              <w:rPr>
                <w:rFonts w:ascii="Arial" w:hAnsi="Arial" w:cs="Arial"/>
              </w:rPr>
              <w:t>/1</w:t>
            </w:r>
            <w:r w:rsidR="005A65ED">
              <w:rPr>
                <w:rFonts w:ascii="Arial" w:hAnsi="Arial" w:cs="Arial"/>
              </w:rPr>
              <w:t>8</w:t>
            </w:r>
          </w:p>
          <w:p w14:paraId="1BA69143" w14:textId="77777777" w:rsidR="00997637" w:rsidRPr="00F158F2" w:rsidRDefault="00997637" w:rsidP="00F24C8A">
            <w:pPr>
              <w:tabs>
                <w:tab w:val="center" w:pos="434"/>
                <w:tab w:val="right" w:pos="869"/>
              </w:tabs>
              <w:jc w:val="right"/>
              <w:rPr>
                <w:rFonts w:ascii="Arial" w:hAnsi="Arial" w:cs="Arial"/>
              </w:rPr>
            </w:pPr>
          </w:p>
        </w:tc>
        <w:tc>
          <w:tcPr>
            <w:tcW w:w="701" w:type="pct"/>
            <w:tcBorders>
              <w:bottom w:val="single" w:sz="4" w:space="0" w:color="auto"/>
            </w:tcBorders>
          </w:tcPr>
          <w:p w14:paraId="601F7EBF" w14:textId="77777777" w:rsidR="00997637" w:rsidRPr="00F158F2" w:rsidRDefault="00997637" w:rsidP="00F24C8A">
            <w:pPr>
              <w:jc w:val="right"/>
              <w:rPr>
                <w:rFonts w:ascii="Arial" w:hAnsi="Arial" w:cs="Arial"/>
              </w:rPr>
            </w:pPr>
            <w:r w:rsidRPr="00F158F2">
              <w:rPr>
                <w:rFonts w:ascii="Arial" w:hAnsi="Arial" w:cs="Arial"/>
              </w:rPr>
              <w:t>% Reported Change</w:t>
            </w:r>
          </w:p>
        </w:tc>
        <w:tc>
          <w:tcPr>
            <w:tcW w:w="728" w:type="pct"/>
            <w:tcBorders>
              <w:bottom w:val="single" w:sz="4" w:space="0" w:color="auto"/>
            </w:tcBorders>
            <w:shd w:val="clear" w:color="auto" w:fill="auto"/>
          </w:tcPr>
          <w:p w14:paraId="334E4333" w14:textId="77777777" w:rsidR="00997637" w:rsidRPr="00A845B7" w:rsidRDefault="00997637" w:rsidP="00F24C8A">
            <w:pPr>
              <w:jc w:val="right"/>
              <w:rPr>
                <w:rFonts w:ascii="Arial" w:hAnsi="Arial" w:cs="Arial"/>
              </w:rPr>
            </w:pPr>
            <w:r w:rsidRPr="00F158F2">
              <w:rPr>
                <w:rFonts w:ascii="Arial" w:hAnsi="Arial" w:cs="Arial"/>
              </w:rPr>
              <w:t>% Constant Currency Change</w:t>
            </w:r>
          </w:p>
        </w:tc>
      </w:tr>
      <w:tr w:rsidR="005A65ED" w:rsidRPr="00A524EB" w14:paraId="528C7388" w14:textId="77777777" w:rsidTr="00D26880">
        <w:tc>
          <w:tcPr>
            <w:tcW w:w="2070" w:type="pct"/>
            <w:shd w:val="clear" w:color="auto" w:fill="auto"/>
          </w:tcPr>
          <w:p w14:paraId="43FF0B30" w14:textId="336E64ED" w:rsidR="005A65ED" w:rsidRPr="00A845B7" w:rsidRDefault="005A65ED" w:rsidP="005A65ED">
            <w:pPr>
              <w:jc w:val="left"/>
              <w:rPr>
                <w:rFonts w:ascii="Arial" w:hAnsi="Arial" w:cs="Arial"/>
              </w:rPr>
            </w:pPr>
            <w:r>
              <w:rPr>
                <w:rFonts w:ascii="Arial" w:hAnsi="Arial" w:cs="Arial"/>
              </w:rPr>
              <w:t>S</w:t>
            </w:r>
            <w:r w:rsidRPr="00A845B7">
              <w:rPr>
                <w:rFonts w:ascii="Arial" w:hAnsi="Arial" w:cs="Arial"/>
              </w:rPr>
              <w:t>ales</w:t>
            </w:r>
          </w:p>
        </w:tc>
        <w:tc>
          <w:tcPr>
            <w:tcW w:w="786" w:type="pct"/>
            <w:shd w:val="clear" w:color="auto" w:fill="auto"/>
          </w:tcPr>
          <w:p w14:paraId="2A5CF932" w14:textId="1652E408" w:rsidR="005A65ED" w:rsidRPr="005D6FAA" w:rsidRDefault="005A65ED" w:rsidP="005A65ED">
            <w:pPr>
              <w:jc w:val="right"/>
              <w:rPr>
                <w:rFonts w:ascii="Arial" w:hAnsi="Arial" w:cs="Arial"/>
                <w:b/>
              </w:rPr>
            </w:pPr>
            <w:r w:rsidRPr="007861AD">
              <w:rPr>
                <w:rFonts w:ascii="Arial" w:hAnsi="Arial" w:cs="Arial"/>
                <w:b/>
              </w:rPr>
              <w:t>£11,6</w:t>
            </w:r>
            <w:r w:rsidR="007861AD" w:rsidRPr="005D6FAA">
              <w:rPr>
                <w:rFonts w:ascii="Arial" w:hAnsi="Arial" w:cs="Arial"/>
                <w:b/>
              </w:rPr>
              <w:t>8</w:t>
            </w:r>
            <w:r w:rsidRPr="007861AD">
              <w:rPr>
                <w:rFonts w:ascii="Arial" w:hAnsi="Arial" w:cs="Arial"/>
                <w:b/>
              </w:rPr>
              <w:t>5m</w:t>
            </w:r>
            <w:r w:rsidRPr="005D6FAA" w:rsidDel="009E5D4B">
              <w:rPr>
                <w:rFonts w:ascii="Arial" w:hAnsi="Arial" w:cs="Arial"/>
                <w:b/>
              </w:rPr>
              <w:t xml:space="preserve"> </w:t>
            </w:r>
          </w:p>
        </w:tc>
        <w:tc>
          <w:tcPr>
            <w:tcW w:w="714" w:type="pct"/>
            <w:shd w:val="clear" w:color="auto" w:fill="auto"/>
          </w:tcPr>
          <w:p w14:paraId="4BD0B4F3" w14:textId="0502C866" w:rsidR="005A65ED" w:rsidRPr="007861AD" w:rsidRDefault="005A65ED" w:rsidP="005A65ED">
            <w:pPr>
              <w:jc w:val="right"/>
              <w:rPr>
                <w:rFonts w:ascii="Arial" w:hAnsi="Arial" w:cs="Arial"/>
              </w:rPr>
            </w:pPr>
            <w:r w:rsidRPr="005D6FAA">
              <w:rPr>
                <w:rFonts w:ascii="Arial" w:hAnsi="Arial" w:cs="Arial"/>
              </w:rPr>
              <w:t>£11,655m</w:t>
            </w:r>
            <w:r w:rsidRPr="005D6FAA" w:rsidDel="009E5D4B">
              <w:rPr>
                <w:rFonts w:ascii="Arial" w:hAnsi="Arial" w:cs="Arial"/>
              </w:rPr>
              <w:t xml:space="preserve"> </w:t>
            </w:r>
          </w:p>
        </w:tc>
        <w:tc>
          <w:tcPr>
            <w:tcW w:w="701" w:type="pct"/>
          </w:tcPr>
          <w:p w14:paraId="20BABA8D" w14:textId="4F20975F" w:rsidR="005A65ED" w:rsidRPr="005D6FAA" w:rsidRDefault="005A65ED" w:rsidP="005A65ED">
            <w:pPr>
              <w:jc w:val="right"/>
              <w:rPr>
                <w:rFonts w:ascii="Arial" w:hAnsi="Arial" w:cs="Arial"/>
              </w:rPr>
            </w:pPr>
            <w:r w:rsidRPr="007861AD">
              <w:rPr>
                <w:rFonts w:ascii="Arial" w:hAnsi="Arial" w:cs="Arial"/>
              </w:rPr>
              <w:t>+</w:t>
            </w:r>
            <w:r w:rsidR="007861AD" w:rsidRPr="005D6FAA">
              <w:rPr>
                <w:rFonts w:ascii="Arial" w:hAnsi="Arial" w:cs="Arial"/>
              </w:rPr>
              <w:t>0</w:t>
            </w:r>
            <w:r w:rsidRPr="007861AD">
              <w:rPr>
                <w:rFonts w:ascii="Arial" w:hAnsi="Arial" w:cs="Arial"/>
              </w:rPr>
              <w:t>.</w:t>
            </w:r>
            <w:r w:rsidR="007861AD" w:rsidRPr="005D6FAA">
              <w:rPr>
                <w:rFonts w:ascii="Arial" w:hAnsi="Arial" w:cs="Arial"/>
              </w:rPr>
              <w:t>3</w:t>
            </w:r>
            <w:r w:rsidRPr="007861AD">
              <w:rPr>
                <w:rFonts w:ascii="Arial" w:hAnsi="Arial" w:cs="Arial"/>
              </w:rPr>
              <w:t>%</w:t>
            </w:r>
            <w:r w:rsidRPr="007861AD" w:rsidDel="00265815">
              <w:rPr>
                <w:rFonts w:ascii="Arial" w:hAnsi="Arial" w:cs="Arial"/>
              </w:rPr>
              <w:t xml:space="preserve"> </w:t>
            </w:r>
          </w:p>
        </w:tc>
        <w:tc>
          <w:tcPr>
            <w:tcW w:w="728" w:type="pct"/>
            <w:shd w:val="clear" w:color="auto" w:fill="auto"/>
          </w:tcPr>
          <w:p w14:paraId="369378C2" w14:textId="554938B5" w:rsidR="005A65ED" w:rsidRPr="007861AD" w:rsidRDefault="007861AD" w:rsidP="005A65ED">
            <w:pPr>
              <w:jc w:val="right"/>
              <w:rPr>
                <w:rFonts w:ascii="Arial" w:hAnsi="Arial" w:cs="Arial"/>
              </w:rPr>
            </w:pPr>
            <w:r w:rsidRPr="005D6FAA">
              <w:rPr>
                <w:rFonts w:ascii="Arial" w:hAnsi="Arial" w:cs="Arial"/>
              </w:rPr>
              <w:t>+</w:t>
            </w:r>
            <w:r w:rsidR="005A65ED" w:rsidRPr="007861AD">
              <w:rPr>
                <w:rFonts w:ascii="Arial" w:hAnsi="Arial" w:cs="Arial"/>
              </w:rPr>
              <w:t>0.3%</w:t>
            </w:r>
          </w:p>
        </w:tc>
      </w:tr>
      <w:tr w:rsidR="005A65ED" w:rsidRPr="00A845B7" w14:paraId="66C4302C" w14:textId="77777777" w:rsidTr="00D26880">
        <w:tc>
          <w:tcPr>
            <w:tcW w:w="2070" w:type="pct"/>
            <w:shd w:val="clear" w:color="auto" w:fill="auto"/>
          </w:tcPr>
          <w:p w14:paraId="4FBE7696" w14:textId="50B93158" w:rsidR="005A65ED" w:rsidRPr="005F07BF" w:rsidRDefault="005A65ED" w:rsidP="005A65ED">
            <w:pPr>
              <w:jc w:val="left"/>
              <w:rPr>
                <w:rFonts w:ascii="Arial" w:hAnsi="Arial" w:cs="Arial"/>
              </w:rPr>
            </w:pPr>
            <w:r w:rsidRPr="005F07BF">
              <w:rPr>
                <w:rFonts w:ascii="Arial" w:hAnsi="Arial" w:cs="Arial"/>
              </w:rPr>
              <w:t>Gross margin</w:t>
            </w:r>
          </w:p>
        </w:tc>
        <w:tc>
          <w:tcPr>
            <w:tcW w:w="786" w:type="pct"/>
            <w:shd w:val="clear" w:color="auto" w:fill="auto"/>
          </w:tcPr>
          <w:p w14:paraId="58D83913" w14:textId="1044E3AD" w:rsidR="005A65ED" w:rsidRPr="00AF307A" w:rsidRDefault="005A65ED" w:rsidP="005A65ED">
            <w:pPr>
              <w:jc w:val="right"/>
              <w:rPr>
                <w:rFonts w:ascii="Arial" w:hAnsi="Arial" w:cs="Arial"/>
                <w:b/>
              </w:rPr>
            </w:pPr>
            <w:r w:rsidRPr="00AF307A">
              <w:rPr>
                <w:rFonts w:ascii="Arial" w:hAnsi="Arial" w:cs="Arial"/>
                <w:b/>
              </w:rPr>
              <w:t>36.9%</w:t>
            </w:r>
          </w:p>
        </w:tc>
        <w:tc>
          <w:tcPr>
            <w:tcW w:w="714" w:type="pct"/>
            <w:shd w:val="clear" w:color="auto" w:fill="auto"/>
          </w:tcPr>
          <w:p w14:paraId="7A126CE8" w14:textId="7511593C" w:rsidR="005A65ED" w:rsidRPr="005F07BF" w:rsidRDefault="005A65ED" w:rsidP="005A65ED">
            <w:pPr>
              <w:jc w:val="right"/>
              <w:rPr>
                <w:rFonts w:ascii="Arial" w:hAnsi="Arial" w:cs="Arial"/>
              </w:rPr>
            </w:pPr>
            <w:r w:rsidRPr="005F07BF">
              <w:rPr>
                <w:rFonts w:ascii="Arial" w:hAnsi="Arial" w:cs="Arial"/>
              </w:rPr>
              <w:t>36.9%</w:t>
            </w:r>
          </w:p>
        </w:tc>
        <w:tc>
          <w:tcPr>
            <w:tcW w:w="701" w:type="pct"/>
          </w:tcPr>
          <w:p w14:paraId="2FE90CC6" w14:textId="5E9A3637" w:rsidR="005A65ED" w:rsidRPr="00AF307A" w:rsidRDefault="005F07BF" w:rsidP="005A65ED">
            <w:pPr>
              <w:jc w:val="right"/>
              <w:rPr>
                <w:rFonts w:ascii="Arial" w:hAnsi="Arial" w:cs="Arial"/>
              </w:rPr>
            </w:pPr>
            <w:r w:rsidRPr="00AF307A">
              <w:rPr>
                <w:rFonts w:ascii="Arial" w:hAnsi="Arial" w:cs="Arial"/>
              </w:rPr>
              <w:t>-</w:t>
            </w:r>
          </w:p>
        </w:tc>
        <w:tc>
          <w:tcPr>
            <w:tcW w:w="728" w:type="pct"/>
            <w:shd w:val="clear" w:color="auto" w:fill="auto"/>
          </w:tcPr>
          <w:p w14:paraId="1A9BD196" w14:textId="5D1EB991" w:rsidR="005A65ED" w:rsidRPr="00AF307A" w:rsidRDefault="005A65ED" w:rsidP="005A65ED">
            <w:pPr>
              <w:jc w:val="right"/>
              <w:rPr>
                <w:rFonts w:ascii="Arial" w:hAnsi="Arial" w:cs="Arial"/>
              </w:rPr>
            </w:pPr>
            <w:r w:rsidRPr="00AF307A">
              <w:rPr>
                <w:rFonts w:ascii="Arial" w:hAnsi="Arial" w:cs="Arial"/>
              </w:rPr>
              <w:t>(</w:t>
            </w:r>
            <w:proofErr w:type="gramStart"/>
            <w:r w:rsidR="005F07BF" w:rsidRPr="00AF307A">
              <w:rPr>
                <w:rFonts w:ascii="Arial" w:hAnsi="Arial" w:cs="Arial"/>
              </w:rPr>
              <w:t>1</w:t>
            </w:r>
            <w:r w:rsidRPr="00AF307A">
              <w:rPr>
                <w:rFonts w:ascii="Arial" w:hAnsi="Arial" w:cs="Arial"/>
              </w:rPr>
              <w:t>0)bps</w:t>
            </w:r>
            <w:proofErr w:type="gramEnd"/>
          </w:p>
        </w:tc>
      </w:tr>
      <w:tr w:rsidR="005A65ED" w:rsidRPr="00A845B7" w14:paraId="0246F1C4" w14:textId="77777777" w:rsidTr="00D26880">
        <w:tc>
          <w:tcPr>
            <w:tcW w:w="2070" w:type="pct"/>
            <w:shd w:val="clear" w:color="auto" w:fill="auto"/>
          </w:tcPr>
          <w:p w14:paraId="71390610" w14:textId="77777777" w:rsidR="005A65ED" w:rsidRPr="00FE265B" w:rsidRDefault="005A65ED" w:rsidP="005A65ED">
            <w:pPr>
              <w:jc w:val="left"/>
              <w:rPr>
                <w:rFonts w:ascii="Arial" w:hAnsi="Arial" w:cs="Arial"/>
              </w:rPr>
            </w:pPr>
            <w:r w:rsidRPr="00FE265B">
              <w:rPr>
                <w:rFonts w:ascii="Arial" w:hAnsi="Arial" w:cs="Arial"/>
              </w:rPr>
              <w:t xml:space="preserve">Retail profit </w:t>
            </w:r>
          </w:p>
        </w:tc>
        <w:tc>
          <w:tcPr>
            <w:tcW w:w="786" w:type="pct"/>
            <w:shd w:val="clear" w:color="auto" w:fill="auto"/>
          </w:tcPr>
          <w:p w14:paraId="33AA95F7" w14:textId="6E633AB0" w:rsidR="005A65ED" w:rsidRPr="007861AD" w:rsidRDefault="005A65ED" w:rsidP="005A65ED">
            <w:pPr>
              <w:jc w:val="right"/>
              <w:rPr>
                <w:rFonts w:ascii="Arial" w:hAnsi="Arial" w:cs="Arial"/>
                <w:b/>
              </w:rPr>
            </w:pPr>
            <w:r w:rsidRPr="007861AD">
              <w:rPr>
                <w:rFonts w:ascii="Arial" w:hAnsi="Arial" w:cs="Arial"/>
                <w:b/>
              </w:rPr>
              <w:t>£</w:t>
            </w:r>
            <w:r w:rsidR="007861AD" w:rsidRPr="005D6FAA">
              <w:rPr>
                <w:rFonts w:ascii="Arial" w:hAnsi="Arial" w:cs="Arial"/>
                <w:b/>
              </w:rPr>
              <w:t>75</w:t>
            </w:r>
            <w:r w:rsidR="006713F6">
              <w:rPr>
                <w:rFonts w:ascii="Arial" w:hAnsi="Arial" w:cs="Arial"/>
                <w:b/>
              </w:rPr>
              <w:t>3</w:t>
            </w:r>
            <w:r w:rsidRPr="007861AD">
              <w:rPr>
                <w:rFonts w:ascii="Arial" w:hAnsi="Arial" w:cs="Arial"/>
                <w:b/>
              </w:rPr>
              <w:t>m</w:t>
            </w:r>
            <w:r w:rsidRPr="007861AD" w:rsidDel="00265815">
              <w:rPr>
                <w:rFonts w:ascii="Arial" w:hAnsi="Arial" w:cs="Arial"/>
                <w:b/>
              </w:rPr>
              <w:t xml:space="preserve"> </w:t>
            </w:r>
          </w:p>
        </w:tc>
        <w:tc>
          <w:tcPr>
            <w:tcW w:w="714" w:type="pct"/>
            <w:shd w:val="clear" w:color="auto" w:fill="auto"/>
          </w:tcPr>
          <w:p w14:paraId="3247EBD7" w14:textId="52210610" w:rsidR="005A65ED" w:rsidRPr="007861AD" w:rsidRDefault="005A65ED" w:rsidP="005A65ED">
            <w:pPr>
              <w:jc w:val="right"/>
              <w:rPr>
                <w:rFonts w:ascii="Arial" w:hAnsi="Arial" w:cs="Arial"/>
              </w:rPr>
            </w:pPr>
            <w:r w:rsidRPr="005D6FAA">
              <w:rPr>
                <w:rFonts w:ascii="Arial" w:hAnsi="Arial" w:cs="Arial"/>
              </w:rPr>
              <w:t>£849m</w:t>
            </w:r>
            <w:r w:rsidRPr="005D6FAA" w:rsidDel="00265815">
              <w:rPr>
                <w:rFonts w:ascii="Arial" w:hAnsi="Arial" w:cs="Arial"/>
              </w:rPr>
              <w:t xml:space="preserve"> </w:t>
            </w:r>
          </w:p>
        </w:tc>
        <w:tc>
          <w:tcPr>
            <w:tcW w:w="701" w:type="pct"/>
          </w:tcPr>
          <w:p w14:paraId="0C2F590C" w14:textId="6FCF6493" w:rsidR="005A65ED" w:rsidRPr="007861AD" w:rsidRDefault="007861AD" w:rsidP="005A65ED">
            <w:pPr>
              <w:jc w:val="right"/>
              <w:rPr>
                <w:rFonts w:ascii="Arial" w:hAnsi="Arial" w:cs="Arial"/>
              </w:rPr>
            </w:pPr>
            <w:r w:rsidRPr="005D6FAA">
              <w:rPr>
                <w:rFonts w:ascii="Arial" w:hAnsi="Arial" w:cs="Arial"/>
              </w:rPr>
              <w:t>(</w:t>
            </w:r>
            <w:proofErr w:type="gramStart"/>
            <w:r w:rsidRPr="005D6FAA">
              <w:rPr>
                <w:rFonts w:ascii="Arial" w:hAnsi="Arial" w:cs="Arial"/>
              </w:rPr>
              <w:t>11.</w:t>
            </w:r>
            <w:r w:rsidR="006713F6">
              <w:rPr>
                <w:rFonts w:ascii="Arial" w:hAnsi="Arial" w:cs="Arial"/>
              </w:rPr>
              <w:t>3</w:t>
            </w:r>
            <w:r w:rsidRPr="005D6FAA">
              <w:rPr>
                <w:rFonts w:ascii="Arial" w:hAnsi="Arial" w:cs="Arial"/>
              </w:rPr>
              <w:t>)</w:t>
            </w:r>
            <w:r w:rsidR="005A65ED" w:rsidRPr="007861AD">
              <w:rPr>
                <w:rFonts w:ascii="Arial" w:hAnsi="Arial" w:cs="Arial"/>
              </w:rPr>
              <w:t>%</w:t>
            </w:r>
            <w:proofErr w:type="gramEnd"/>
            <w:r w:rsidR="005A65ED" w:rsidRPr="007861AD" w:rsidDel="00265815">
              <w:rPr>
                <w:rFonts w:ascii="Arial" w:hAnsi="Arial" w:cs="Arial"/>
              </w:rPr>
              <w:t xml:space="preserve"> </w:t>
            </w:r>
          </w:p>
        </w:tc>
        <w:tc>
          <w:tcPr>
            <w:tcW w:w="728" w:type="pct"/>
            <w:shd w:val="clear" w:color="auto" w:fill="auto"/>
          </w:tcPr>
          <w:p w14:paraId="0F77CED8" w14:textId="18B81B9C" w:rsidR="005A65ED" w:rsidRPr="007861AD" w:rsidRDefault="005A65ED" w:rsidP="005A65ED">
            <w:pPr>
              <w:jc w:val="right"/>
              <w:rPr>
                <w:rFonts w:ascii="Arial" w:hAnsi="Arial" w:cs="Arial"/>
              </w:rPr>
            </w:pPr>
            <w:r w:rsidRPr="007861AD">
              <w:rPr>
                <w:rFonts w:ascii="Arial" w:hAnsi="Arial" w:cs="Arial"/>
              </w:rPr>
              <w:t>(</w:t>
            </w:r>
            <w:proofErr w:type="gramStart"/>
            <w:r w:rsidR="007861AD" w:rsidRPr="005D6FAA">
              <w:rPr>
                <w:rFonts w:ascii="Arial" w:hAnsi="Arial" w:cs="Arial"/>
              </w:rPr>
              <w:t>11</w:t>
            </w:r>
            <w:r w:rsidRPr="007861AD">
              <w:rPr>
                <w:rFonts w:ascii="Arial" w:hAnsi="Arial" w:cs="Arial"/>
              </w:rPr>
              <w:t>.</w:t>
            </w:r>
            <w:r w:rsidR="00E616F1">
              <w:rPr>
                <w:rFonts w:ascii="Arial" w:hAnsi="Arial" w:cs="Arial"/>
              </w:rPr>
              <w:t>4</w:t>
            </w:r>
            <w:r w:rsidRPr="007861AD">
              <w:rPr>
                <w:rFonts w:ascii="Arial" w:hAnsi="Arial" w:cs="Arial"/>
              </w:rPr>
              <w:t>)%</w:t>
            </w:r>
            <w:proofErr w:type="gramEnd"/>
          </w:p>
        </w:tc>
      </w:tr>
      <w:tr w:rsidR="005A65ED" w:rsidRPr="00A845B7" w14:paraId="4D62E14E" w14:textId="77777777" w:rsidTr="00D26880">
        <w:tc>
          <w:tcPr>
            <w:tcW w:w="2070" w:type="pct"/>
            <w:shd w:val="clear" w:color="auto" w:fill="auto"/>
          </w:tcPr>
          <w:p w14:paraId="76B58FA4" w14:textId="77777777" w:rsidR="005A65ED" w:rsidRPr="00A845B7" w:rsidRDefault="005A65ED" w:rsidP="005A65ED">
            <w:pPr>
              <w:jc w:val="left"/>
              <w:rPr>
                <w:rFonts w:ascii="Arial" w:hAnsi="Arial" w:cs="Arial"/>
              </w:rPr>
            </w:pPr>
            <w:r w:rsidRPr="00A845B7">
              <w:rPr>
                <w:rFonts w:ascii="Arial" w:hAnsi="Arial" w:cs="Arial"/>
              </w:rPr>
              <w:t>Underlying pre-tax profit</w:t>
            </w:r>
          </w:p>
        </w:tc>
        <w:tc>
          <w:tcPr>
            <w:tcW w:w="786" w:type="pct"/>
            <w:shd w:val="clear" w:color="auto" w:fill="auto"/>
          </w:tcPr>
          <w:p w14:paraId="2E548390" w14:textId="04478658" w:rsidR="005A65ED" w:rsidRPr="001B1EFA" w:rsidDel="00265815" w:rsidRDefault="005A65ED" w:rsidP="005A65ED">
            <w:pPr>
              <w:jc w:val="right"/>
              <w:rPr>
                <w:rFonts w:ascii="Arial" w:hAnsi="Arial"/>
                <w:b/>
              </w:rPr>
            </w:pPr>
            <w:r w:rsidRPr="001B1EFA">
              <w:rPr>
                <w:rFonts w:ascii="Arial" w:hAnsi="Arial"/>
                <w:b/>
              </w:rPr>
              <w:t>£</w:t>
            </w:r>
            <w:r w:rsidR="00DA2403" w:rsidRPr="00255A0D">
              <w:rPr>
                <w:rFonts w:ascii="Arial" w:hAnsi="Arial" w:cs="Arial"/>
                <w:b/>
              </w:rPr>
              <w:t>693m</w:t>
            </w:r>
          </w:p>
        </w:tc>
        <w:tc>
          <w:tcPr>
            <w:tcW w:w="714" w:type="pct"/>
            <w:shd w:val="clear" w:color="auto" w:fill="auto"/>
          </w:tcPr>
          <w:p w14:paraId="7B47F4F7" w14:textId="3B0C0FD8" w:rsidR="005A65ED" w:rsidRPr="005A65ED" w:rsidRDefault="005A65ED" w:rsidP="005A65ED">
            <w:pPr>
              <w:jc w:val="right"/>
              <w:rPr>
                <w:rFonts w:ascii="Arial" w:hAnsi="Arial" w:cs="Arial"/>
              </w:rPr>
            </w:pPr>
            <w:r w:rsidRPr="005D6FAA">
              <w:rPr>
                <w:rFonts w:ascii="Arial" w:hAnsi="Arial" w:cs="Arial"/>
              </w:rPr>
              <w:t>£797m</w:t>
            </w:r>
          </w:p>
        </w:tc>
        <w:tc>
          <w:tcPr>
            <w:tcW w:w="701" w:type="pct"/>
          </w:tcPr>
          <w:p w14:paraId="128D96C7" w14:textId="29EF683D" w:rsidR="005A65ED" w:rsidRPr="001B1EFA" w:rsidDel="00265815" w:rsidRDefault="005F07BF" w:rsidP="005A65ED">
            <w:pPr>
              <w:jc w:val="right"/>
              <w:rPr>
                <w:rFonts w:ascii="Arial" w:hAnsi="Arial"/>
              </w:rPr>
            </w:pPr>
            <w:r w:rsidRPr="001B1EFA">
              <w:rPr>
                <w:rFonts w:ascii="Arial" w:hAnsi="Arial"/>
              </w:rPr>
              <w:t>(</w:t>
            </w:r>
            <w:proofErr w:type="gramStart"/>
            <w:r w:rsidR="00DA2403" w:rsidRPr="00255A0D">
              <w:rPr>
                <w:rFonts w:ascii="Arial" w:hAnsi="Arial" w:cs="Arial"/>
              </w:rPr>
              <w:t>13.0</w:t>
            </w:r>
            <w:r w:rsidRPr="001B1EFA">
              <w:rPr>
                <w:rFonts w:ascii="Arial" w:hAnsi="Arial"/>
              </w:rPr>
              <w:t>)</w:t>
            </w:r>
            <w:r w:rsidR="005A65ED" w:rsidRPr="001B1EFA">
              <w:rPr>
                <w:rFonts w:ascii="Arial" w:hAnsi="Arial"/>
              </w:rPr>
              <w:t>%</w:t>
            </w:r>
            <w:proofErr w:type="gramEnd"/>
          </w:p>
        </w:tc>
        <w:tc>
          <w:tcPr>
            <w:tcW w:w="728" w:type="pct"/>
            <w:shd w:val="clear" w:color="auto" w:fill="auto"/>
          </w:tcPr>
          <w:p w14:paraId="5CDE0B43" w14:textId="77777777" w:rsidR="005A65ED" w:rsidRPr="0018703F" w:rsidRDefault="005A65ED" w:rsidP="005A65ED">
            <w:pPr>
              <w:jc w:val="right"/>
              <w:rPr>
                <w:rFonts w:ascii="Arial" w:hAnsi="Arial" w:cs="Arial"/>
                <w:highlight w:val="yellow"/>
              </w:rPr>
            </w:pPr>
          </w:p>
        </w:tc>
      </w:tr>
      <w:tr w:rsidR="005A65ED" w:rsidRPr="00A845B7" w14:paraId="3CEFD3E0" w14:textId="77777777" w:rsidTr="00D26880">
        <w:tc>
          <w:tcPr>
            <w:tcW w:w="2070" w:type="pct"/>
            <w:shd w:val="clear" w:color="auto" w:fill="auto"/>
          </w:tcPr>
          <w:p w14:paraId="656A509D" w14:textId="58C8AD08" w:rsidR="005A65ED" w:rsidRPr="00A845B7" w:rsidRDefault="005A65ED" w:rsidP="005A65ED">
            <w:pPr>
              <w:jc w:val="left"/>
              <w:rPr>
                <w:rFonts w:ascii="Arial" w:hAnsi="Arial" w:cs="Arial"/>
              </w:rPr>
            </w:pPr>
            <w:r w:rsidRPr="00A845B7">
              <w:rPr>
                <w:rFonts w:ascii="Arial" w:hAnsi="Arial" w:cs="Arial"/>
              </w:rPr>
              <w:t xml:space="preserve">Transformation P&amp;L </w:t>
            </w:r>
            <w:proofErr w:type="gramStart"/>
            <w:r w:rsidRPr="00A845B7">
              <w:rPr>
                <w:rFonts w:ascii="Arial" w:hAnsi="Arial" w:cs="Arial"/>
              </w:rPr>
              <w:t>costs</w:t>
            </w:r>
            <w:r w:rsidRPr="006F78D1">
              <w:rPr>
                <w:rFonts w:ascii="Arial" w:hAnsi="Arial" w:cs="Arial"/>
                <w:vertAlign w:val="superscript"/>
              </w:rPr>
              <w:t>(</w:t>
            </w:r>
            <w:proofErr w:type="gramEnd"/>
            <w:r>
              <w:rPr>
                <w:rFonts w:ascii="Arial" w:hAnsi="Arial" w:cs="Arial"/>
                <w:vertAlign w:val="superscript"/>
              </w:rPr>
              <w:t>1</w:t>
            </w:r>
            <w:r w:rsidRPr="006F78D1">
              <w:rPr>
                <w:rFonts w:ascii="Arial" w:hAnsi="Arial" w:cs="Arial"/>
                <w:vertAlign w:val="superscript"/>
              </w:rPr>
              <w:t>)</w:t>
            </w:r>
          </w:p>
        </w:tc>
        <w:tc>
          <w:tcPr>
            <w:tcW w:w="786" w:type="pct"/>
            <w:shd w:val="clear" w:color="auto" w:fill="auto"/>
          </w:tcPr>
          <w:p w14:paraId="3AA38ABA" w14:textId="607EC267" w:rsidR="005A65ED" w:rsidRPr="001B1EFA" w:rsidDel="00265815" w:rsidRDefault="005A65ED" w:rsidP="005A65ED">
            <w:pPr>
              <w:jc w:val="right"/>
              <w:rPr>
                <w:rFonts w:ascii="Arial" w:hAnsi="Arial"/>
                <w:b/>
              </w:rPr>
            </w:pPr>
            <w:proofErr w:type="gramStart"/>
            <w:r w:rsidRPr="001B1EFA">
              <w:rPr>
                <w:rFonts w:ascii="Arial" w:hAnsi="Arial"/>
                <w:b/>
              </w:rPr>
              <w:t>£(</w:t>
            </w:r>
            <w:proofErr w:type="gramEnd"/>
            <w:r w:rsidR="00DA2403" w:rsidRPr="00255A0D">
              <w:rPr>
                <w:rFonts w:ascii="Arial" w:hAnsi="Arial" w:cs="Arial"/>
                <w:b/>
              </w:rPr>
              <w:t>120</w:t>
            </w:r>
            <w:r w:rsidRPr="001B1EFA">
              <w:rPr>
                <w:rFonts w:ascii="Arial" w:hAnsi="Arial"/>
                <w:b/>
              </w:rPr>
              <w:t>)m</w:t>
            </w:r>
          </w:p>
        </w:tc>
        <w:tc>
          <w:tcPr>
            <w:tcW w:w="714" w:type="pct"/>
            <w:shd w:val="clear" w:color="auto" w:fill="auto"/>
          </w:tcPr>
          <w:p w14:paraId="2F0DC66E" w14:textId="25A2E466" w:rsidR="005A65ED" w:rsidRPr="005A65ED" w:rsidRDefault="005A65ED" w:rsidP="005A65ED">
            <w:pPr>
              <w:jc w:val="right"/>
              <w:rPr>
                <w:rFonts w:ascii="Arial" w:hAnsi="Arial" w:cs="Arial"/>
              </w:rPr>
            </w:pPr>
            <w:proofErr w:type="gramStart"/>
            <w:r w:rsidRPr="005D6FAA">
              <w:rPr>
                <w:rFonts w:ascii="Arial" w:hAnsi="Arial" w:cs="Arial"/>
              </w:rPr>
              <w:t>£(</w:t>
            </w:r>
            <w:proofErr w:type="gramEnd"/>
            <w:r w:rsidRPr="005D6FAA">
              <w:rPr>
                <w:rFonts w:ascii="Arial" w:hAnsi="Arial" w:cs="Arial"/>
              </w:rPr>
              <w:t>114)m</w:t>
            </w:r>
          </w:p>
        </w:tc>
        <w:tc>
          <w:tcPr>
            <w:tcW w:w="701" w:type="pct"/>
          </w:tcPr>
          <w:p w14:paraId="3E824107" w14:textId="77777777" w:rsidR="005A65ED" w:rsidRPr="001B1EFA" w:rsidDel="00265815" w:rsidRDefault="005A65ED" w:rsidP="005A65ED">
            <w:pPr>
              <w:jc w:val="right"/>
              <w:rPr>
                <w:rFonts w:ascii="Arial" w:hAnsi="Arial"/>
              </w:rPr>
            </w:pPr>
            <w:r w:rsidRPr="001B1EFA">
              <w:rPr>
                <w:rFonts w:ascii="Arial" w:hAnsi="Arial"/>
              </w:rPr>
              <w:t>n/a</w:t>
            </w:r>
          </w:p>
        </w:tc>
        <w:tc>
          <w:tcPr>
            <w:tcW w:w="728" w:type="pct"/>
            <w:shd w:val="clear" w:color="auto" w:fill="auto"/>
          </w:tcPr>
          <w:p w14:paraId="260585EE" w14:textId="77777777" w:rsidR="005A65ED" w:rsidRPr="005B2D1B" w:rsidRDefault="005A65ED" w:rsidP="005A65ED">
            <w:pPr>
              <w:jc w:val="right"/>
              <w:rPr>
                <w:rFonts w:ascii="Arial" w:hAnsi="Arial" w:cs="Arial"/>
                <w:highlight w:val="yellow"/>
              </w:rPr>
            </w:pPr>
          </w:p>
        </w:tc>
      </w:tr>
      <w:tr w:rsidR="005A65ED" w:rsidRPr="00A845B7" w14:paraId="070429D6" w14:textId="77777777" w:rsidTr="00D26880">
        <w:tc>
          <w:tcPr>
            <w:tcW w:w="2070" w:type="pct"/>
            <w:shd w:val="clear" w:color="auto" w:fill="auto"/>
          </w:tcPr>
          <w:p w14:paraId="57A01F1A" w14:textId="77777777" w:rsidR="005A65ED" w:rsidRPr="00A845B7" w:rsidRDefault="005A65ED" w:rsidP="005A65ED">
            <w:pPr>
              <w:jc w:val="left"/>
              <w:rPr>
                <w:rFonts w:ascii="Arial" w:hAnsi="Arial" w:cs="Arial"/>
              </w:rPr>
            </w:pPr>
            <w:r w:rsidRPr="00A845B7">
              <w:rPr>
                <w:rFonts w:ascii="Arial" w:hAnsi="Arial" w:cs="Arial"/>
              </w:rPr>
              <w:t xml:space="preserve">Adjusted pre-tax profit </w:t>
            </w:r>
          </w:p>
        </w:tc>
        <w:tc>
          <w:tcPr>
            <w:tcW w:w="786" w:type="pct"/>
            <w:shd w:val="clear" w:color="auto" w:fill="auto"/>
          </w:tcPr>
          <w:p w14:paraId="34D60369" w14:textId="3E58281F" w:rsidR="005A65ED" w:rsidRPr="001B1EFA" w:rsidRDefault="005A65ED" w:rsidP="005A65ED">
            <w:pPr>
              <w:jc w:val="right"/>
              <w:rPr>
                <w:rFonts w:ascii="Arial" w:hAnsi="Arial"/>
                <w:b/>
              </w:rPr>
            </w:pPr>
            <w:r w:rsidRPr="001B1EFA">
              <w:rPr>
                <w:rFonts w:ascii="Arial" w:hAnsi="Arial"/>
                <w:b/>
              </w:rPr>
              <w:t>£</w:t>
            </w:r>
            <w:r w:rsidR="00DA2403" w:rsidRPr="00255A0D">
              <w:rPr>
                <w:rFonts w:ascii="Arial" w:hAnsi="Arial" w:cs="Arial"/>
                <w:b/>
              </w:rPr>
              <w:t>573m</w:t>
            </w:r>
            <w:r w:rsidR="00DA2403" w:rsidRPr="001B1EFA" w:rsidDel="00265815">
              <w:rPr>
                <w:rFonts w:ascii="Arial" w:hAnsi="Arial"/>
                <w:b/>
              </w:rPr>
              <w:t xml:space="preserve"> </w:t>
            </w:r>
          </w:p>
        </w:tc>
        <w:tc>
          <w:tcPr>
            <w:tcW w:w="714" w:type="pct"/>
            <w:shd w:val="clear" w:color="auto" w:fill="auto"/>
          </w:tcPr>
          <w:p w14:paraId="114D9A41" w14:textId="7520E462" w:rsidR="005A65ED" w:rsidRPr="005A65ED" w:rsidRDefault="005A65ED" w:rsidP="005A65ED">
            <w:pPr>
              <w:jc w:val="right"/>
              <w:rPr>
                <w:rFonts w:ascii="Arial" w:hAnsi="Arial" w:cs="Arial"/>
              </w:rPr>
            </w:pPr>
            <w:r w:rsidRPr="005D6FAA">
              <w:rPr>
                <w:rFonts w:ascii="Arial" w:hAnsi="Arial" w:cs="Arial"/>
              </w:rPr>
              <w:t>£683m</w:t>
            </w:r>
            <w:r w:rsidRPr="005D6FAA" w:rsidDel="00265815">
              <w:rPr>
                <w:rFonts w:ascii="Arial" w:hAnsi="Arial" w:cs="Arial"/>
              </w:rPr>
              <w:t xml:space="preserve"> </w:t>
            </w:r>
          </w:p>
        </w:tc>
        <w:tc>
          <w:tcPr>
            <w:tcW w:w="701" w:type="pct"/>
          </w:tcPr>
          <w:p w14:paraId="6923718C" w14:textId="4FB84B67" w:rsidR="005A65ED" w:rsidRPr="001B1EFA" w:rsidRDefault="005A65ED" w:rsidP="005A65ED">
            <w:pPr>
              <w:jc w:val="right"/>
              <w:rPr>
                <w:rFonts w:ascii="Arial" w:hAnsi="Arial"/>
              </w:rPr>
            </w:pPr>
            <w:r w:rsidRPr="001B1EFA">
              <w:rPr>
                <w:rFonts w:ascii="Arial" w:hAnsi="Arial"/>
              </w:rPr>
              <w:t>(</w:t>
            </w:r>
            <w:proofErr w:type="gramStart"/>
            <w:r w:rsidR="00DA2403" w:rsidRPr="00255A0D">
              <w:rPr>
                <w:rFonts w:ascii="Arial" w:hAnsi="Arial" w:cs="Arial"/>
              </w:rPr>
              <w:t>16.</w:t>
            </w:r>
            <w:r w:rsidR="00E616F1">
              <w:rPr>
                <w:rFonts w:ascii="Arial" w:hAnsi="Arial" w:cs="Arial"/>
              </w:rPr>
              <w:t>1</w:t>
            </w:r>
            <w:r w:rsidRPr="001B1EFA">
              <w:rPr>
                <w:rFonts w:ascii="Arial" w:hAnsi="Arial"/>
              </w:rPr>
              <w:t>)%</w:t>
            </w:r>
            <w:proofErr w:type="gramEnd"/>
          </w:p>
        </w:tc>
        <w:tc>
          <w:tcPr>
            <w:tcW w:w="728" w:type="pct"/>
            <w:shd w:val="clear" w:color="auto" w:fill="auto"/>
          </w:tcPr>
          <w:p w14:paraId="0FC80212" w14:textId="77777777" w:rsidR="005A65ED" w:rsidRPr="005B2D1B" w:rsidRDefault="005A65ED" w:rsidP="005A65ED">
            <w:pPr>
              <w:jc w:val="right"/>
              <w:rPr>
                <w:rFonts w:ascii="Arial" w:hAnsi="Arial" w:cs="Arial"/>
                <w:highlight w:val="yellow"/>
              </w:rPr>
            </w:pPr>
          </w:p>
        </w:tc>
      </w:tr>
      <w:tr w:rsidR="005A65ED" w:rsidRPr="00A845B7" w14:paraId="02F57C9E" w14:textId="77777777" w:rsidTr="00D26880">
        <w:tc>
          <w:tcPr>
            <w:tcW w:w="2070" w:type="pct"/>
            <w:shd w:val="clear" w:color="auto" w:fill="auto"/>
          </w:tcPr>
          <w:p w14:paraId="45C59A2F" w14:textId="2E9C9C62" w:rsidR="005A65ED" w:rsidRPr="00A845B7" w:rsidRDefault="005A65ED" w:rsidP="005A65ED">
            <w:pPr>
              <w:jc w:val="left"/>
              <w:rPr>
                <w:rFonts w:ascii="Arial" w:hAnsi="Arial" w:cs="Arial"/>
              </w:rPr>
            </w:pPr>
            <w:r w:rsidRPr="00A845B7">
              <w:rPr>
                <w:rFonts w:ascii="Arial" w:hAnsi="Arial" w:cs="Arial"/>
              </w:rPr>
              <w:t>Statutory pre-tax profit</w:t>
            </w:r>
          </w:p>
        </w:tc>
        <w:tc>
          <w:tcPr>
            <w:tcW w:w="786" w:type="pct"/>
            <w:shd w:val="clear" w:color="auto" w:fill="auto"/>
          </w:tcPr>
          <w:p w14:paraId="48B8D3B1" w14:textId="6C3183E9" w:rsidR="005A65ED" w:rsidRPr="001B1EFA" w:rsidRDefault="005A65ED" w:rsidP="005A65ED">
            <w:pPr>
              <w:jc w:val="right"/>
              <w:rPr>
                <w:rFonts w:ascii="Arial" w:hAnsi="Arial"/>
                <w:b/>
              </w:rPr>
            </w:pPr>
            <w:r w:rsidRPr="001B1EFA">
              <w:rPr>
                <w:rFonts w:ascii="Arial" w:hAnsi="Arial"/>
                <w:b/>
              </w:rPr>
              <w:t>£</w:t>
            </w:r>
            <w:r w:rsidR="00013078" w:rsidRPr="00255A0D">
              <w:rPr>
                <w:rFonts w:ascii="Arial" w:hAnsi="Arial" w:cs="Arial"/>
                <w:b/>
              </w:rPr>
              <w:t>3</w:t>
            </w:r>
            <w:r w:rsidR="00E616F1">
              <w:rPr>
                <w:rFonts w:ascii="Arial" w:hAnsi="Arial" w:cs="Arial"/>
                <w:b/>
              </w:rPr>
              <w:t>22</w:t>
            </w:r>
            <w:r w:rsidR="00013078" w:rsidRPr="00255A0D">
              <w:rPr>
                <w:rFonts w:ascii="Arial" w:hAnsi="Arial" w:cs="Arial"/>
                <w:b/>
              </w:rPr>
              <w:t>m</w:t>
            </w:r>
            <w:r w:rsidR="00013078" w:rsidRPr="001B1EFA" w:rsidDel="00265815">
              <w:rPr>
                <w:rFonts w:ascii="Arial" w:hAnsi="Arial"/>
                <w:b/>
              </w:rPr>
              <w:t xml:space="preserve"> </w:t>
            </w:r>
          </w:p>
        </w:tc>
        <w:tc>
          <w:tcPr>
            <w:tcW w:w="714" w:type="pct"/>
            <w:shd w:val="clear" w:color="auto" w:fill="auto"/>
          </w:tcPr>
          <w:p w14:paraId="759E063D" w14:textId="09E680CF" w:rsidR="005A65ED" w:rsidRPr="005A65ED" w:rsidRDefault="005A65ED" w:rsidP="005A65ED">
            <w:pPr>
              <w:jc w:val="right"/>
              <w:rPr>
                <w:rFonts w:ascii="Arial" w:hAnsi="Arial" w:cs="Arial"/>
              </w:rPr>
            </w:pPr>
            <w:r w:rsidRPr="005D6FAA">
              <w:rPr>
                <w:rFonts w:ascii="Arial" w:hAnsi="Arial" w:cs="Arial"/>
              </w:rPr>
              <w:t>£682m</w:t>
            </w:r>
            <w:r w:rsidRPr="005D6FAA" w:rsidDel="00265815">
              <w:rPr>
                <w:rFonts w:ascii="Arial" w:hAnsi="Arial" w:cs="Arial"/>
              </w:rPr>
              <w:t xml:space="preserve"> </w:t>
            </w:r>
          </w:p>
        </w:tc>
        <w:tc>
          <w:tcPr>
            <w:tcW w:w="701" w:type="pct"/>
          </w:tcPr>
          <w:p w14:paraId="4A62434D" w14:textId="519B4509" w:rsidR="005A65ED" w:rsidRPr="001B1EFA" w:rsidRDefault="005A65ED" w:rsidP="005A65ED">
            <w:pPr>
              <w:jc w:val="right"/>
              <w:rPr>
                <w:rFonts w:ascii="Arial" w:hAnsi="Arial"/>
              </w:rPr>
            </w:pPr>
            <w:r w:rsidRPr="001B1EFA">
              <w:rPr>
                <w:rFonts w:ascii="Arial" w:hAnsi="Arial"/>
              </w:rPr>
              <w:t>(</w:t>
            </w:r>
            <w:proofErr w:type="gramStart"/>
            <w:r w:rsidR="00E616F1">
              <w:rPr>
                <w:rFonts w:ascii="Arial" w:hAnsi="Arial" w:cs="Arial"/>
              </w:rPr>
              <w:t>52</w:t>
            </w:r>
            <w:r w:rsidR="00013078">
              <w:rPr>
                <w:rFonts w:ascii="Arial" w:hAnsi="Arial" w:cs="Arial"/>
              </w:rPr>
              <w:t>.</w:t>
            </w:r>
            <w:r w:rsidR="00E616F1">
              <w:rPr>
                <w:rFonts w:ascii="Arial" w:hAnsi="Arial" w:cs="Arial"/>
              </w:rPr>
              <w:t>8</w:t>
            </w:r>
            <w:r w:rsidRPr="001B1EFA">
              <w:rPr>
                <w:rFonts w:ascii="Arial" w:hAnsi="Arial"/>
              </w:rPr>
              <w:t>)%</w:t>
            </w:r>
            <w:proofErr w:type="gramEnd"/>
            <w:r w:rsidRPr="001B1EFA" w:rsidDel="00265815">
              <w:rPr>
                <w:rFonts w:ascii="Arial" w:hAnsi="Arial"/>
              </w:rPr>
              <w:t xml:space="preserve"> </w:t>
            </w:r>
          </w:p>
        </w:tc>
        <w:tc>
          <w:tcPr>
            <w:tcW w:w="728" w:type="pct"/>
            <w:shd w:val="clear" w:color="auto" w:fill="auto"/>
          </w:tcPr>
          <w:p w14:paraId="36BCC59A" w14:textId="77777777" w:rsidR="005A65ED" w:rsidRPr="005B2D1B" w:rsidRDefault="005A65ED" w:rsidP="005A65ED">
            <w:pPr>
              <w:jc w:val="right"/>
              <w:rPr>
                <w:rFonts w:ascii="Arial" w:hAnsi="Arial" w:cs="Arial"/>
                <w:highlight w:val="yellow"/>
              </w:rPr>
            </w:pPr>
          </w:p>
        </w:tc>
      </w:tr>
      <w:tr w:rsidR="005A65ED" w:rsidRPr="00A845B7" w14:paraId="64666101" w14:textId="77777777" w:rsidTr="00D26880">
        <w:tc>
          <w:tcPr>
            <w:tcW w:w="2070" w:type="pct"/>
            <w:shd w:val="clear" w:color="auto" w:fill="auto"/>
          </w:tcPr>
          <w:p w14:paraId="6867EACF" w14:textId="6AE84CC1" w:rsidR="005A65ED" w:rsidRPr="00A845B7" w:rsidRDefault="005A65ED" w:rsidP="005A65ED">
            <w:pPr>
              <w:jc w:val="left"/>
              <w:rPr>
                <w:rFonts w:ascii="Arial" w:hAnsi="Arial" w:cs="Arial"/>
              </w:rPr>
            </w:pPr>
            <w:r w:rsidRPr="00A845B7">
              <w:rPr>
                <w:rFonts w:ascii="Arial" w:hAnsi="Arial" w:cs="Arial"/>
              </w:rPr>
              <w:t>Exceptional items (post-</w:t>
            </w:r>
            <w:proofErr w:type="gramStart"/>
            <w:r w:rsidRPr="00A845B7">
              <w:rPr>
                <w:rFonts w:ascii="Arial" w:hAnsi="Arial" w:cs="Arial"/>
              </w:rPr>
              <w:t>tax)</w:t>
            </w:r>
            <w:r w:rsidRPr="00FE4205">
              <w:rPr>
                <w:rFonts w:ascii="Arial" w:hAnsi="Arial" w:cs="Arial"/>
                <w:vertAlign w:val="superscript"/>
              </w:rPr>
              <w:t>(</w:t>
            </w:r>
            <w:proofErr w:type="gramEnd"/>
            <w:r>
              <w:rPr>
                <w:rFonts w:ascii="Arial" w:hAnsi="Arial" w:cs="Arial"/>
                <w:vertAlign w:val="superscript"/>
              </w:rPr>
              <w:t>1</w:t>
            </w:r>
            <w:r w:rsidRPr="00FE4205">
              <w:rPr>
                <w:rFonts w:ascii="Arial" w:hAnsi="Arial" w:cs="Arial"/>
                <w:vertAlign w:val="superscript"/>
              </w:rPr>
              <w:t>)</w:t>
            </w:r>
          </w:p>
        </w:tc>
        <w:tc>
          <w:tcPr>
            <w:tcW w:w="786" w:type="pct"/>
            <w:shd w:val="clear" w:color="auto" w:fill="auto"/>
          </w:tcPr>
          <w:p w14:paraId="75A7FBB6" w14:textId="4CB44921" w:rsidR="005A65ED" w:rsidRPr="001B1EFA" w:rsidRDefault="009D1FDD" w:rsidP="005A65ED">
            <w:pPr>
              <w:jc w:val="right"/>
              <w:rPr>
                <w:rFonts w:ascii="Arial" w:hAnsi="Arial"/>
                <w:b/>
              </w:rPr>
            </w:pPr>
            <w:proofErr w:type="gramStart"/>
            <w:r>
              <w:rPr>
                <w:rFonts w:ascii="Arial" w:hAnsi="Arial"/>
                <w:b/>
              </w:rPr>
              <w:t>£(</w:t>
            </w:r>
            <w:proofErr w:type="gramEnd"/>
            <w:r>
              <w:rPr>
                <w:rFonts w:ascii="Arial" w:hAnsi="Arial"/>
                <w:b/>
              </w:rPr>
              <w:t>1</w:t>
            </w:r>
            <w:r w:rsidR="00E616F1">
              <w:rPr>
                <w:rFonts w:ascii="Arial" w:hAnsi="Arial"/>
                <w:b/>
              </w:rPr>
              <w:t>9</w:t>
            </w:r>
            <w:r>
              <w:rPr>
                <w:rFonts w:ascii="Arial" w:hAnsi="Arial"/>
                <w:b/>
              </w:rPr>
              <w:t>0)m</w:t>
            </w:r>
          </w:p>
        </w:tc>
        <w:tc>
          <w:tcPr>
            <w:tcW w:w="714" w:type="pct"/>
            <w:shd w:val="clear" w:color="auto" w:fill="auto"/>
          </w:tcPr>
          <w:p w14:paraId="48706044" w14:textId="6CD573DC" w:rsidR="005A65ED" w:rsidRPr="005A65ED" w:rsidRDefault="005A65ED" w:rsidP="005A65ED">
            <w:pPr>
              <w:jc w:val="right"/>
              <w:rPr>
                <w:rFonts w:ascii="Arial" w:hAnsi="Arial" w:cs="Arial"/>
              </w:rPr>
            </w:pPr>
            <w:r w:rsidRPr="005D6FAA">
              <w:rPr>
                <w:rFonts w:ascii="Arial" w:hAnsi="Arial" w:cs="Arial"/>
              </w:rPr>
              <w:t>-</w:t>
            </w:r>
          </w:p>
        </w:tc>
        <w:tc>
          <w:tcPr>
            <w:tcW w:w="701" w:type="pct"/>
            <w:shd w:val="clear" w:color="auto" w:fill="auto"/>
          </w:tcPr>
          <w:p w14:paraId="1A29E0F4" w14:textId="77777777" w:rsidR="005A65ED" w:rsidRPr="001B1EFA" w:rsidRDefault="005A65ED" w:rsidP="005A65ED">
            <w:pPr>
              <w:jc w:val="right"/>
              <w:rPr>
                <w:rFonts w:ascii="Arial" w:hAnsi="Arial"/>
              </w:rPr>
            </w:pPr>
            <w:r w:rsidRPr="001B1EFA">
              <w:rPr>
                <w:rFonts w:ascii="Arial" w:hAnsi="Arial"/>
              </w:rPr>
              <w:t>n/a</w:t>
            </w:r>
          </w:p>
        </w:tc>
        <w:tc>
          <w:tcPr>
            <w:tcW w:w="728" w:type="pct"/>
            <w:shd w:val="clear" w:color="auto" w:fill="auto"/>
          </w:tcPr>
          <w:p w14:paraId="53A7B8B9" w14:textId="77777777" w:rsidR="005A65ED" w:rsidRPr="005B2D1B" w:rsidRDefault="005A65ED" w:rsidP="005A65ED">
            <w:pPr>
              <w:jc w:val="right"/>
              <w:rPr>
                <w:rFonts w:ascii="Arial" w:hAnsi="Arial" w:cs="Arial"/>
                <w:highlight w:val="yellow"/>
              </w:rPr>
            </w:pPr>
          </w:p>
        </w:tc>
      </w:tr>
      <w:tr w:rsidR="005A65ED" w:rsidRPr="00A845B7" w14:paraId="7C9474F7" w14:textId="77777777" w:rsidTr="00D26880">
        <w:tc>
          <w:tcPr>
            <w:tcW w:w="2070" w:type="pct"/>
            <w:shd w:val="clear" w:color="auto" w:fill="auto"/>
          </w:tcPr>
          <w:p w14:paraId="27D9B839" w14:textId="3B664F2E" w:rsidR="005A65ED" w:rsidRPr="00A845B7" w:rsidRDefault="00E616F1" w:rsidP="005A65ED">
            <w:pPr>
              <w:jc w:val="left"/>
              <w:rPr>
                <w:rFonts w:ascii="Arial" w:hAnsi="Arial" w:cs="Arial"/>
              </w:rPr>
            </w:pPr>
            <w:r>
              <w:rPr>
                <w:rFonts w:ascii="Arial" w:hAnsi="Arial" w:cs="Arial"/>
              </w:rPr>
              <w:t>Adjusted e</w:t>
            </w:r>
            <w:r w:rsidR="005A65ED" w:rsidRPr="00165A9B">
              <w:rPr>
                <w:rFonts w:ascii="Arial" w:hAnsi="Arial" w:cs="Arial"/>
              </w:rPr>
              <w:t>ffective tax rate</w:t>
            </w:r>
          </w:p>
        </w:tc>
        <w:tc>
          <w:tcPr>
            <w:tcW w:w="786" w:type="pct"/>
            <w:shd w:val="clear" w:color="auto" w:fill="auto"/>
          </w:tcPr>
          <w:p w14:paraId="667D1DAC" w14:textId="5EF86988" w:rsidR="005A65ED" w:rsidRPr="001B1EFA" w:rsidRDefault="005F07BF" w:rsidP="005A65ED">
            <w:pPr>
              <w:jc w:val="right"/>
              <w:rPr>
                <w:rFonts w:ascii="Arial" w:hAnsi="Arial"/>
                <w:b/>
              </w:rPr>
            </w:pPr>
            <w:r w:rsidRPr="00BF260C">
              <w:rPr>
                <w:rFonts w:ascii="Arial" w:hAnsi="Arial"/>
                <w:b/>
              </w:rPr>
              <w:t>2</w:t>
            </w:r>
            <w:r w:rsidR="00BF260C" w:rsidRPr="0035009E">
              <w:rPr>
                <w:rFonts w:ascii="Arial" w:hAnsi="Arial"/>
                <w:b/>
              </w:rPr>
              <w:t>7</w:t>
            </w:r>
            <w:r w:rsidR="005A65ED" w:rsidRPr="00BF260C">
              <w:rPr>
                <w:rFonts w:ascii="Arial" w:hAnsi="Arial"/>
                <w:b/>
              </w:rPr>
              <w:t>%</w:t>
            </w:r>
          </w:p>
        </w:tc>
        <w:tc>
          <w:tcPr>
            <w:tcW w:w="714" w:type="pct"/>
            <w:shd w:val="clear" w:color="auto" w:fill="auto"/>
          </w:tcPr>
          <w:p w14:paraId="68E84DD0" w14:textId="53CAA08D" w:rsidR="005A65ED" w:rsidRPr="005A65ED" w:rsidRDefault="005A65ED" w:rsidP="005A65ED">
            <w:pPr>
              <w:jc w:val="right"/>
              <w:rPr>
                <w:rFonts w:ascii="Arial" w:hAnsi="Arial" w:cs="Arial"/>
              </w:rPr>
            </w:pPr>
            <w:r w:rsidRPr="005D6FAA">
              <w:rPr>
                <w:rFonts w:ascii="Arial" w:hAnsi="Arial" w:cs="Arial"/>
              </w:rPr>
              <w:t>30%</w:t>
            </w:r>
          </w:p>
        </w:tc>
        <w:tc>
          <w:tcPr>
            <w:tcW w:w="701" w:type="pct"/>
            <w:shd w:val="clear" w:color="auto" w:fill="auto"/>
          </w:tcPr>
          <w:p w14:paraId="32FE07D8" w14:textId="30E74497" w:rsidR="005A65ED" w:rsidRPr="001B1EFA" w:rsidRDefault="005A65ED" w:rsidP="005A65ED">
            <w:pPr>
              <w:jc w:val="right"/>
              <w:rPr>
                <w:rFonts w:ascii="Arial" w:hAnsi="Arial"/>
              </w:rPr>
            </w:pPr>
            <w:r w:rsidRPr="001B1EFA">
              <w:rPr>
                <w:rFonts w:ascii="Arial" w:hAnsi="Arial"/>
              </w:rPr>
              <w:t>n/a</w:t>
            </w:r>
          </w:p>
        </w:tc>
        <w:tc>
          <w:tcPr>
            <w:tcW w:w="728" w:type="pct"/>
            <w:shd w:val="clear" w:color="auto" w:fill="auto"/>
          </w:tcPr>
          <w:p w14:paraId="567FB6CB" w14:textId="77777777" w:rsidR="005A65ED" w:rsidRPr="005B2D1B" w:rsidRDefault="005A65ED" w:rsidP="005A65ED">
            <w:pPr>
              <w:jc w:val="right"/>
              <w:rPr>
                <w:rFonts w:ascii="Arial" w:hAnsi="Arial" w:cs="Arial"/>
                <w:highlight w:val="yellow"/>
              </w:rPr>
            </w:pPr>
          </w:p>
        </w:tc>
      </w:tr>
      <w:tr w:rsidR="005A65ED" w:rsidRPr="00A845B7" w14:paraId="712CA7B8" w14:textId="77777777" w:rsidTr="00D26880">
        <w:tc>
          <w:tcPr>
            <w:tcW w:w="2070" w:type="pct"/>
            <w:shd w:val="clear" w:color="auto" w:fill="auto"/>
          </w:tcPr>
          <w:p w14:paraId="46A44E5C" w14:textId="77777777" w:rsidR="005A65ED" w:rsidRPr="00013078" w:rsidRDefault="005A65ED" w:rsidP="005A65ED">
            <w:pPr>
              <w:jc w:val="left"/>
              <w:rPr>
                <w:rFonts w:ascii="Arial" w:hAnsi="Arial" w:cs="Arial"/>
              </w:rPr>
            </w:pPr>
            <w:r w:rsidRPr="00013078">
              <w:rPr>
                <w:rFonts w:ascii="Arial" w:hAnsi="Arial" w:cs="Arial"/>
              </w:rPr>
              <w:t xml:space="preserve">Underlying basic earnings per share </w:t>
            </w:r>
          </w:p>
        </w:tc>
        <w:tc>
          <w:tcPr>
            <w:tcW w:w="786" w:type="pct"/>
            <w:shd w:val="clear" w:color="auto" w:fill="auto"/>
          </w:tcPr>
          <w:p w14:paraId="285F07F3" w14:textId="012C54BF" w:rsidR="005A65ED" w:rsidRPr="006713F6" w:rsidRDefault="00013078" w:rsidP="005A65ED">
            <w:pPr>
              <w:jc w:val="right"/>
              <w:rPr>
                <w:rFonts w:ascii="Arial" w:hAnsi="Arial"/>
                <w:b/>
              </w:rPr>
            </w:pPr>
            <w:r w:rsidRPr="00C2187E">
              <w:rPr>
                <w:rFonts w:ascii="Arial" w:hAnsi="Arial" w:cs="Arial"/>
                <w:b/>
              </w:rPr>
              <w:t>23.9</w:t>
            </w:r>
            <w:r w:rsidR="005F07BF" w:rsidRPr="006713F6">
              <w:rPr>
                <w:rFonts w:ascii="Arial" w:hAnsi="Arial" w:cs="Arial"/>
                <w:b/>
              </w:rPr>
              <w:t>p</w:t>
            </w:r>
          </w:p>
        </w:tc>
        <w:tc>
          <w:tcPr>
            <w:tcW w:w="714" w:type="pct"/>
            <w:shd w:val="clear" w:color="auto" w:fill="auto"/>
          </w:tcPr>
          <w:p w14:paraId="60C0B7AA" w14:textId="1F7E3524" w:rsidR="005A65ED" w:rsidRPr="006713F6" w:rsidRDefault="005A65ED" w:rsidP="005A65ED">
            <w:pPr>
              <w:jc w:val="right"/>
              <w:rPr>
                <w:rFonts w:ascii="Arial" w:hAnsi="Arial" w:cs="Arial"/>
              </w:rPr>
            </w:pPr>
            <w:r w:rsidRPr="006713F6">
              <w:rPr>
                <w:rFonts w:ascii="Arial" w:hAnsi="Arial" w:cs="Arial"/>
              </w:rPr>
              <w:t>25.5p</w:t>
            </w:r>
          </w:p>
        </w:tc>
        <w:tc>
          <w:tcPr>
            <w:tcW w:w="701" w:type="pct"/>
            <w:shd w:val="clear" w:color="auto" w:fill="auto"/>
          </w:tcPr>
          <w:p w14:paraId="5C52CC0C" w14:textId="1CBBD405" w:rsidR="005A65ED" w:rsidRPr="006713F6" w:rsidRDefault="005A65ED" w:rsidP="005A65ED">
            <w:pPr>
              <w:jc w:val="right"/>
              <w:rPr>
                <w:rFonts w:ascii="Arial" w:hAnsi="Arial"/>
              </w:rPr>
            </w:pPr>
            <w:r w:rsidRPr="006713F6">
              <w:rPr>
                <w:rFonts w:ascii="Arial" w:hAnsi="Arial"/>
              </w:rPr>
              <w:t>(</w:t>
            </w:r>
            <w:proofErr w:type="gramStart"/>
            <w:r w:rsidR="00013078" w:rsidRPr="00C2187E">
              <w:rPr>
                <w:rFonts w:ascii="Arial" w:hAnsi="Arial" w:cs="Arial"/>
              </w:rPr>
              <w:t>6.3</w:t>
            </w:r>
            <w:r w:rsidRPr="006713F6">
              <w:rPr>
                <w:rFonts w:ascii="Arial" w:hAnsi="Arial"/>
              </w:rPr>
              <w:t>)%</w:t>
            </w:r>
            <w:proofErr w:type="gramEnd"/>
          </w:p>
        </w:tc>
        <w:tc>
          <w:tcPr>
            <w:tcW w:w="728" w:type="pct"/>
            <w:shd w:val="clear" w:color="auto" w:fill="auto"/>
          </w:tcPr>
          <w:p w14:paraId="6F6AD9A6" w14:textId="77777777" w:rsidR="005A65ED" w:rsidRPr="00C2187E" w:rsidRDefault="005A65ED" w:rsidP="005A65ED">
            <w:pPr>
              <w:jc w:val="right"/>
              <w:rPr>
                <w:rFonts w:ascii="Arial" w:hAnsi="Arial" w:cs="Arial"/>
              </w:rPr>
            </w:pPr>
          </w:p>
        </w:tc>
      </w:tr>
      <w:tr w:rsidR="005A65ED" w:rsidRPr="00A845B7" w14:paraId="49515FCC" w14:textId="77777777" w:rsidTr="00D26880">
        <w:tc>
          <w:tcPr>
            <w:tcW w:w="2070" w:type="pct"/>
            <w:shd w:val="clear" w:color="auto" w:fill="auto"/>
          </w:tcPr>
          <w:p w14:paraId="592B25C5" w14:textId="77777777" w:rsidR="005A65ED" w:rsidRPr="00A845B7" w:rsidRDefault="005A65ED" w:rsidP="005A65ED">
            <w:pPr>
              <w:jc w:val="left"/>
              <w:rPr>
                <w:rFonts w:ascii="Arial" w:hAnsi="Arial" w:cs="Arial"/>
              </w:rPr>
            </w:pPr>
            <w:r w:rsidRPr="00A845B7">
              <w:rPr>
                <w:rFonts w:ascii="Arial" w:hAnsi="Arial" w:cs="Arial"/>
              </w:rPr>
              <w:t xml:space="preserve">Adjusted basic earnings per share </w:t>
            </w:r>
          </w:p>
        </w:tc>
        <w:tc>
          <w:tcPr>
            <w:tcW w:w="786" w:type="pct"/>
            <w:shd w:val="clear" w:color="auto" w:fill="auto"/>
          </w:tcPr>
          <w:p w14:paraId="6754CE01" w14:textId="6CC172DF" w:rsidR="005A65ED" w:rsidRPr="006713F6" w:rsidRDefault="007E196C" w:rsidP="005A65ED">
            <w:pPr>
              <w:jc w:val="right"/>
              <w:rPr>
                <w:rFonts w:ascii="Arial" w:hAnsi="Arial"/>
                <w:b/>
              </w:rPr>
            </w:pPr>
            <w:r w:rsidRPr="006713F6">
              <w:rPr>
                <w:rFonts w:ascii="Arial" w:hAnsi="Arial" w:cs="Arial"/>
                <w:b/>
              </w:rPr>
              <w:t>19.8</w:t>
            </w:r>
            <w:r w:rsidR="005A65ED" w:rsidRPr="006713F6">
              <w:rPr>
                <w:rFonts w:ascii="Arial" w:hAnsi="Arial" w:cs="Arial"/>
                <w:b/>
              </w:rPr>
              <w:t>p</w:t>
            </w:r>
            <w:r w:rsidR="005A65ED" w:rsidRPr="006713F6" w:rsidDel="009E5D4B">
              <w:rPr>
                <w:rFonts w:ascii="Arial" w:hAnsi="Arial"/>
                <w:b/>
              </w:rPr>
              <w:t xml:space="preserve"> </w:t>
            </w:r>
          </w:p>
        </w:tc>
        <w:tc>
          <w:tcPr>
            <w:tcW w:w="714" w:type="pct"/>
            <w:shd w:val="clear" w:color="auto" w:fill="auto"/>
          </w:tcPr>
          <w:p w14:paraId="3B6FFB98" w14:textId="47C9597B" w:rsidR="005A65ED" w:rsidRPr="006713F6" w:rsidRDefault="005A65ED" w:rsidP="005A65ED">
            <w:pPr>
              <w:jc w:val="right"/>
              <w:rPr>
                <w:rFonts w:ascii="Arial" w:hAnsi="Arial" w:cs="Arial"/>
              </w:rPr>
            </w:pPr>
            <w:r w:rsidRPr="006713F6">
              <w:rPr>
                <w:rFonts w:ascii="Arial" w:hAnsi="Arial" w:cs="Arial"/>
              </w:rPr>
              <w:t>21.8p</w:t>
            </w:r>
            <w:r w:rsidRPr="006713F6" w:rsidDel="009E5D4B">
              <w:rPr>
                <w:rFonts w:ascii="Arial" w:hAnsi="Arial" w:cs="Arial"/>
              </w:rPr>
              <w:t xml:space="preserve"> </w:t>
            </w:r>
          </w:p>
        </w:tc>
        <w:tc>
          <w:tcPr>
            <w:tcW w:w="701" w:type="pct"/>
            <w:shd w:val="clear" w:color="auto" w:fill="auto"/>
          </w:tcPr>
          <w:p w14:paraId="5213BA07" w14:textId="5460BD0C" w:rsidR="005A65ED" w:rsidRPr="006713F6" w:rsidRDefault="005A65ED" w:rsidP="005A65ED">
            <w:pPr>
              <w:jc w:val="right"/>
              <w:rPr>
                <w:rFonts w:ascii="Arial" w:hAnsi="Arial"/>
              </w:rPr>
            </w:pPr>
            <w:r w:rsidRPr="006713F6">
              <w:rPr>
                <w:rFonts w:ascii="Arial" w:hAnsi="Arial"/>
              </w:rPr>
              <w:t>(</w:t>
            </w:r>
            <w:proofErr w:type="gramStart"/>
            <w:r w:rsidR="007E196C" w:rsidRPr="006713F6">
              <w:rPr>
                <w:rFonts w:ascii="Arial" w:hAnsi="Arial" w:cs="Arial"/>
              </w:rPr>
              <w:t>9.2</w:t>
            </w:r>
            <w:r w:rsidRPr="006713F6">
              <w:rPr>
                <w:rFonts w:ascii="Arial" w:hAnsi="Arial"/>
              </w:rPr>
              <w:t>)%</w:t>
            </w:r>
            <w:proofErr w:type="gramEnd"/>
          </w:p>
        </w:tc>
        <w:tc>
          <w:tcPr>
            <w:tcW w:w="728" w:type="pct"/>
            <w:shd w:val="clear" w:color="auto" w:fill="auto"/>
          </w:tcPr>
          <w:p w14:paraId="59D48724" w14:textId="77777777" w:rsidR="005A65ED" w:rsidRPr="005B2D1B" w:rsidRDefault="005A65ED" w:rsidP="005A65ED">
            <w:pPr>
              <w:jc w:val="right"/>
              <w:rPr>
                <w:rFonts w:ascii="Arial" w:hAnsi="Arial" w:cs="Arial"/>
                <w:highlight w:val="yellow"/>
              </w:rPr>
            </w:pPr>
          </w:p>
        </w:tc>
      </w:tr>
      <w:tr w:rsidR="005A65ED" w:rsidRPr="00A845B7" w14:paraId="6F973D3D" w14:textId="77777777" w:rsidTr="00D26880">
        <w:tc>
          <w:tcPr>
            <w:tcW w:w="2070" w:type="pct"/>
            <w:shd w:val="clear" w:color="auto" w:fill="auto"/>
          </w:tcPr>
          <w:p w14:paraId="51D4E847" w14:textId="09ED63E5" w:rsidR="005A65ED" w:rsidRPr="00A845B7" w:rsidRDefault="005A65ED" w:rsidP="005A65ED">
            <w:pPr>
              <w:jc w:val="left"/>
              <w:rPr>
                <w:rFonts w:ascii="Arial" w:hAnsi="Arial" w:cs="Arial"/>
              </w:rPr>
            </w:pPr>
            <w:r w:rsidRPr="00A845B7">
              <w:rPr>
                <w:rFonts w:ascii="Arial" w:hAnsi="Arial" w:cs="Arial"/>
              </w:rPr>
              <w:t>Basic earnings per share</w:t>
            </w:r>
          </w:p>
        </w:tc>
        <w:tc>
          <w:tcPr>
            <w:tcW w:w="786" w:type="pct"/>
            <w:shd w:val="clear" w:color="auto" w:fill="auto"/>
          </w:tcPr>
          <w:p w14:paraId="6FDFDD75" w14:textId="347F8B48" w:rsidR="005A65ED" w:rsidRPr="00C2187E" w:rsidRDefault="00013078" w:rsidP="005A65ED">
            <w:pPr>
              <w:jc w:val="right"/>
              <w:rPr>
                <w:rFonts w:ascii="Arial" w:hAnsi="Arial" w:cs="Arial"/>
                <w:b/>
              </w:rPr>
            </w:pPr>
            <w:r w:rsidRPr="00C2187E">
              <w:rPr>
                <w:rFonts w:ascii="Arial" w:hAnsi="Arial" w:cs="Arial"/>
                <w:b/>
              </w:rPr>
              <w:t>1</w:t>
            </w:r>
            <w:r w:rsidR="00E616F1">
              <w:rPr>
                <w:rFonts w:ascii="Arial" w:hAnsi="Arial" w:cs="Arial"/>
                <w:b/>
              </w:rPr>
              <w:t>0</w:t>
            </w:r>
            <w:r w:rsidRPr="00C2187E">
              <w:rPr>
                <w:rFonts w:ascii="Arial" w:hAnsi="Arial" w:cs="Arial"/>
                <w:b/>
              </w:rPr>
              <w:t>.</w:t>
            </w:r>
            <w:r w:rsidR="00E616F1">
              <w:rPr>
                <w:rFonts w:ascii="Arial" w:hAnsi="Arial" w:cs="Arial"/>
                <w:b/>
              </w:rPr>
              <w:t>3</w:t>
            </w:r>
            <w:r w:rsidR="005F07BF" w:rsidRPr="00C2187E">
              <w:rPr>
                <w:rFonts w:ascii="Arial" w:hAnsi="Arial" w:cs="Arial"/>
                <w:b/>
              </w:rPr>
              <w:t>p</w:t>
            </w:r>
            <w:r w:rsidR="005F07BF" w:rsidRPr="00C2187E" w:rsidDel="009E5D4B">
              <w:rPr>
                <w:rFonts w:ascii="Arial" w:hAnsi="Arial" w:cs="Arial"/>
                <w:b/>
              </w:rPr>
              <w:t xml:space="preserve"> </w:t>
            </w:r>
          </w:p>
        </w:tc>
        <w:tc>
          <w:tcPr>
            <w:tcW w:w="714" w:type="pct"/>
            <w:shd w:val="clear" w:color="auto" w:fill="auto"/>
          </w:tcPr>
          <w:p w14:paraId="7A3FC065" w14:textId="127A8E64" w:rsidR="005A65ED" w:rsidRPr="006713F6" w:rsidDel="00791ABF" w:rsidRDefault="005A65ED" w:rsidP="005A65ED">
            <w:pPr>
              <w:jc w:val="right"/>
              <w:rPr>
                <w:rFonts w:ascii="Arial" w:hAnsi="Arial" w:cs="Arial"/>
              </w:rPr>
            </w:pPr>
            <w:r w:rsidRPr="006713F6">
              <w:rPr>
                <w:rFonts w:ascii="Arial" w:hAnsi="Arial" w:cs="Arial"/>
              </w:rPr>
              <w:t>22.1p</w:t>
            </w:r>
            <w:r w:rsidRPr="006713F6" w:rsidDel="009E5D4B">
              <w:rPr>
                <w:rFonts w:ascii="Arial" w:hAnsi="Arial" w:cs="Arial"/>
              </w:rPr>
              <w:t xml:space="preserve"> </w:t>
            </w:r>
          </w:p>
        </w:tc>
        <w:tc>
          <w:tcPr>
            <w:tcW w:w="701" w:type="pct"/>
            <w:shd w:val="clear" w:color="auto" w:fill="auto"/>
          </w:tcPr>
          <w:p w14:paraId="7AC4DC4C" w14:textId="09C47913" w:rsidR="005A65ED" w:rsidRPr="00C2187E" w:rsidDel="00791ABF" w:rsidRDefault="005A65ED" w:rsidP="005A65ED">
            <w:pPr>
              <w:jc w:val="right"/>
              <w:rPr>
                <w:rFonts w:ascii="Arial" w:hAnsi="Arial" w:cs="Arial"/>
              </w:rPr>
            </w:pPr>
            <w:r w:rsidRPr="00C2187E">
              <w:rPr>
                <w:rFonts w:ascii="Arial" w:hAnsi="Arial" w:cs="Arial"/>
              </w:rPr>
              <w:t>(</w:t>
            </w:r>
            <w:proofErr w:type="gramStart"/>
            <w:r w:rsidR="00E616F1">
              <w:rPr>
                <w:rFonts w:ascii="Arial" w:hAnsi="Arial" w:cs="Arial"/>
              </w:rPr>
              <w:t>53</w:t>
            </w:r>
            <w:r w:rsidR="00013078" w:rsidRPr="00C2187E">
              <w:rPr>
                <w:rFonts w:ascii="Arial" w:hAnsi="Arial" w:cs="Arial"/>
              </w:rPr>
              <w:t>.</w:t>
            </w:r>
            <w:r w:rsidR="00E616F1">
              <w:rPr>
                <w:rFonts w:ascii="Arial" w:hAnsi="Arial" w:cs="Arial"/>
              </w:rPr>
              <w:t>4</w:t>
            </w:r>
            <w:r w:rsidRPr="00C2187E">
              <w:rPr>
                <w:rFonts w:ascii="Arial" w:hAnsi="Arial" w:cs="Arial"/>
              </w:rPr>
              <w:t>)%</w:t>
            </w:r>
            <w:proofErr w:type="gramEnd"/>
            <w:r w:rsidRPr="00C2187E" w:rsidDel="00265815">
              <w:rPr>
                <w:rFonts w:ascii="Arial" w:hAnsi="Arial" w:cs="Arial"/>
              </w:rPr>
              <w:t xml:space="preserve"> </w:t>
            </w:r>
          </w:p>
        </w:tc>
        <w:tc>
          <w:tcPr>
            <w:tcW w:w="728" w:type="pct"/>
            <w:shd w:val="clear" w:color="auto" w:fill="auto"/>
          </w:tcPr>
          <w:p w14:paraId="6D444851" w14:textId="77777777" w:rsidR="005A65ED" w:rsidRPr="005B2D1B" w:rsidRDefault="005A65ED" w:rsidP="005A65ED">
            <w:pPr>
              <w:jc w:val="right"/>
              <w:rPr>
                <w:rFonts w:ascii="Arial" w:hAnsi="Arial" w:cs="Arial"/>
                <w:highlight w:val="yellow"/>
              </w:rPr>
            </w:pPr>
          </w:p>
        </w:tc>
      </w:tr>
      <w:tr w:rsidR="005A65ED" w:rsidRPr="00A845B7" w14:paraId="15283797" w14:textId="77777777" w:rsidTr="00D26880">
        <w:tc>
          <w:tcPr>
            <w:tcW w:w="2070" w:type="pct"/>
            <w:shd w:val="clear" w:color="auto" w:fill="auto"/>
          </w:tcPr>
          <w:p w14:paraId="18154A12" w14:textId="77777777" w:rsidR="005A65ED" w:rsidRPr="00A845B7" w:rsidRDefault="005A65ED" w:rsidP="005A65ED">
            <w:pPr>
              <w:jc w:val="left"/>
              <w:rPr>
                <w:rFonts w:ascii="Arial" w:hAnsi="Arial" w:cs="Arial"/>
              </w:rPr>
            </w:pPr>
            <w:r w:rsidRPr="00A845B7">
              <w:rPr>
                <w:rFonts w:ascii="Arial" w:hAnsi="Arial" w:cs="Arial"/>
              </w:rPr>
              <w:t>Full year ordinary dividend</w:t>
            </w:r>
          </w:p>
        </w:tc>
        <w:tc>
          <w:tcPr>
            <w:tcW w:w="786" w:type="pct"/>
            <w:shd w:val="clear" w:color="auto" w:fill="auto"/>
          </w:tcPr>
          <w:p w14:paraId="03C7403A" w14:textId="3D85FEE5" w:rsidR="005A65ED" w:rsidRPr="00C2187E" w:rsidRDefault="006713F6" w:rsidP="005A65ED">
            <w:pPr>
              <w:jc w:val="right"/>
              <w:rPr>
                <w:rFonts w:ascii="Arial" w:hAnsi="Arial" w:cs="Arial"/>
                <w:b/>
              </w:rPr>
            </w:pPr>
            <w:r w:rsidRPr="0035009E">
              <w:rPr>
                <w:rFonts w:ascii="Arial" w:hAnsi="Arial" w:cs="Arial"/>
                <w:b/>
              </w:rPr>
              <w:t>10.8</w:t>
            </w:r>
            <w:r w:rsidR="005A65ED" w:rsidRPr="00C2187E">
              <w:rPr>
                <w:rFonts w:ascii="Arial" w:hAnsi="Arial" w:cs="Arial"/>
                <w:b/>
              </w:rPr>
              <w:t>p</w:t>
            </w:r>
          </w:p>
        </w:tc>
        <w:tc>
          <w:tcPr>
            <w:tcW w:w="714" w:type="pct"/>
            <w:shd w:val="clear" w:color="auto" w:fill="auto"/>
          </w:tcPr>
          <w:p w14:paraId="0DF7A094" w14:textId="02B5497B" w:rsidR="005A65ED" w:rsidRPr="006713F6" w:rsidRDefault="005A65ED" w:rsidP="005A65ED">
            <w:pPr>
              <w:jc w:val="right"/>
              <w:rPr>
                <w:rFonts w:ascii="Arial" w:hAnsi="Arial" w:cs="Arial"/>
              </w:rPr>
            </w:pPr>
            <w:r w:rsidRPr="006713F6">
              <w:rPr>
                <w:rFonts w:ascii="Arial" w:hAnsi="Arial" w:cs="Arial"/>
              </w:rPr>
              <w:t>10.8p</w:t>
            </w:r>
          </w:p>
        </w:tc>
        <w:tc>
          <w:tcPr>
            <w:tcW w:w="701" w:type="pct"/>
          </w:tcPr>
          <w:p w14:paraId="6FD80762" w14:textId="600005B3" w:rsidR="005A65ED" w:rsidRPr="00C2187E" w:rsidDel="00713ADA" w:rsidRDefault="006713F6" w:rsidP="005A65ED">
            <w:pPr>
              <w:jc w:val="right"/>
              <w:rPr>
                <w:rFonts w:ascii="Arial" w:hAnsi="Arial" w:cs="Arial"/>
              </w:rPr>
            </w:pPr>
            <w:r>
              <w:rPr>
                <w:rFonts w:ascii="Arial" w:hAnsi="Arial" w:cs="Arial"/>
              </w:rPr>
              <w:t>-</w:t>
            </w:r>
          </w:p>
        </w:tc>
        <w:tc>
          <w:tcPr>
            <w:tcW w:w="728" w:type="pct"/>
            <w:shd w:val="clear" w:color="auto" w:fill="auto"/>
          </w:tcPr>
          <w:p w14:paraId="4DA02E97" w14:textId="77777777" w:rsidR="005A65ED" w:rsidRPr="00D86BB6" w:rsidRDefault="005A65ED" w:rsidP="005A65ED">
            <w:pPr>
              <w:jc w:val="right"/>
              <w:rPr>
                <w:rFonts w:ascii="Arial" w:hAnsi="Arial" w:cs="Arial"/>
              </w:rPr>
            </w:pPr>
          </w:p>
        </w:tc>
      </w:tr>
      <w:tr w:rsidR="005A65ED" w:rsidRPr="00A845B7" w14:paraId="6EEF209D" w14:textId="77777777" w:rsidTr="0018703F">
        <w:tc>
          <w:tcPr>
            <w:tcW w:w="2070" w:type="pct"/>
            <w:shd w:val="clear" w:color="auto" w:fill="auto"/>
          </w:tcPr>
          <w:p w14:paraId="51E53EEF" w14:textId="77777777" w:rsidR="005A65ED" w:rsidRPr="00A845B7" w:rsidRDefault="005A65ED" w:rsidP="005A65ED">
            <w:pPr>
              <w:jc w:val="left"/>
              <w:rPr>
                <w:rFonts w:ascii="Arial" w:hAnsi="Arial" w:cs="Arial"/>
              </w:rPr>
            </w:pPr>
            <w:r w:rsidRPr="00A845B7">
              <w:rPr>
                <w:rFonts w:ascii="Arial" w:hAnsi="Arial" w:cs="Arial"/>
              </w:rPr>
              <w:t xml:space="preserve">Net cash </w:t>
            </w:r>
          </w:p>
        </w:tc>
        <w:tc>
          <w:tcPr>
            <w:tcW w:w="786" w:type="pct"/>
            <w:shd w:val="clear" w:color="auto" w:fill="auto"/>
          </w:tcPr>
          <w:p w14:paraId="62AC29C5" w14:textId="7F9FE818" w:rsidR="005A65ED" w:rsidRPr="00C2187E" w:rsidRDefault="005A65ED" w:rsidP="005A65ED">
            <w:pPr>
              <w:jc w:val="right"/>
              <w:rPr>
                <w:rFonts w:ascii="Arial" w:hAnsi="Arial" w:cs="Arial"/>
                <w:b/>
              </w:rPr>
            </w:pPr>
            <w:r w:rsidRPr="00C2187E">
              <w:rPr>
                <w:rFonts w:ascii="Arial" w:hAnsi="Arial" w:cs="Arial"/>
                <w:b/>
              </w:rPr>
              <w:t>£</w:t>
            </w:r>
            <w:r w:rsidR="007861AD" w:rsidRPr="00C2187E">
              <w:rPr>
                <w:rFonts w:ascii="Arial" w:hAnsi="Arial" w:cs="Arial"/>
                <w:b/>
              </w:rPr>
              <w:t>4</w:t>
            </w:r>
            <w:r w:rsidRPr="00C2187E">
              <w:rPr>
                <w:rFonts w:ascii="Arial" w:hAnsi="Arial" w:cs="Arial"/>
                <w:b/>
              </w:rPr>
              <w:t>8m</w:t>
            </w:r>
            <w:r w:rsidRPr="00C2187E" w:rsidDel="000D3023">
              <w:rPr>
                <w:rFonts w:ascii="Arial" w:hAnsi="Arial" w:cs="Arial"/>
                <w:b/>
              </w:rPr>
              <w:t xml:space="preserve"> </w:t>
            </w:r>
          </w:p>
        </w:tc>
        <w:tc>
          <w:tcPr>
            <w:tcW w:w="714" w:type="pct"/>
            <w:shd w:val="clear" w:color="auto" w:fill="auto"/>
          </w:tcPr>
          <w:p w14:paraId="01CB4755" w14:textId="54A5F9A3" w:rsidR="005A65ED" w:rsidRPr="006713F6" w:rsidRDefault="005A65ED" w:rsidP="005A65ED">
            <w:pPr>
              <w:jc w:val="right"/>
              <w:rPr>
                <w:rFonts w:ascii="Arial" w:hAnsi="Arial" w:cs="Arial"/>
              </w:rPr>
            </w:pPr>
            <w:r w:rsidRPr="006713F6">
              <w:rPr>
                <w:rFonts w:ascii="Arial" w:hAnsi="Arial" w:cs="Arial"/>
              </w:rPr>
              <w:t>£68m</w:t>
            </w:r>
            <w:r w:rsidRPr="006713F6" w:rsidDel="000D3023">
              <w:rPr>
                <w:rFonts w:ascii="Arial" w:hAnsi="Arial" w:cs="Arial"/>
              </w:rPr>
              <w:t xml:space="preserve"> </w:t>
            </w:r>
          </w:p>
        </w:tc>
        <w:tc>
          <w:tcPr>
            <w:tcW w:w="701" w:type="pct"/>
          </w:tcPr>
          <w:p w14:paraId="6E7C3668" w14:textId="77777777" w:rsidR="005A65ED" w:rsidRPr="006713F6" w:rsidRDefault="005A65ED" w:rsidP="005A65ED">
            <w:pPr>
              <w:jc w:val="right"/>
              <w:rPr>
                <w:rFonts w:ascii="Arial" w:hAnsi="Arial" w:cs="Arial"/>
              </w:rPr>
            </w:pPr>
          </w:p>
        </w:tc>
        <w:tc>
          <w:tcPr>
            <w:tcW w:w="728" w:type="pct"/>
            <w:shd w:val="clear" w:color="auto" w:fill="auto"/>
          </w:tcPr>
          <w:p w14:paraId="2E402C45" w14:textId="77777777" w:rsidR="005A65ED" w:rsidRPr="00A845B7" w:rsidRDefault="005A65ED" w:rsidP="005A65ED">
            <w:pPr>
              <w:jc w:val="right"/>
              <w:rPr>
                <w:rFonts w:ascii="Arial" w:hAnsi="Arial" w:cs="Arial"/>
              </w:rPr>
            </w:pPr>
          </w:p>
        </w:tc>
      </w:tr>
      <w:tr w:rsidR="005A65ED" w:rsidRPr="00A845B7" w14:paraId="7C64C9A0" w14:textId="77777777" w:rsidTr="00D26880">
        <w:tc>
          <w:tcPr>
            <w:tcW w:w="2070" w:type="pct"/>
            <w:tcBorders>
              <w:bottom w:val="single" w:sz="4" w:space="0" w:color="auto"/>
            </w:tcBorders>
            <w:shd w:val="clear" w:color="auto" w:fill="auto"/>
          </w:tcPr>
          <w:p w14:paraId="22252B42" w14:textId="7E33A858" w:rsidR="005A65ED" w:rsidRPr="00A845B7" w:rsidRDefault="005A65ED" w:rsidP="005A65ED">
            <w:pPr>
              <w:jc w:val="left"/>
              <w:rPr>
                <w:rFonts w:ascii="Arial" w:hAnsi="Arial" w:cs="Arial"/>
              </w:rPr>
            </w:pPr>
            <w:r w:rsidRPr="00A845B7">
              <w:rPr>
                <w:rFonts w:ascii="Arial" w:hAnsi="Arial" w:cs="Arial"/>
              </w:rPr>
              <w:t xml:space="preserve">Capital </w:t>
            </w:r>
            <w:r>
              <w:rPr>
                <w:rFonts w:ascii="Arial" w:hAnsi="Arial" w:cs="Arial"/>
              </w:rPr>
              <w:t>r</w:t>
            </w:r>
            <w:r w:rsidRPr="00A845B7">
              <w:rPr>
                <w:rFonts w:ascii="Arial" w:hAnsi="Arial" w:cs="Arial"/>
              </w:rPr>
              <w:t>eturn - share buyback</w:t>
            </w:r>
          </w:p>
        </w:tc>
        <w:tc>
          <w:tcPr>
            <w:tcW w:w="786" w:type="pct"/>
            <w:tcBorders>
              <w:bottom w:val="single" w:sz="4" w:space="0" w:color="auto"/>
            </w:tcBorders>
            <w:shd w:val="clear" w:color="auto" w:fill="auto"/>
          </w:tcPr>
          <w:p w14:paraId="06F94657" w14:textId="7E66BF20" w:rsidR="005A65ED" w:rsidRPr="005D6FAA" w:rsidRDefault="005A65ED" w:rsidP="005A65ED">
            <w:pPr>
              <w:jc w:val="right"/>
              <w:rPr>
                <w:rFonts w:ascii="Arial" w:hAnsi="Arial" w:cs="Arial"/>
                <w:b/>
                <w:highlight w:val="yellow"/>
              </w:rPr>
            </w:pPr>
            <w:r w:rsidRPr="007861AD">
              <w:rPr>
                <w:rFonts w:ascii="Arial" w:hAnsi="Arial" w:cs="Arial"/>
                <w:b/>
              </w:rPr>
              <w:t>£</w:t>
            </w:r>
            <w:r w:rsidR="007861AD" w:rsidRPr="005D6FAA">
              <w:rPr>
                <w:rFonts w:ascii="Arial" w:hAnsi="Arial" w:cs="Arial"/>
                <w:b/>
              </w:rPr>
              <w:t>14</w:t>
            </w:r>
            <w:r w:rsidRPr="007861AD">
              <w:rPr>
                <w:rFonts w:ascii="Arial" w:hAnsi="Arial" w:cs="Arial"/>
                <w:b/>
              </w:rPr>
              <w:t>0m</w:t>
            </w:r>
          </w:p>
        </w:tc>
        <w:tc>
          <w:tcPr>
            <w:tcW w:w="714" w:type="pct"/>
            <w:tcBorders>
              <w:bottom w:val="single" w:sz="4" w:space="0" w:color="auto"/>
            </w:tcBorders>
            <w:shd w:val="clear" w:color="auto" w:fill="auto"/>
          </w:tcPr>
          <w:p w14:paraId="240C3666" w14:textId="46BF1CEB" w:rsidR="005A65ED" w:rsidRPr="005A65ED" w:rsidRDefault="005A65ED" w:rsidP="005A65ED">
            <w:pPr>
              <w:jc w:val="right"/>
              <w:rPr>
                <w:rFonts w:ascii="Arial" w:hAnsi="Arial" w:cs="Arial"/>
              </w:rPr>
            </w:pPr>
            <w:r w:rsidRPr="005D6FAA">
              <w:rPr>
                <w:rFonts w:ascii="Arial" w:hAnsi="Arial" w:cs="Arial"/>
              </w:rPr>
              <w:t>£260m</w:t>
            </w:r>
          </w:p>
        </w:tc>
        <w:tc>
          <w:tcPr>
            <w:tcW w:w="701" w:type="pct"/>
            <w:tcBorders>
              <w:bottom w:val="single" w:sz="4" w:space="0" w:color="auto"/>
            </w:tcBorders>
          </w:tcPr>
          <w:p w14:paraId="038FA2C7" w14:textId="77777777" w:rsidR="005A65ED" w:rsidRPr="00A845B7" w:rsidRDefault="005A65ED" w:rsidP="005A65ED">
            <w:pPr>
              <w:jc w:val="right"/>
              <w:rPr>
                <w:rFonts w:ascii="Arial" w:hAnsi="Arial" w:cs="Arial"/>
              </w:rPr>
            </w:pPr>
          </w:p>
        </w:tc>
        <w:tc>
          <w:tcPr>
            <w:tcW w:w="728" w:type="pct"/>
            <w:tcBorders>
              <w:bottom w:val="single" w:sz="4" w:space="0" w:color="auto"/>
            </w:tcBorders>
            <w:shd w:val="clear" w:color="auto" w:fill="auto"/>
          </w:tcPr>
          <w:p w14:paraId="386456DA" w14:textId="77777777" w:rsidR="005A65ED" w:rsidRPr="00A845B7" w:rsidRDefault="005A65ED" w:rsidP="005A65ED">
            <w:pPr>
              <w:jc w:val="right"/>
              <w:rPr>
                <w:rFonts w:ascii="Arial" w:hAnsi="Arial" w:cs="Arial"/>
              </w:rPr>
            </w:pPr>
          </w:p>
        </w:tc>
      </w:tr>
    </w:tbl>
    <w:p w14:paraId="3B5F9D2E" w14:textId="77777777" w:rsidR="00832149" w:rsidRDefault="00D26880" w:rsidP="004D01EC">
      <w:pPr>
        <w:jc w:val="left"/>
        <w:rPr>
          <w:rFonts w:ascii="Arial" w:hAnsi="Arial" w:cs="Arial"/>
          <w:vertAlign w:val="superscript"/>
        </w:rPr>
      </w:pPr>
      <w:r w:rsidRPr="006F78D1" w:rsidDel="00D26880">
        <w:rPr>
          <w:rFonts w:ascii="Arial" w:hAnsi="Arial" w:cs="Arial"/>
          <w:vertAlign w:val="superscript"/>
        </w:rPr>
        <w:t xml:space="preserve"> </w:t>
      </w:r>
    </w:p>
    <w:p w14:paraId="67C2411C" w14:textId="3E661D99" w:rsidR="004D01EC" w:rsidRDefault="004D01EC" w:rsidP="004D01EC">
      <w:pPr>
        <w:jc w:val="left"/>
        <w:rPr>
          <w:rFonts w:ascii="Arial" w:hAnsi="Arial" w:cs="Arial"/>
          <w:sz w:val="18"/>
          <w:szCs w:val="24"/>
        </w:rPr>
      </w:pPr>
      <w:r w:rsidRPr="006F78D1">
        <w:rPr>
          <w:rFonts w:ascii="Arial" w:hAnsi="Arial" w:cs="Arial"/>
          <w:vertAlign w:val="superscript"/>
        </w:rPr>
        <w:t>(</w:t>
      </w:r>
      <w:r w:rsidR="00D26880">
        <w:rPr>
          <w:rFonts w:ascii="Arial" w:hAnsi="Arial" w:cs="Arial"/>
          <w:vertAlign w:val="superscript"/>
        </w:rPr>
        <w:t>1</w:t>
      </w:r>
      <w:r w:rsidRPr="006F78D1">
        <w:rPr>
          <w:rFonts w:ascii="Arial" w:hAnsi="Arial" w:cs="Arial"/>
          <w:vertAlign w:val="superscript"/>
        </w:rPr>
        <w:t>)</w:t>
      </w:r>
      <w:r w:rsidRPr="000952F8">
        <w:rPr>
          <w:rFonts w:ascii="Arial" w:hAnsi="Arial" w:cs="Arial"/>
          <w:sz w:val="24"/>
          <w:szCs w:val="24"/>
        </w:rPr>
        <w:t xml:space="preserve"> </w:t>
      </w:r>
      <w:r w:rsidRPr="006F78D1">
        <w:rPr>
          <w:rFonts w:ascii="Arial" w:hAnsi="Arial" w:cs="Arial"/>
          <w:sz w:val="18"/>
          <w:szCs w:val="24"/>
        </w:rPr>
        <w:t xml:space="preserve">Kingfisher separately reports exceptional items and transformation </w:t>
      </w:r>
      <w:r w:rsidR="005A65ED">
        <w:rPr>
          <w:rFonts w:ascii="Arial" w:hAnsi="Arial" w:cs="Arial"/>
          <w:sz w:val="18"/>
          <w:szCs w:val="24"/>
        </w:rPr>
        <w:t xml:space="preserve">P&amp;L </w:t>
      </w:r>
      <w:r w:rsidRPr="006F78D1">
        <w:rPr>
          <w:rFonts w:ascii="Arial" w:hAnsi="Arial" w:cs="Arial"/>
          <w:sz w:val="18"/>
          <w:szCs w:val="24"/>
        </w:rPr>
        <w:t>costs in order to calculate adjusted and underlying results, as it believes these measures provide additional useful information on underlying performance and trends</w:t>
      </w:r>
    </w:p>
    <w:p w14:paraId="2248BA9F" w14:textId="77777777" w:rsidR="00997637" w:rsidRPr="000F07BB" w:rsidRDefault="00997637" w:rsidP="00997637">
      <w:pPr>
        <w:jc w:val="left"/>
        <w:rPr>
          <w:rFonts w:ascii="Arial" w:hAnsi="Arial" w:cs="Arial"/>
          <w:sz w:val="24"/>
          <w:szCs w:val="24"/>
        </w:rPr>
      </w:pPr>
    </w:p>
    <w:p w14:paraId="13F4EEBA" w14:textId="79F387F6" w:rsidR="0042729E" w:rsidRDefault="0042729E" w:rsidP="00997637">
      <w:pPr>
        <w:jc w:val="left"/>
        <w:rPr>
          <w:rFonts w:ascii="Arial" w:hAnsi="Arial" w:cs="Arial"/>
        </w:rPr>
      </w:pPr>
      <w:r w:rsidRPr="00E344C4">
        <w:rPr>
          <w:rFonts w:ascii="Arial" w:hAnsi="Arial" w:cs="Arial"/>
        </w:rPr>
        <w:t xml:space="preserve">Total </w:t>
      </w:r>
      <w:r w:rsidRPr="00E344C4">
        <w:rPr>
          <w:rFonts w:ascii="Arial" w:hAnsi="Arial" w:cs="Arial"/>
          <w:b/>
        </w:rPr>
        <w:t>sales</w:t>
      </w:r>
      <w:r w:rsidRPr="00E344C4">
        <w:rPr>
          <w:rFonts w:ascii="Arial" w:hAnsi="Arial" w:cs="Arial"/>
        </w:rPr>
        <w:t xml:space="preserve"> </w:t>
      </w:r>
      <w:r w:rsidR="007861AD">
        <w:rPr>
          <w:rFonts w:ascii="Arial" w:hAnsi="Arial" w:cs="Arial"/>
        </w:rPr>
        <w:t xml:space="preserve">increased </w:t>
      </w:r>
      <w:r w:rsidR="0018703F">
        <w:rPr>
          <w:rFonts w:ascii="Arial" w:hAnsi="Arial" w:cs="Arial"/>
        </w:rPr>
        <w:t>by</w:t>
      </w:r>
      <w:r w:rsidR="0018703F" w:rsidRPr="0018703F">
        <w:rPr>
          <w:rFonts w:ascii="Arial" w:hAnsi="Arial" w:cs="Arial"/>
        </w:rPr>
        <w:t xml:space="preserve"> </w:t>
      </w:r>
      <w:r w:rsidR="00E344C4" w:rsidRPr="007861AD">
        <w:rPr>
          <w:rFonts w:ascii="Arial" w:hAnsi="Arial" w:cs="Arial"/>
        </w:rPr>
        <w:t>0</w:t>
      </w:r>
      <w:r w:rsidRPr="007861AD">
        <w:rPr>
          <w:rFonts w:ascii="Arial" w:hAnsi="Arial" w:cs="Arial"/>
        </w:rPr>
        <w:t>.</w:t>
      </w:r>
      <w:r w:rsidR="00E344C4" w:rsidRPr="007861AD">
        <w:rPr>
          <w:rFonts w:ascii="Arial" w:hAnsi="Arial" w:cs="Arial"/>
        </w:rPr>
        <w:t>3</w:t>
      </w:r>
      <w:r w:rsidRPr="00E344C4">
        <w:rPr>
          <w:rFonts w:ascii="Arial" w:hAnsi="Arial" w:cs="Arial"/>
        </w:rPr>
        <w:t>% on a constant currency basis</w:t>
      </w:r>
      <w:r w:rsidR="0018703F">
        <w:rPr>
          <w:rFonts w:ascii="Arial" w:hAnsi="Arial" w:cs="Arial"/>
        </w:rPr>
        <w:t xml:space="preserve"> to </w:t>
      </w:r>
      <w:r w:rsidR="0018703F" w:rsidRPr="007861AD">
        <w:rPr>
          <w:rFonts w:ascii="Arial" w:hAnsi="Arial" w:cs="Arial"/>
        </w:rPr>
        <w:t>£11.7</w:t>
      </w:r>
      <w:r w:rsidR="0018703F">
        <w:rPr>
          <w:rFonts w:ascii="Arial" w:hAnsi="Arial" w:cs="Arial"/>
        </w:rPr>
        <w:t xml:space="preserve"> billion</w:t>
      </w:r>
      <w:r w:rsidRPr="00E344C4">
        <w:rPr>
          <w:rFonts w:ascii="Arial" w:hAnsi="Arial" w:cs="Arial"/>
        </w:rPr>
        <w:t xml:space="preserve">, with LFL sales </w:t>
      </w:r>
      <w:r w:rsidR="00E344C4" w:rsidRPr="0018703F">
        <w:rPr>
          <w:rFonts w:ascii="Arial" w:hAnsi="Arial" w:cs="Arial"/>
        </w:rPr>
        <w:t xml:space="preserve">down </w:t>
      </w:r>
      <w:r w:rsidR="007861AD">
        <w:rPr>
          <w:rFonts w:ascii="Arial" w:hAnsi="Arial" w:cs="Arial"/>
        </w:rPr>
        <w:t>1.6</w:t>
      </w:r>
      <w:r w:rsidRPr="00E344C4">
        <w:rPr>
          <w:rFonts w:ascii="Arial" w:hAnsi="Arial" w:cs="Arial"/>
        </w:rPr>
        <w:t>%. On a reported rate</w:t>
      </w:r>
      <w:r w:rsidR="00A524EB">
        <w:rPr>
          <w:rFonts w:ascii="Arial" w:hAnsi="Arial" w:cs="Arial"/>
        </w:rPr>
        <w:t xml:space="preserve"> </w:t>
      </w:r>
      <w:r w:rsidRPr="00E344C4">
        <w:rPr>
          <w:rFonts w:ascii="Arial" w:hAnsi="Arial" w:cs="Arial"/>
        </w:rPr>
        <w:t xml:space="preserve">basis, which includes the impact of exchange rates, sales increased by </w:t>
      </w:r>
      <w:r w:rsidR="007861AD" w:rsidRPr="005D6FAA">
        <w:rPr>
          <w:rFonts w:ascii="Arial" w:hAnsi="Arial" w:cs="Arial"/>
        </w:rPr>
        <w:t>0.3</w:t>
      </w:r>
      <w:r w:rsidRPr="005B2D1B">
        <w:rPr>
          <w:rFonts w:ascii="Arial" w:hAnsi="Arial" w:cs="Arial"/>
        </w:rPr>
        <w:t xml:space="preserve">%. During the year, sales growth benefited from </w:t>
      </w:r>
      <w:r w:rsidR="00127B05">
        <w:rPr>
          <w:rFonts w:ascii="Arial" w:hAnsi="Arial" w:cs="Arial"/>
        </w:rPr>
        <w:t>51</w:t>
      </w:r>
      <w:r w:rsidR="000254CF" w:rsidRPr="005B2D1B">
        <w:rPr>
          <w:rFonts w:ascii="Arial" w:hAnsi="Arial" w:cs="Arial"/>
        </w:rPr>
        <w:t xml:space="preserve"> </w:t>
      </w:r>
      <w:r w:rsidRPr="005B2D1B">
        <w:rPr>
          <w:rFonts w:ascii="Arial" w:hAnsi="Arial" w:cs="Arial"/>
        </w:rPr>
        <w:t>net new stores</w:t>
      </w:r>
      <w:r w:rsidR="00FE265B">
        <w:rPr>
          <w:rFonts w:ascii="Arial" w:hAnsi="Arial" w:cs="Arial"/>
        </w:rPr>
        <w:t xml:space="preserve"> (excluding 26 Praktiker Romania stores that were acquired in </w:t>
      </w:r>
      <w:r w:rsidR="00D5103C">
        <w:rPr>
          <w:rFonts w:ascii="Arial" w:hAnsi="Arial" w:cs="Arial"/>
        </w:rPr>
        <w:t>November</w:t>
      </w:r>
      <w:r w:rsidR="00653BF6">
        <w:rPr>
          <w:rFonts w:ascii="Arial" w:hAnsi="Arial" w:cs="Arial"/>
        </w:rPr>
        <w:t xml:space="preserve"> 2017</w:t>
      </w:r>
      <w:r w:rsidR="00FE265B">
        <w:rPr>
          <w:rFonts w:ascii="Arial" w:hAnsi="Arial" w:cs="Arial"/>
        </w:rPr>
        <w:t>)</w:t>
      </w:r>
      <w:r w:rsidRPr="005B2D1B">
        <w:rPr>
          <w:rFonts w:ascii="Arial" w:hAnsi="Arial" w:cs="Arial"/>
        </w:rPr>
        <w:t xml:space="preserve">, </w:t>
      </w:r>
      <w:r w:rsidR="007861AD">
        <w:rPr>
          <w:rFonts w:ascii="Arial" w:hAnsi="Arial" w:cs="Arial"/>
        </w:rPr>
        <w:t xml:space="preserve">mostly </w:t>
      </w:r>
      <w:r w:rsidRPr="005B2D1B">
        <w:rPr>
          <w:rFonts w:ascii="Arial" w:hAnsi="Arial" w:cs="Arial"/>
        </w:rPr>
        <w:t xml:space="preserve">driven by </w:t>
      </w:r>
      <w:r w:rsidR="007861AD">
        <w:rPr>
          <w:rFonts w:ascii="Arial" w:hAnsi="Arial" w:cs="Arial"/>
        </w:rPr>
        <w:t>50</w:t>
      </w:r>
      <w:r w:rsidR="0018703F" w:rsidRPr="005B2D1B">
        <w:rPr>
          <w:rFonts w:ascii="Arial" w:hAnsi="Arial" w:cs="Arial"/>
        </w:rPr>
        <w:t xml:space="preserve"> </w:t>
      </w:r>
      <w:r w:rsidRPr="005B2D1B">
        <w:rPr>
          <w:rFonts w:ascii="Arial" w:hAnsi="Arial" w:cs="Arial"/>
        </w:rPr>
        <w:t xml:space="preserve">Screwfix outlet openings in the UK. </w:t>
      </w:r>
    </w:p>
    <w:p w14:paraId="77A88DD4" w14:textId="77777777" w:rsidR="00C07FD9" w:rsidRDefault="00C07FD9" w:rsidP="00997637">
      <w:pPr>
        <w:jc w:val="left"/>
        <w:rPr>
          <w:rFonts w:ascii="Arial" w:hAnsi="Arial" w:cs="Arial"/>
        </w:rPr>
      </w:pPr>
    </w:p>
    <w:p w14:paraId="3DE7FB03" w14:textId="3497E591" w:rsidR="00C07FD9" w:rsidRPr="00342365" w:rsidRDefault="00C07FD9" w:rsidP="00997637">
      <w:pPr>
        <w:jc w:val="left"/>
        <w:rPr>
          <w:rFonts w:ascii="Arial" w:hAnsi="Arial" w:cs="Arial"/>
          <w:b/>
        </w:rPr>
      </w:pPr>
      <w:r w:rsidRPr="00342365">
        <w:rPr>
          <w:rFonts w:ascii="Arial" w:hAnsi="Arial" w:cs="Arial"/>
          <w:b/>
        </w:rPr>
        <w:t>Gross margin</w:t>
      </w:r>
      <w:r w:rsidRPr="00342365">
        <w:rPr>
          <w:rFonts w:ascii="Arial" w:hAnsi="Arial" w:cs="Arial"/>
        </w:rPr>
        <w:t xml:space="preserve"> was </w:t>
      </w:r>
      <w:r>
        <w:rPr>
          <w:rFonts w:ascii="Arial" w:hAnsi="Arial" w:cs="Arial"/>
        </w:rPr>
        <w:t xml:space="preserve">flat as </w:t>
      </w:r>
      <w:r w:rsidR="0012677B">
        <w:rPr>
          <w:rFonts w:ascii="Arial" w:hAnsi="Arial" w:cs="Arial"/>
        </w:rPr>
        <w:t xml:space="preserve">increases in the UK, Brico </w:t>
      </w:r>
      <w:r w:rsidR="0012677B" w:rsidRPr="00A845B7">
        <w:rPr>
          <w:rFonts w:ascii="Arial" w:hAnsi="Arial" w:cs="Arial"/>
          <w:iCs/>
        </w:rPr>
        <w:t>Dépôt</w:t>
      </w:r>
      <w:r w:rsidR="0012677B">
        <w:rPr>
          <w:rFonts w:ascii="Arial" w:hAnsi="Arial" w:cs="Arial"/>
        </w:rPr>
        <w:t xml:space="preserve"> France and Poland </w:t>
      </w:r>
      <w:r>
        <w:rPr>
          <w:rFonts w:ascii="Arial" w:hAnsi="Arial" w:cs="Arial"/>
        </w:rPr>
        <w:t>were offset</w:t>
      </w:r>
      <w:r w:rsidR="0012677B">
        <w:rPr>
          <w:rFonts w:ascii="Arial" w:hAnsi="Arial" w:cs="Arial"/>
        </w:rPr>
        <w:t xml:space="preserve"> by a</w:t>
      </w:r>
      <w:r w:rsidR="00E04E74">
        <w:rPr>
          <w:rFonts w:ascii="Arial" w:hAnsi="Arial" w:cs="Arial"/>
        </w:rPr>
        <w:t xml:space="preserve"> </w:t>
      </w:r>
      <w:r w:rsidR="00E04E74" w:rsidRPr="00E04E74">
        <w:rPr>
          <w:rFonts w:ascii="Arial" w:hAnsi="Arial" w:cs="Arial"/>
        </w:rPr>
        <w:t xml:space="preserve">weak performance </w:t>
      </w:r>
      <w:r w:rsidR="0012677B">
        <w:rPr>
          <w:rFonts w:ascii="Arial" w:hAnsi="Arial" w:cs="Arial"/>
        </w:rPr>
        <w:t>at Castorama France</w:t>
      </w:r>
      <w:r w:rsidR="00E04E74">
        <w:rPr>
          <w:rFonts w:ascii="Arial" w:hAnsi="Arial" w:cs="Arial"/>
        </w:rPr>
        <w:t>.</w:t>
      </w:r>
    </w:p>
    <w:p w14:paraId="1637A7BB" w14:textId="77777777" w:rsidR="0042729E" w:rsidRPr="0018703F" w:rsidRDefault="0042729E" w:rsidP="00997637">
      <w:pPr>
        <w:jc w:val="left"/>
        <w:rPr>
          <w:rFonts w:ascii="Arial" w:hAnsi="Arial" w:cs="Arial"/>
          <w:highlight w:val="yellow"/>
        </w:rPr>
      </w:pPr>
    </w:p>
    <w:p w14:paraId="5B2C2B5E" w14:textId="3E623F84" w:rsidR="00997637" w:rsidRPr="00342365" w:rsidRDefault="00997637" w:rsidP="00997637">
      <w:pPr>
        <w:jc w:val="left"/>
        <w:rPr>
          <w:rFonts w:ascii="Arial" w:hAnsi="Arial" w:cs="Arial"/>
        </w:rPr>
      </w:pPr>
      <w:r w:rsidRPr="005B2D1B">
        <w:rPr>
          <w:rFonts w:ascii="Arial" w:hAnsi="Arial" w:cs="Arial"/>
        </w:rPr>
        <w:t xml:space="preserve">Reported </w:t>
      </w:r>
      <w:r w:rsidRPr="00671789">
        <w:rPr>
          <w:rFonts w:ascii="Arial" w:hAnsi="Arial" w:cs="Arial"/>
          <w:b/>
        </w:rPr>
        <w:t>retail profit</w:t>
      </w:r>
      <w:r w:rsidRPr="00671789">
        <w:rPr>
          <w:rFonts w:ascii="Arial" w:hAnsi="Arial" w:cs="Arial"/>
        </w:rPr>
        <w:t xml:space="preserve"> </w:t>
      </w:r>
      <w:r w:rsidR="00E04E74" w:rsidRPr="00671789">
        <w:rPr>
          <w:rFonts w:ascii="Arial" w:hAnsi="Arial" w:cs="Arial"/>
        </w:rPr>
        <w:t xml:space="preserve">decreased </w:t>
      </w:r>
      <w:r w:rsidRPr="00671789">
        <w:rPr>
          <w:rFonts w:ascii="Arial" w:hAnsi="Arial" w:cs="Arial"/>
        </w:rPr>
        <w:t>b</w:t>
      </w:r>
      <w:r w:rsidR="00671789">
        <w:rPr>
          <w:rFonts w:ascii="Arial" w:hAnsi="Arial" w:cs="Arial"/>
        </w:rPr>
        <w:t>y 11.</w:t>
      </w:r>
      <w:r w:rsidR="006713F6">
        <w:rPr>
          <w:rFonts w:ascii="Arial" w:hAnsi="Arial" w:cs="Arial"/>
        </w:rPr>
        <w:t>3</w:t>
      </w:r>
      <w:r w:rsidRPr="00671789">
        <w:rPr>
          <w:rFonts w:ascii="Arial" w:hAnsi="Arial" w:cs="Arial"/>
        </w:rPr>
        <w:t>%</w:t>
      </w:r>
      <w:r w:rsidRPr="005B2D1B">
        <w:rPr>
          <w:rFonts w:ascii="Arial" w:hAnsi="Arial" w:cs="Arial"/>
        </w:rPr>
        <w:t xml:space="preserve"> including £</w:t>
      </w:r>
      <w:r w:rsidR="000254CF" w:rsidRPr="0035009E">
        <w:rPr>
          <w:rFonts w:ascii="Arial" w:hAnsi="Arial" w:cs="Arial"/>
        </w:rPr>
        <w:t>1</w:t>
      </w:r>
      <w:r w:rsidR="0012677B" w:rsidRPr="005B2D1B">
        <w:rPr>
          <w:rFonts w:ascii="Arial" w:hAnsi="Arial" w:cs="Arial"/>
        </w:rPr>
        <w:t xml:space="preserve"> </w:t>
      </w:r>
      <w:r w:rsidRPr="005B2D1B">
        <w:rPr>
          <w:rFonts w:ascii="Arial" w:hAnsi="Arial" w:cs="Arial"/>
        </w:rPr>
        <w:t xml:space="preserve">million of favourable foreign exchange movement on translating foreign currency results into sterling. </w:t>
      </w:r>
      <w:r w:rsidRPr="00703F58">
        <w:rPr>
          <w:rFonts w:ascii="Arial" w:hAnsi="Arial" w:cs="Arial"/>
        </w:rPr>
        <w:t>In constant currencies retail profi</w:t>
      </w:r>
      <w:r w:rsidR="002D666E" w:rsidRPr="00703F58">
        <w:rPr>
          <w:rFonts w:ascii="Arial" w:hAnsi="Arial" w:cs="Arial"/>
        </w:rPr>
        <w:t xml:space="preserve">t </w:t>
      </w:r>
      <w:r w:rsidR="005B2D1B" w:rsidRPr="0018703F">
        <w:rPr>
          <w:rFonts w:ascii="Arial" w:hAnsi="Arial" w:cs="Arial"/>
        </w:rPr>
        <w:t>dec</w:t>
      </w:r>
      <w:r w:rsidR="00E04E74">
        <w:rPr>
          <w:rFonts w:ascii="Arial" w:hAnsi="Arial" w:cs="Arial"/>
        </w:rPr>
        <w:t>reased</w:t>
      </w:r>
      <w:r w:rsidR="005B2D1B" w:rsidRPr="00703F58">
        <w:rPr>
          <w:rFonts w:ascii="Arial" w:hAnsi="Arial" w:cs="Arial"/>
        </w:rPr>
        <w:t xml:space="preserve"> </w:t>
      </w:r>
      <w:r w:rsidR="002D666E" w:rsidRPr="00703F58">
        <w:rPr>
          <w:rFonts w:ascii="Arial" w:hAnsi="Arial" w:cs="Arial"/>
        </w:rPr>
        <w:t xml:space="preserve">by </w:t>
      </w:r>
      <w:r w:rsidR="007861AD">
        <w:rPr>
          <w:rFonts w:ascii="Arial" w:hAnsi="Arial" w:cs="Arial"/>
        </w:rPr>
        <w:t>11.</w:t>
      </w:r>
      <w:r w:rsidR="005C2F2F">
        <w:rPr>
          <w:rFonts w:ascii="Arial" w:hAnsi="Arial" w:cs="Arial"/>
        </w:rPr>
        <w:t>4</w:t>
      </w:r>
      <w:r w:rsidRPr="00703F58">
        <w:rPr>
          <w:rFonts w:ascii="Arial" w:hAnsi="Arial" w:cs="Arial"/>
        </w:rPr>
        <w:t xml:space="preserve">%, reflecting </w:t>
      </w:r>
      <w:r w:rsidR="00703F58">
        <w:rPr>
          <w:rFonts w:ascii="Arial" w:hAnsi="Arial" w:cs="Arial"/>
        </w:rPr>
        <w:t xml:space="preserve">a </w:t>
      </w:r>
      <w:r w:rsidR="00E04E74">
        <w:rPr>
          <w:rFonts w:ascii="Arial" w:hAnsi="Arial" w:cs="Arial"/>
        </w:rPr>
        <w:t xml:space="preserve">significant </w:t>
      </w:r>
      <w:r w:rsidR="00703F58" w:rsidRPr="0018703F">
        <w:rPr>
          <w:rFonts w:ascii="Arial" w:hAnsi="Arial" w:cs="Arial"/>
        </w:rPr>
        <w:t>decrease in profit in</w:t>
      </w:r>
      <w:r w:rsidR="00B019FB" w:rsidRPr="00703F58">
        <w:rPr>
          <w:rFonts w:ascii="Arial" w:hAnsi="Arial" w:cs="Arial"/>
        </w:rPr>
        <w:t xml:space="preserve"> France</w:t>
      </w:r>
      <w:r w:rsidR="00703F58">
        <w:rPr>
          <w:rFonts w:ascii="Arial" w:hAnsi="Arial" w:cs="Arial"/>
        </w:rPr>
        <w:t>,</w:t>
      </w:r>
      <w:r w:rsidR="00B019FB" w:rsidRPr="00703F58">
        <w:rPr>
          <w:rFonts w:ascii="Arial" w:hAnsi="Arial" w:cs="Arial"/>
        </w:rPr>
        <w:t xml:space="preserve"> </w:t>
      </w:r>
      <w:r w:rsidR="00703F58">
        <w:rPr>
          <w:rFonts w:ascii="Arial" w:hAnsi="Arial" w:cs="Arial"/>
        </w:rPr>
        <w:t xml:space="preserve">partly offset by an increase in profit in the UK and Poland </w:t>
      </w:r>
      <w:r w:rsidR="00B019FB" w:rsidRPr="00703F58">
        <w:rPr>
          <w:rFonts w:ascii="Arial" w:hAnsi="Arial" w:cs="Arial"/>
        </w:rPr>
        <w:t xml:space="preserve">and </w:t>
      </w:r>
      <w:r w:rsidR="00D01E60" w:rsidRPr="00703F58">
        <w:rPr>
          <w:rFonts w:ascii="Arial" w:hAnsi="Arial" w:cs="Arial"/>
        </w:rPr>
        <w:t xml:space="preserve">including </w:t>
      </w:r>
      <w:r w:rsidR="002D666E" w:rsidRPr="00671789">
        <w:rPr>
          <w:rFonts w:ascii="Arial" w:hAnsi="Arial" w:cs="Arial"/>
        </w:rPr>
        <w:t>£</w:t>
      </w:r>
      <w:r w:rsidR="006713F6" w:rsidRPr="005D6FAA">
        <w:rPr>
          <w:rFonts w:ascii="Arial" w:hAnsi="Arial" w:cs="Arial"/>
        </w:rPr>
        <w:t>4</w:t>
      </w:r>
      <w:r w:rsidR="006713F6">
        <w:rPr>
          <w:rFonts w:ascii="Arial" w:hAnsi="Arial" w:cs="Arial"/>
        </w:rPr>
        <w:t>3</w:t>
      </w:r>
      <w:r w:rsidR="006713F6" w:rsidRPr="00671789">
        <w:rPr>
          <w:rFonts w:ascii="Arial" w:hAnsi="Arial" w:cs="Arial"/>
        </w:rPr>
        <w:t xml:space="preserve"> </w:t>
      </w:r>
      <w:r w:rsidRPr="00671789">
        <w:rPr>
          <w:rFonts w:ascii="Arial" w:hAnsi="Arial" w:cs="Arial"/>
        </w:rPr>
        <w:t>million of losses</w:t>
      </w:r>
      <w:r w:rsidR="00300EB5">
        <w:rPr>
          <w:rFonts w:ascii="Arial" w:hAnsi="Arial" w:cs="Arial"/>
        </w:rPr>
        <w:t xml:space="preserve"> in Russia</w:t>
      </w:r>
      <w:r w:rsidR="007861AD">
        <w:rPr>
          <w:rFonts w:ascii="Arial" w:hAnsi="Arial" w:cs="Arial"/>
        </w:rPr>
        <w:t>, Romania</w:t>
      </w:r>
      <w:r w:rsidR="00300EB5">
        <w:rPr>
          <w:rFonts w:ascii="Arial" w:hAnsi="Arial" w:cs="Arial"/>
        </w:rPr>
        <w:t xml:space="preserve"> and Screwfix Germany</w:t>
      </w:r>
      <w:r w:rsidRPr="00C07FD9">
        <w:rPr>
          <w:rFonts w:ascii="Arial" w:hAnsi="Arial" w:cs="Arial"/>
        </w:rPr>
        <w:t>.</w:t>
      </w:r>
      <w:r w:rsidRPr="00342365">
        <w:rPr>
          <w:rFonts w:ascii="Arial" w:hAnsi="Arial" w:cs="Arial"/>
        </w:rPr>
        <w:t xml:space="preserve"> </w:t>
      </w:r>
    </w:p>
    <w:p w14:paraId="592C32DC" w14:textId="77777777" w:rsidR="00997637" w:rsidRPr="001C4A40" w:rsidRDefault="00997637" w:rsidP="0018703F">
      <w:pPr>
        <w:ind w:right="-368"/>
        <w:jc w:val="left"/>
        <w:rPr>
          <w:rFonts w:ascii="Arial" w:hAnsi="Arial" w:cs="Arial"/>
          <w:sz w:val="24"/>
          <w:szCs w:val="24"/>
          <w:highlight w:val="yellow"/>
        </w:rPr>
      </w:pPr>
    </w:p>
    <w:p w14:paraId="79F1B494" w14:textId="3DDD3841" w:rsidR="00997637" w:rsidRPr="00FC41B5" w:rsidRDefault="00997637" w:rsidP="00997637">
      <w:pPr>
        <w:ind w:right="-368"/>
        <w:jc w:val="left"/>
        <w:rPr>
          <w:rFonts w:ascii="Arial" w:hAnsi="Arial" w:cs="Arial"/>
        </w:rPr>
      </w:pPr>
      <w:r w:rsidRPr="00FC41B5">
        <w:rPr>
          <w:rFonts w:ascii="Arial" w:hAnsi="Arial" w:cs="Arial"/>
          <w:b/>
        </w:rPr>
        <w:t>Underlying pre-tax profit</w:t>
      </w:r>
      <w:r w:rsidRPr="00FC41B5">
        <w:rPr>
          <w:rFonts w:ascii="Arial" w:hAnsi="Arial" w:cs="Arial"/>
        </w:rPr>
        <w:t>, which excludes the impact of transformation P&amp;L costs</w:t>
      </w:r>
      <w:r w:rsidR="00082D54">
        <w:rPr>
          <w:rFonts w:ascii="Arial" w:hAnsi="Arial" w:cs="Arial"/>
        </w:rPr>
        <w:t xml:space="preserve"> and</w:t>
      </w:r>
      <w:r w:rsidR="00B019FB" w:rsidRPr="00FC41B5">
        <w:rPr>
          <w:rFonts w:ascii="Arial" w:hAnsi="Arial" w:cs="Arial"/>
        </w:rPr>
        <w:t xml:space="preserve"> </w:t>
      </w:r>
      <w:r w:rsidRPr="00FC41B5">
        <w:rPr>
          <w:rFonts w:ascii="Arial" w:hAnsi="Arial" w:cs="Arial"/>
        </w:rPr>
        <w:t xml:space="preserve">exceptional items, </w:t>
      </w:r>
      <w:r w:rsidR="00082D54">
        <w:rPr>
          <w:rFonts w:ascii="Arial" w:hAnsi="Arial" w:cs="Arial"/>
        </w:rPr>
        <w:t xml:space="preserve">decreased </w:t>
      </w:r>
      <w:r w:rsidRPr="00FC41B5">
        <w:rPr>
          <w:rFonts w:ascii="Arial" w:hAnsi="Arial" w:cs="Arial"/>
        </w:rPr>
        <w:t xml:space="preserve">by </w:t>
      </w:r>
      <w:r w:rsidR="008F7C96">
        <w:rPr>
          <w:rFonts w:ascii="Arial" w:hAnsi="Arial" w:cs="Arial"/>
        </w:rPr>
        <w:t>13.0</w:t>
      </w:r>
      <w:r w:rsidRPr="00FC41B5">
        <w:rPr>
          <w:rFonts w:ascii="Arial" w:hAnsi="Arial" w:cs="Arial"/>
        </w:rPr>
        <w:t>%, to £</w:t>
      </w:r>
      <w:r w:rsidR="008F7C96">
        <w:rPr>
          <w:rFonts w:ascii="Arial" w:hAnsi="Arial" w:cs="Arial"/>
        </w:rPr>
        <w:t>693</w:t>
      </w:r>
      <w:r w:rsidR="008F7C96" w:rsidRPr="00FC41B5">
        <w:rPr>
          <w:rFonts w:ascii="Arial" w:hAnsi="Arial" w:cs="Arial"/>
        </w:rPr>
        <w:t xml:space="preserve"> </w:t>
      </w:r>
      <w:r w:rsidRPr="00FC41B5">
        <w:rPr>
          <w:rFonts w:ascii="Arial" w:hAnsi="Arial" w:cs="Arial"/>
        </w:rPr>
        <w:t xml:space="preserve">million.  </w:t>
      </w:r>
    </w:p>
    <w:p w14:paraId="48A989CD" w14:textId="77777777" w:rsidR="00997637" w:rsidRPr="005C6733" w:rsidRDefault="00997637" w:rsidP="00997637">
      <w:pPr>
        <w:ind w:right="-368"/>
        <w:jc w:val="left"/>
        <w:rPr>
          <w:rFonts w:ascii="Arial" w:hAnsi="Arial" w:cs="Arial"/>
          <w:highlight w:val="yellow"/>
        </w:rPr>
      </w:pPr>
    </w:p>
    <w:p w14:paraId="2B185703" w14:textId="7A072471" w:rsidR="00997637" w:rsidRPr="00FC41B5" w:rsidRDefault="00997637" w:rsidP="00997637">
      <w:pPr>
        <w:ind w:right="-368"/>
        <w:jc w:val="left"/>
        <w:rPr>
          <w:rFonts w:ascii="Arial" w:hAnsi="Arial" w:cs="Arial"/>
        </w:rPr>
      </w:pPr>
      <w:r w:rsidRPr="00FC41B5">
        <w:rPr>
          <w:rFonts w:ascii="Arial" w:hAnsi="Arial" w:cs="Arial"/>
          <w:b/>
        </w:rPr>
        <w:t>Adjusted pre-tax profit</w:t>
      </w:r>
      <w:r w:rsidRPr="00FC41B5">
        <w:rPr>
          <w:rFonts w:ascii="Arial" w:hAnsi="Arial" w:cs="Arial"/>
        </w:rPr>
        <w:t>, which excludes the impact of exceptional items</w:t>
      </w:r>
      <w:r w:rsidR="002D666E" w:rsidRPr="00FC41B5">
        <w:rPr>
          <w:rFonts w:ascii="Arial" w:hAnsi="Arial" w:cs="Arial"/>
        </w:rPr>
        <w:t xml:space="preserve">, </w:t>
      </w:r>
      <w:r w:rsidR="00A670D8" w:rsidRPr="00FC41B5">
        <w:rPr>
          <w:rFonts w:ascii="Arial" w:hAnsi="Arial" w:cs="Arial"/>
        </w:rPr>
        <w:t xml:space="preserve">decreased </w:t>
      </w:r>
      <w:r w:rsidR="002D666E" w:rsidRPr="00FC41B5">
        <w:rPr>
          <w:rFonts w:ascii="Arial" w:hAnsi="Arial" w:cs="Arial"/>
        </w:rPr>
        <w:t xml:space="preserve">by </w:t>
      </w:r>
      <w:r w:rsidR="008F7C96">
        <w:rPr>
          <w:rFonts w:ascii="Arial" w:hAnsi="Arial" w:cs="Arial"/>
        </w:rPr>
        <w:t>16.1</w:t>
      </w:r>
      <w:r w:rsidR="002D666E" w:rsidRPr="00FC41B5">
        <w:rPr>
          <w:rFonts w:ascii="Arial" w:hAnsi="Arial" w:cs="Arial"/>
        </w:rPr>
        <w:t>% to £</w:t>
      </w:r>
      <w:r w:rsidR="008F7C96">
        <w:rPr>
          <w:rFonts w:ascii="Arial" w:hAnsi="Arial" w:cs="Arial"/>
        </w:rPr>
        <w:t>573</w:t>
      </w:r>
      <w:r w:rsidR="008F7C96" w:rsidRPr="00FC41B5">
        <w:rPr>
          <w:rFonts w:ascii="Arial" w:hAnsi="Arial" w:cs="Arial"/>
        </w:rPr>
        <w:t xml:space="preserve"> </w:t>
      </w:r>
      <w:r w:rsidRPr="00FC41B5">
        <w:rPr>
          <w:rFonts w:ascii="Arial" w:hAnsi="Arial" w:cs="Arial"/>
        </w:rPr>
        <w:t>million, reflecting £</w:t>
      </w:r>
      <w:r w:rsidR="008F7C96">
        <w:rPr>
          <w:rFonts w:ascii="Arial" w:hAnsi="Arial" w:cs="Arial"/>
        </w:rPr>
        <w:t>120</w:t>
      </w:r>
      <w:r w:rsidR="008F7C96" w:rsidRPr="00FC41B5">
        <w:rPr>
          <w:rFonts w:ascii="Arial" w:hAnsi="Arial" w:cs="Arial"/>
        </w:rPr>
        <w:t xml:space="preserve"> </w:t>
      </w:r>
      <w:r w:rsidRPr="00FC41B5">
        <w:rPr>
          <w:rFonts w:ascii="Arial" w:hAnsi="Arial" w:cs="Arial"/>
        </w:rPr>
        <w:t xml:space="preserve">million of transformation P&amp;L costs. </w:t>
      </w:r>
    </w:p>
    <w:p w14:paraId="5FCEEA40" w14:textId="77777777" w:rsidR="00997637" w:rsidRPr="005C6733" w:rsidRDefault="00997637" w:rsidP="00997637">
      <w:pPr>
        <w:ind w:right="-368"/>
        <w:jc w:val="left"/>
        <w:rPr>
          <w:rFonts w:ascii="Arial" w:hAnsi="Arial" w:cs="Arial"/>
          <w:highlight w:val="yellow"/>
        </w:rPr>
      </w:pPr>
      <w:r w:rsidRPr="005C6733">
        <w:rPr>
          <w:rFonts w:ascii="Arial" w:hAnsi="Arial" w:cs="Arial"/>
          <w:highlight w:val="yellow"/>
        </w:rPr>
        <w:t xml:space="preserve"> </w:t>
      </w:r>
    </w:p>
    <w:p w14:paraId="1FFD8320" w14:textId="7860023C" w:rsidR="00997637" w:rsidRDefault="00997637" w:rsidP="00997637">
      <w:pPr>
        <w:jc w:val="left"/>
        <w:rPr>
          <w:rFonts w:ascii="Arial" w:hAnsi="Arial" w:cs="Arial"/>
        </w:rPr>
      </w:pPr>
      <w:r w:rsidRPr="00FC41B5">
        <w:rPr>
          <w:rFonts w:ascii="Arial" w:hAnsi="Arial" w:cs="Arial"/>
          <w:b/>
        </w:rPr>
        <w:t>Statutory pre-tax profit</w:t>
      </w:r>
      <w:r w:rsidRPr="00FC41B5">
        <w:rPr>
          <w:rFonts w:ascii="Arial" w:hAnsi="Arial" w:cs="Arial"/>
        </w:rPr>
        <w:t>, which includes the impact of transformation costs</w:t>
      </w:r>
      <w:r w:rsidR="00082D54">
        <w:rPr>
          <w:rFonts w:ascii="Arial" w:hAnsi="Arial" w:cs="Arial"/>
        </w:rPr>
        <w:t xml:space="preserve"> and</w:t>
      </w:r>
      <w:r w:rsidRPr="00FC41B5">
        <w:rPr>
          <w:rFonts w:ascii="Arial" w:hAnsi="Arial" w:cs="Arial"/>
        </w:rPr>
        <w:t xml:space="preserve"> exceptional i</w:t>
      </w:r>
      <w:r w:rsidR="002D666E" w:rsidRPr="00FC41B5">
        <w:rPr>
          <w:rFonts w:ascii="Arial" w:hAnsi="Arial" w:cs="Arial"/>
        </w:rPr>
        <w:t>tems,</w:t>
      </w:r>
      <w:r w:rsidR="00B0776C">
        <w:rPr>
          <w:rFonts w:ascii="Arial" w:hAnsi="Arial" w:cs="Arial"/>
        </w:rPr>
        <w:t xml:space="preserve"> </w:t>
      </w:r>
      <w:r w:rsidR="00082D54">
        <w:rPr>
          <w:rFonts w:ascii="Arial" w:hAnsi="Arial" w:cs="Arial"/>
        </w:rPr>
        <w:t xml:space="preserve">decreased </w:t>
      </w:r>
      <w:r w:rsidR="00B0776C">
        <w:rPr>
          <w:rFonts w:ascii="Arial" w:hAnsi="Arial" w:cs="Arial"/>
        </w:rPr>
        <w:t xml:space="preserve">by </w:t>
      </w:r>
      <w:r w:rsidR="00E616F1">
        <w:rPr>
          <w:rFonts w:ascii="Arial" w:hAnsi="Arial" w:cs="Arial"/>
        </w:rPr>
        <w:t>52</w:t>
      </w:r>
      <w:r w:rsidR="006713F6">
        <w:rPr>
          <w:rFonts w:ascii="Arial" w:hAnsi="Arial" w:cs="Arial"/>
        </w:rPr>
        <w:t>.</w:t>
      </w:r>
      <w:r w:rsidR="00E616F1">
        <w:rPr>
          <w:rFonts w:ascii="Arial" w:hAnsi="Arial" w:cs="Arial"/>
        </w:rPr>
        <w:t>8</w:t>
      </w:r>
      <w:r w:rsidR="00B0776C">
        <w:rPr>
          <w:rFonts w:ascii="Arial" w:hAnsi="Arial" w:cs="Arial"/>
        </w:rPr>
        <w:t xml:space="preserve">% to </w:t>
      </w:r>
      <w:r w:rsidR="002D666E" w:rsidRPr="00FC41B5">
        <w:rPr>
          <w:rFonts w:ascii="Arial" w:hAnsi="Arial" w:cs="Arial"/>
        </w:rPr>
        <w:t>£</w:t>
      </w:r>
      <w:r w:rsidR="00013078">
        <w:rPr>
          <w:rFonts w:ascii="Arial" w:hAnsi="Arial" w:cs="Arial"/>
        </w:rPr>
        <w:t>3</w:t>
      </w:r>
      <w:r w:rsidR="00E616F1">
        <w:rPr>
          <w:rFonts w:ascii="Arial" w:hAnsi="Arial" w:cs="Arial"/>
        </w:rPr>
        <w:t>22</w:t>
      </w:r>
      <w:r w:rsidR="00013078" w:rsidRPr="00FC41B5">
        <w:rPr>
          <w:rFonts w:ascii="Arial" w:hAnsi="Arial" w:cs="Arial"/>
        </w:rPr>
        <w:t xml:space="preserve"> </w:t>
      </w:r>
      <w:r w:rsidRPr="00FC41B5">
        <w:rPr>
          <w:rFonts w:ascii="Arial" w:hAnsi="Arial" w:cs="Arial"/>
        </w:rPr>
        <w:t>million.</w:t>
      </w:r>
      <w:r w:rsidRPr="00A845B7">
        <w:rPr>
          <w:rFonts w:ascii="Arial" w:hAnsi="Arial" w:cs="Arial"/>
        </w:rPr>
        <w:t xml:space="preserve"> </w:t>
      </w:r>
    </w:p>
    <w:p w14:paraId="5B9C2F5A" w14:textId="2AEF557B" w:rsidR="00B019FB" w:rsidRDefault="00B019FB" w:rsidP="00997637">
      <w:pPr>
        <w:jc w:val="left"/>
        <w:rPr>
          <w:rFonts w:ascii="Arial" w:hAnsi="Arial" w:cs="Arial"/>
        </w:rPr>
      </w:pPr>
    </w:p>
    <w:p w14:paraId="3AAF0E19" w14:textId="17CAB310" w:rsidR="00E04E74" w:rsidRDefault="00E04E74" w:rsidP="00997637">
      <w:pPr>
        <w:jc w:val="left"/>
        <w:rPr>
          <w:rFonts w:ascii="Arial" w:hAnsi="Arial" w:cs="Arial"/>
        </w:rPr>
      </w:pPr>
      <w:r w:rsidRPr="00342365">
        <w:rPr>
          <w:rFonts w:ascii="Arial" w:hAnsi="Arial" w:cs="Arial"/>
        </w:rPr>
        <w:t>We continued to invest in the business and the transformation</w:t>
      </w:r>
      <w:r>
        <w:rPr>
          <w:rFonts w:ascii="Arial" w:hAnsi="Arial" w:cs="Arial"/>
        </w:rPr>
        <w:t xml:space="preserve">, </w:t>
      </w:r>
      <w:r w:rsidRPr="006713F6">
        <w:rPr>
          <w:rFonts w:ascii="Arial" w:hAnsi="Arial" w:cs="Arial"/>
        </w:rPr>
        <w:t xml:space="preserve">we </w:t>
      </w:r>
      <w:r w:rsidRPr="006713F6">
        <w:rPr>
          <w:rFonts w:ascii="ArialMT" w:hAnsi="ArialMT" w:cs="ArialMT"/>
        </w:rPr>
        <w:t>paid £</w:t>
      </w:r>
      <w:r w:rsidR="000254CF" w:rsidRPr="00C2187E">
        <w:rPr>
          <w:rFonts w:ascii="ArialMT" w:hAnsi="ArialMT" w:cs="ArialMT"/>
        </w:rPr>
        <w:t>2</w:t>
      </w:r>
      <w:r w:rsidR="000254CF">
        <w:rPr>
          <w:rFonts w:ascii="ArialMT" w:hAnsi="ArialMT" w:cs="ArialMT"/>
        </w:rPr>
        <w:t>31</w:t>
      </w:r>
      <w:r w:rsidR="000254CF" w:rsidRPr="006713F6">
        <w:rPr>
          <w:rFonts w:ascii="ArialMT" w:hAnsi="ArialMT" w:cs="ArialMT"/>
        </w:rPr>
        <w:t xml:space="preserve"> </w:t>
      </w:r>
      <w:r w:rsidRPr="006713F6">
        <w:rPr>
          <w:rFonts w:ascii="ArialMT" w:hAnsi="ArialMT" w:cs="ArialMT"/>
        </w:rPr>
        <w:t>million</w:t>
      </w:r>
      <w:r w:rsidRPr="00342365">
        <w:rPr>
          <w:rFonts w:ascii="ArialMT" w:hAnsi="ArialMT" w:cs="ArialMT"/>
        </w:rPr>
        <w:t xml:space="preserve"> in cash dividends</w:t>
      </w:r>
      <w:r>
        <w:rPr>
          <w:rFonts w:ascii="ArialMT" w:hAnsi="ArialMT" w:cs="ArialMT"/>
        </w:rPr>
        <w:t xml:space="preserve"> and</w:t>
      </w:r>
      <w:r w:rsidRPr="00342365">
        <w:rPr>
          <w:rFonts w:ascii="ArialMT" w:hAnsi="ArialMT" w:cs="ArialMT"/>
        </w:rPr>
        <w:t xml:space="preserve"> repurchased a </w:t>
      </w:r>
      <w:r w:rsidRPr="00AA7892">
        <w:rPr>
          <w:rFonts w:ascii="ArialMT" w:hAnsi="ArialMT" w:cs="ArialMT"/>
        </w:rPr>
        <w:t>further £</w:t>
      </w:r>
      <w:r>
        <w:rPr>
          <w:rFonts w:ascii="ArialMT" w:hAnsi="ArialMT" w:cs="ArialMT"/>
        </w:rPr>
        <w:t>14</w:t>
      </w:r>
      <w:r w:rsidRPr="002146A2">
        <w:rPr>
          <w:rFonts w:ascii="ArialMT" w:hAnsi="ArialMT" w:cs="ArialMT"/>
        </w:rPr>
        <w:t>0</w:t>
      </w:r>
      <w:r w:rsidRPr="00AA7892">
        <w:rPr>
          <w:rFonts w:ascii="ArialMT" w:hAnsi="ArialMT" w:cs="ArialMT"/>
        </w:rPr>
        <w:t xml:space="preserve"> million</w:t>
      </w:r>
      <w:r w:rsidRPr="00342365">
        <w:rPr>
          <w:rFonts w:ascii="ArialMT" w:hAnsi="ArialMT" w:cs="ArialMT"/>
        </w:rPr>
        <w:t xml:space="preserve"> of shares while maintaining a strong balance sheet.</w:t>
      </w:r>
    </w:p>
    <w:p w14:paraId="11D1698A" w14:textId="77777777" w:rsidR="00A93D96" w:rsidRDefault="00A93D96">
      <w:pPr>
        <w:jc w:val="left"/>
        <w:rPr>
          <w:rFonts w:ascii="Arial" w:hAnsi="Arial" w:cs="Arial"/>
        </w:rPr>
      </w:pPr>
      <w:r>
        <w:rPr>
          <w:rFonts w:ascii="Arial" w:hAnsi="Arial" w:cs="Arial"/>
        </w:rPr>
        <w:br w:type="page"/>
      </w:r>
    </w:p>
    <w:p w14:paraId="29CA7E71" w14:textId="77777777" w:rsidR="00997637" w:rsidRPr="00A845B7" w:rsidRDefault="00997637" w:rsidP="00997637">
      <w:pPr>
        <w:jc w:val="left"/>
        <w:rPr>
          <w:rFonts w:ascii="Arial" w:hAnsi="Arial" w:cs="Arial"/>
        </w:rPr>
      </w:pPr>
      <w:r w:rsidRPr="00A845B7">
        <w:rPr>
          <w:rFonts w:ascii="Arial" w:hAnsi="Arial" w:cs="Arial"/>
        </w:rPr>
        <w:lastRenderedPageBreak/>
        <w:t>A reconciliation from the underlying basis to the statutory basis for pre-tax profit is set out below:</w:t>
      </w:r>
    </w:p>
    <w:p w14:paraId="58618E70" w14:textId="77777777" w:rsidR="00997637" w:rsidRPr="00686C6E" w:rsidRDefault="00997637" w:rsidP="00997637">
      <w:pPr>
        <w:jc w:val="left"/>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54"/>
        <w:gridCol w:w="1253"/>
        <w:gridCol w:w="1235"/>
        <w:gridCol w:w="1525"/>
      </w:tblGrid>
      <w:tr w:rsidR="00997637" w:rsidRPr="00A845B7" w14:paraId="0B0C9F08" w14:textId="77777777" w:rsidTr="006F78D1">
        <w:tc>
          <w:tcPr>
            <w:tcW w:w="2966" w:type="pct"/>
            <w:tcBorders>
              <w:bottom w:val="single" w:sz="4" w:space="0" w:color="auto"/>
            </w:tcBorders>
          </w:tcPr>
          <w:p w14:paraId="31A25347" w14:textId="77777777" w:rsidR="00997637" w:rsidRPr="00A845B7" w:rsidRDefault="00997637" w:rsidP="00F24C8A">
            <w:pPr>
              <w:jc w:val="right"/>
              <w:rPr>
                <w:rFonts w:ascii="Arial" w:hAnsi="Arial" w:cs="Arial"/>
                <w:sz w:val="22"/>
                <w:szCs w:val="22"/>
              </w:rPr>
            </w:pPr>
          </w:p>
        </w:tc>
        <w:tc>
          <w:tcPr>
            <w:tcW w:w="635" w:type="pct"/>
            <w:tcBorders>
              <w:bottom w:val="single" w:sz="4" w:space="0" w:color="auto"/>
            </w:tcBorders>
          </w:tcPr>
          <w:p w14:paraId="3B61968C" w14:textId="0BC96A2C" w:rsidR="00997637" w:rsidRPr="00A845B7" w:rsidRDefault="00997637" w:rsidP="00F24C8A">
            <w:pPr>
              <w:jc w:val="right"/>
              <w:rPr>
                <w:rFonts w:ascii="Arial" w:hAnsi="Arial" w:cs="Arial"/>
                <w:b/>
                <w:sz w:val="22"/>
                <w:szCs w:val="22"/>
              </w:rPr>
            </w:pPr>
            <w:r w:rsidRPr="00A845B7">
              <w:rPr>
                <w:rFonts w:ascii="Arial" w:hAnsi="Arial" w:cs="Arial"/>
                <w:b/>
                <w:sz w:val="22"/>
                <w:szCs w:val="22"/>
              </w:rPr>
              <w:t>201</w:t>
            </w:r>
            <w:r w:rsidR="005A65ED">
              <w:rPr>
                <w:rFonts w:ascii="Arial" w:hAnsi="Arial" w:cs="Arial"/>
                <w:b/>
                <w:sz w:val="22"/>
                <w:szCs w:val="22"/>
              </w:rPr>
              <w:t>8</w:t>
            </w:r>
            <w:r w:rsidRPr="00A845B7">
              <w:rPr>
                <w:rFonts w:ascii="Arial" w:hAnsi="Arial" w:cs="Arial"/>
                <w:b/>
                <w:sz w:val="22"/>
                <w:szCs w:val="22"/>
              </w:rPr>
              <w:t>/1</w:t>
            </w:r>
            <w:r w:rsidR="005A65ED">
              <w:rPr>
                <w:rFonts w:ascii="Arial" w:hAnsi="Arial" w:cs="Arial"/>
                <w:b/>
                <w:sz w:val="22"/>
                <w:szCs w:val="22"/>
              </w:rPr>
              <w:t>9</w:t>
            </w:r>
          </w:p>
          <w:p w14:paraId="29D944D7" w14:textId="77777777" w:rsidR="00997637" w:rsidRPr="00A845B7" w:rsidRDefault="00997637" w:rsidP="00F24C8A">
            <w:pPr>
              <w:jc w:val="right"/>
              <w:rPr>
                <w:rFonts w:ascii="Arial" w:hAnsi="Arial" w:cs="Arial"/>
                <w:b/>
                <w:sz w:val="22"/>
                <w:szCs w:val="22"/>
              </w:rPr>
            </w:pPr>
            <w:r w:rsidRPr="00A845B7">
              <w:rPr>
                <w:rFonts w:ascii="Arial" w:hAnsi="Arial" w:cs="Arial"/>
                <w:b/>
                <w:sz w:val="22"/>
                <w:szCs w:val="22"/>
              </w:rPr>
              <w:t>£m</w:t>
            </w:r>
          </w:p>
        </w:tc>
        <w:tc>
          <w:tcPr>
            <w:tcW w:w="626" w:type="pct"/>
            <w:tcBorders>
              <w:bottom w:val="single" w:sz="4" w:space="0" w:color="auto"/>
            </w:tcBorders>
          </w:tcPr>
          <w:p w14:paraId="0F32A6A1" w14:textId="57614848" w:rsidR="00997637" w:rsidRPr="00A845B7" w:rsidRDefault="00997637" w:rsidP="00F24C8A">
            <w:pPr>
              <w:jc w:val="right"/>
              <w:rPr>
                <w:rFonts w:ascii="Arial" w:hAnsi="Arial" w:cs="Arial"/>
                <w:sz w:val="22"/>
                <w:szCs w:val="22"/>
              </w:rPr>
            </w:pPr>
            <w:r w:rsidRPr="00A845B7">
              <w:rPr>
                <w:rFonts w:ascii="Arial" w:hAnsi="Arial" w:cs="Arial"/>
                <w:sz w:val="22"/>
                <w:szCs w:val="22"/>
              </w:rPr>
              <w:t>201</w:t>
            </w:r>
            <w:r w:rsidR="005A65ED">
              <w:rPr>
                <w:rFonts w:ascii="Arial" w:hAnsi="Arial" w:cs="Arial"/>
                <w:sz w:val="22"/>
                <w:szCs w:val="22"/>
              </w:rPr>
              <w:t>7</w:t>
            </w:r>
            <w:r w:rsidRPr="00A845B7">
              <w:rPr>
                <w:rFonts w:ascii="Arial" w:hAnsi="Arial" w:cs="Arial"/>
                <w:sz w:val="22"/>
                <w:szCs w:val="22"/>
              </w:rPr>
              <w:t>/1</w:t>
            </w:r>
            <w:r w:rsidR="005A65ED">
              <w:rPr>
                <w:rFonts w:ascii="Arial" w:hAnsi="Arial" w:cs="Arial"/>
                <w:sz w:val="22"/>
                <w:szCs w:val="22"/>
              </w:rPr>
              <w:t>8</w:t>
            </w:r>
          </w:p>
          <w:p w14:paraId="252F1CA5" w14:textId="77777777" w:rsidR="00997637" w:rsidRPr="00A845B7" w:rsidRDefault="00997637" w:rsidP="00F24C8A">
            <w:pPr>
              <w:jc w:val="right"/>
              <w:rPr>
                <w:rFonts w:ascii="Arial" w:hAnsi="Arial" w:cs="Arial"/>
                <w:sz w:val="22"/>
                <w:szCs w:val="22"/>
              </w:rPr>
            </w:pPr>
            <w:r w:rsidRPr="00A845B7">
              <w:rPr>
                <w:rFonts w:ascii="Arial" w:hAnsi="Arial" w:cs="Arial"/>
                <w:sz w:val="22"/>
                <w:szCs w:val="22"/>
              </w:rPr>
              <w:t>£m</w:t>
            </w:r>
          </w:p>
        </w:tc>
        <w:tc>
          <w:tcPr>
            <w:tcW w:w="773" w:type="pct"/>
            <w:tcBorders>
              <w:bottom w:val="single" w:sz="4" w:space="0" w:color="auto"/>
            </w:tcBorders>
          </w:tcPr>
          <w:p w14:paraId="1B6ABB96" w14:textId="77777777" w:rsidR="00997637" w:rsidRPr="00A845B7" w:rsidRDefault="00997637" w:rsidP="00F24C8A">
            <w:pPr>
              <w:jc w:val="right"/>
              <w:rPr>
                <w:rFonts w:ascii="Arial" w:hAnsi="Arial" w:cs="Arial"/>
                <w:sz w:val="22"/>
                <w:szCs w:val="22"/>
              </w:rPr>
            </w:pPr>
          </w:p>
          <w:p w14:paraId="68AB3491" w14:textId="6E5F44B1" w:rsidR="00997637" w:rsidRPr="00A845B7" w:rsidRDefault="00997637" w:rsidP="00F24C8A">
            <w:pPr>
              <w:jc w:val="right"/>
              <w:rPr>
                <w:rFonts w:ascii="Arial" w:hAnsi="Arial" w:cs="Arial"/>
                <w:sz w:val="22"/>
                <w:szCs w:val="22"/>
              </w:rPr>
            </w:pPr>
            <w:r w:rsidRPr="00A845B7">
              <w:rPr>
                <w:rFonts w:ascii="Arial" w:hAnsi="Arial" w:cs="Arial"/>
                <w:sz w:val="22"/>
                <w:szCs w:val="22"/>
              </w:rPr>
              <w:t>Increase</w:t>
            </w:r>
            <w:r w:rsidR="00671789">
              <w:rPr>
                <w:rFonts w:ascii="Arial" w:hAnsi="Arial" w:cs="Arial"/>
                <w:sz w:val="22"/>
                <w:szCs w:val="22"/>
              </w:rPr>
              <w:t>/ (decrease)</w:t>
            </w:r>
            <w:r w:rsidRPr="00A845B7">
              <w:rPr>
                <w:rFonts w:ascii="Arial" w:hAnsi="Arial" w:cs="Arial"/>
                <w:sz w:val="22"/>
                <w:szCs w:val="22"/>
              </w:rPr>
              <w:t xml:space="preserve"> </w:t>
            </w:r>
          </w:p>
        </w:tc>
      </w:tr>
      <w:tr w:rsidR="005A65ED" w:rsidRPr="00A845B7" w14:paraId="79B93728" w14:textId="77777777" w:rsidTr="006F78D1">
        <w:tc>
          <w:tcPr>
            <w:tcW w:w="2966" w:type="pct"/>
            <w:tcBorders>
              <w:top w:val="single" w:sz="4" w:space="0" w:color="auto"/>
            </w:tcBorders>
          </w:tcPr>
          <w:p w14:paraId="7E3DAF26" w14:textId="77777777" w:rsidR="005A65ED" w:rsidRPr="00A845B7" w:rsidRDefault="005A65ED" w:rsidP="005A65ED">
            <w:pPr>
              <w:jc w:val="left"/>
              <w:rPr>
                <w:rFonts w:ascii="Arial" w:hAnsi="Arial" w:cs="Arial"/>
                <w:b/>
                <w:sz w:val="22"/>
                <w:szCs w:val="22"/>
              </w:rPr>
            </w:pPr>
            <w:r w:rsidRPr="00A845B7">
              <w:rPr>
                <w:rFonts w:ascii="Arial" w:hAnsi="Arial" w:cs="Arial"/>
                <w:b/>
                <w:sz w:val="22"/>
                <w:szCs w:val="22"/>
              </w:rPr>
              <w:t>Retail profit</w:t>
            </w:r>
          </w:p>
        </w:tc>
        <w:tc>
          <w:tcPr>
            <w:tcW w:w="635" w:type="pct"/>
            <w:tcBorders>
              <w:top w:val="single" w:sz="4" w:space="0" w:color="auto"/>
            </w:tcBorders>
          </w:tcPr>
          <w:p w14:paraId="1F753C51" w14:textId="410CBE6A" w:rsidR="005A65ED" w:rsidRPr="00E26D63" w:rsidRDefault="00671789" w:rsidP="005A65ED">
            <w:pPr>
              <w:jc w:val="right"/>
              <w:rPr>
                <w:rFonts w:ascii="Arial" w:hAnsi="Arial" w:cs="Arial"/>
                <w:b/>
                <w:sz w:val="22"/>
                <w:szCs w:val="22"/>
              </w:rPr>
            </w:pPr>
            <w:r w:rsidRPr="00E26D63">
              <w:rPr>
                <w:rFonts w:ascii="Arial" w:hAnsi="Arial" w:cs="Arial"/>
                <w:b/>
              </w:rPr>
              <w:t>75</w:t>
            </w:r>
            <w:r w:rsidR="009D1FDD" w:rsidRPr="00E26D63">
              <w:rPr>
                <w:rFonts w:ascii="Arial" w:hAnsi="Arial" w:cs="Arial"/>
                <w:b/>
              </w:rPr>
              <w:t>3</w:t>
            </w:r>
          </w:p>
        </w:tc>
        <w:tc>
          <w:tcPr>
            <w:tcW w:w="626" w:type="pct"/>
            <w:tcBorders>
              <w:top w:val="single" w:sz="4" w:space="0" w:color="auto"/>
            </w:tcBorders>
          </w:tcPr>
          <w:p w14:paraId="6F97BE79" w14:textId="1BDDB7CB" w:rsidR="005A65ED" w:rsidRPr="00E26D63" w:rsidRDefault="005A65ED" w:rsidP="005A65ED">
            <w:pPr>
              <w:jc w:val="right"/>
              <w:rPr>
                <w:rFonts w:ascii="Arial" w:hAnsi="Arial" w:cs="Arial"/>
                <w:sz w:val="22"/>
                <w:szCs w:val="22"/>
              </w:rPr>
            </w:pPr>
            <w:r w:rsidRPr="00E26D63">
              <w:rPr>
                <w:rFonts w:ascii="Arial" w:hAnsi="Arial" w:cs="Arial"/>
              </w:rPr>
              <w:t>849</w:t>
            </w:r>
          </w:p>
        </w:tc>
        <w:tc>
          <w:tcPr>
            <w:tcW w:w="773" w:type="pct"/>
            <w:tcBorders>
              <w:top w:val="single" w:sz="4" w:space="0" w:color="auto"/>
            </w:tcBorders>
            <w:vAlign w:val="bottom"/>
          </w:tcPr>
          <w:p w14:paraId="2B731A00" w14:textId="56441C9E" w:rsidR="005A65ED" w:rsidRPr="00E26D63" w:rsidRDefault="00671789" w:rsidP="005A65ED">
            <w:pPr>
              <w:jc w:val="right"/>
              <w:rPr>
                <w:rFonts w:ascii="Arial" w:hAnsi="Arial" w:cs="Arial"/>
                <w:sz w:val="22"/>
                <w:szCs w:val="22"/>
              </w:rPr>
            </w:pPr>
            <w:r w:rsidRPr="00E26D63">
              <w:rPr>
                <w:rFonts w:ascii="Arial" w:hAnsi="Arial" w:cs="Arial"/>
              </w:rPr>
              <w:t>(</w:t>
            </w:r>
            <w:proofErr w:type="gramStart"/>
            <w:r w:rsidRPr="00E26D63">
              <w:rPr>
                <w:rFonts w:ascii="Arial" w:hAnsi="Arial" w:cs="Arial"/>
              </w:rPr>
              <w:t>11.</w:t>
            </w:r>
            <w:r w:rsidR="00E616F1">
              <w:rPr>
                <w:rFonts w:ascii="Arial" w:hAnsi="Arial" w:cs="Arial"/>
              </w:rPr>
              <w:t>3</w:t>
            </w:r>
            <w:r w:rsidRPr="00E26D63">
              <w:rPr>
                <w:rFonts w:ascii="Arial" w:hAnsi="Arial" w:cs="Arial"/>
              </w:rPr>
              <w:t>)</w:t>
            </w:r>
            <w:r w:rsidR="005A65ED" w:rsidRPr="00E26D63">
              <w:rPr>
                <w:rFonts w:ascii="Arial" w:hAnsi="Arial" w:cs="Arial"/>
              </w:rPr>
              <w:t>%</w:t>
            </w:r>
            <w:proofErr w:type="gramEnd"/>
          </w:p>
        </w:tc>
      </w:tr>
      <w:tr w:rsidR="005A65ED" w:rsidRPr="00A845B7" w14:paraId="3D138D47" w14:textId="77777777" w:rsidTr="006F78D1">
        <w:tc>
          <w:tcPr>
            <w:tcW w:w="2966" w:type="pct"/>
          </w:tcPr>
          <w:p w14:paraId="5185EC78" w14:textId="77777777" w:rsidR="005A65ED" w:rsidRPr="00A845B7" w:rsidRDefault="005A65ED" w:rsidP="005A65ED">
            <w:pPr>
              <w:jc w:val="left"/>
              <w:rPr>
                <w:rFonts w:ascii="Arial" w:hAnsi="Arial" w:cs="Arial"/>
                <w:sz w:val="22"/>
                <w:szCs w:val="22"/>
              </w:rPr>
            </w:pPr>
            <w:r w:rsidRPr="00A845B7">
              <w:rPr>
                <w:rFonts w:ascii="Arial" w:hAnsi="Arial" w:cs="Arial"/>
                <w:sz w:val="22"/>
                <w:szCs w:val="22"/>
              </w:rPr>
              <w:t>Central costs</w:t>
            </w:r>
          </w:p>
        </w:tc>
        <w:tc>
          <w:tcPr>
            <w:tcW w:w="635" w:type="pct"/>
          </w:tcPr>
          <w:p w14:paraId="19CDAA03" w14:textId="20F1B0BE" w:rsidR="005A65ED" w:rsidRPr="00C2187E" w:rsidRDefault="005A65ED" w:rsidP="005A65ED">
            <w:pPr>
              <w:jc w:val="right"/>
              <w:rPr>
                <w:rFonts w:ascii="Arial" w:hAnsi="Arial" w:cs="Arial"/>
                <w:b/>
                <w:sz w:val="22"/>
                <w:szCs w:val="22"/>
              </w:rPr>
            </w:pPr>
            <w:r w:rsidRPr="00C2187E">
              <w:rPr>
                <w:rFonts w:ascii="Arial" w:hAnsi="Arial" w:cs="Arial"/>
                <w:b/>
              </w:rPr>
              <w:t>(</w:t>
            </w:r>
            <w:r w:rsidR="0014186D" w:rsidRPr="00C2187E">
              <w:rPr>
                <w:rFonts w:ascii="Arial" w:hAnsi="Arial" w:cs="Arial"/>
                <w:b/>
              </w:rPr>
              <w:t>49</w:t>
            </w:r>
            <w:r w:rsidRPr="00C2187E">
              <w:rPr>
                <w:rFonts w:ascii="Arial" w:hAnsi="Arial" w:cs="Arial"/>
                <w:b/>
              </w:rPr>
              <w:t>)</w:t>
            </w:r>
          </w:p>
        </w:tc>
        <w:tc>
          <w:tcPr>
            <w:tcW w:w="626" w:type="pct"/>
          </w:tcPr>
          <w:p w14:paraId="01FFF695" w14:textId="7B1907E9" w:rsidR="005A65ED" w:rsidRPr="00E26D63" w:rsidRDefault="005A65ED" w:rsidP="005A65ED">
            <w:pPr>
              <w:jc w:val="right"/>
              <w:rPr>
                <w:rFonts w:ascii="Arial" w:hAnsi="Arial" w:cs="Arial"/>
                <w:sz w:val="22"/>
                <w:szCs w:val="22"/>
              </w:rPr>
            </w:pPr>
            <w:r w:rsidRPr="00E26D63">
              <w:rPr>
                <w:rFonts w:ascii="Arial" w:hAnsi="Arial" w:cs="Arial"/>
              </w:rPr>
              <w:t>(46)</w:t>
            </w:r>
          </w:p>
        </w:tc>
        <w:tc>
          <w:tcPr>
            <w:tcW w:w="773" w:type="pct"/>
            <w:vAlign w:val="bottom"/>
          </w:tcPr>
          <w:p w14:paraId="53A35C2A" w14:textId="77777777" w:rsidR="005A65ED" w:rsidRPr="00E26D63" w:rsidRDefault="005A65ED" w:rsidP="005A65ED">
            <w:pPr>
              <w:jc w:val="right"/>
              <w:rPr>
                <w:rFonts w:ascii="Arial" w:hAnsi="Arial" w:cs="Arial"/>
                <w:sz w:val="22"/>
                <w:szCs w:val="22"/>
                <w:highlight w:val="yellow"/>
              </w:rPr>
            </w:pPr>
          </w:p>
        </w:tc>
      </w:tr>
      <w:tr w:rsidR="005A65ED" w:rsidRPr="00A845B7" w14:paraId="45889734" w14:textId="77777777" w:rsidTr="006F78D1">
        <w:tc>
          <w:tcPr>
            <w:tcW w:w="2966" w:type="pct"/>
          </w:tcPr>
          <w:p w14:paraId="321FBB5B" w14:textId="77777777" w:rsidR="005A65ED" w:rsidRPr="00A845B7" w:rsidRDefault="005A65ED" w:rsidP="005A65ED">
            <w:pPr>
              <w:jc w:val="left"/>
              <w:rPr>
                <w:rFonts w:ascii="Arial" w:hAnsi="Arial" w:cs="Arial"/>
                <w:sz w:val="22"/>
                <w:szCs w:val="22"/>
              </w:rPr>
            </w:pPr>
            <w:r w:rsidRPr="00A845B7">
              <w:rPr>
                <w:rFonts w:ascii="Arial" w:hAnsi="Arial" w:cs="Arial"/>
                <w:sz w:val="22"/>
                <w:szCs w:val="22"/>
              </w:rPr>
              <w:t>Share of interest and tax of joint ventures &amp; associates</w:t>
            </w:r>
          </w:p>
        </w:tc>
        <w:tc>
          <w:tcPr>
            <w:tcW w:w="635" w:type="pct"/>
          </w:tcPr>
          <w:p w14:paraId="06634E61" w14:textId="73162065" w:rsidR="005A65ED" w:rsidRPr="00C2187E" w:rsidRDefault="005A65ED" w:rsidP="005A65ED">
            <w:pPr>
              <w:jc w:val="right"/>
              <w:rPr>
                <w:rFonts w:ascii="Arial" w:hAnsi="Arial" w:cs="Arial"/>
                <w:b/>
                <w:sz w:val="22"/>
                <w:szCs w:val="22"/>
              </w:rPr>
            </w:pPr>
            <w:r w:rsidRPr="00C2187E">
              <w:rPr>
                <w:rFonts w:ascii="Arial" w:hAnsi="Arial" w:cs="Arial"/>
                <w:b/>
              </w:rPr>
              <w:t>(</w:t>
            </w:r>
            <w:r w:rsidR="0014186D" w:rsidRPr="00C2187E">
              <w:rPr>
                <w:rFonts w:ascii="Arial" w:hAnsi="Arial" w:cs="Arial"/>
                <w:b/>
              </w:rPr>
              <w:t>4</w:t>
            </w:r>
            <w:r w:rsidRPr="00C2187E">
              <w:rPr>
                <w:rFonts w:ascii="Arial" w:hAnsi="Arial" w:cs="Arial"/>
                <w:b/>
              </w:rPr>
              <w:t>)</w:t>
            </w:r>
          </w:p>
        </w:tc>
        <w:tc>
          <w:tcPr>
            <w:tcW w:w="626" w:type="pct"/>
          </w:tcPr>
          <w:p w14:paraId="2AC29B2F" w14:textId="0A51672A" w:rsidR="005A65ED" w:rsidRPr="00E26D63" w:rsidRDefault="005A65ED" w:rsidP="005A65ED">
            <w:pPr>
              <w:jc w:val="right"/>
              <w:rPr>
                <w:rFonts w:ascii="Arial" w:hAnsi="Arial" w:cs="Arial"/>
                <w:sz w:val="22"/>
                <w:szCs w:val="22"/>
              </w:rPr>
            </w:pPr>
            <w:r w:rsidRPr="00E26D63">
              <w:rPr>
                <w:rFonts w:ascii="Arial" w:hAnsi="Arial" w:cs="Arial"/>
              </w:rPr>
              <w:t>(4)</w:t>
            </w:r>
          </w:p>
        </w:tc>
        <w:tc>
          <w:tcPr>
            <w:tcW w:w="773" w:type="pct"/>
            <w:vAlign w:val="bottom"/>
          </w:tcPr>
          <w:p w14:paraId="06C8198B" w14:textId="77777777" w:rsidR="005A65ED" w:rsidRPr="00E26D63" w:rsidRDefault="005A65ED" w:rsidP="005A65ED">
            <w:pPr>
              <w:jc w:val="right"/>
              <w:rPr>
                <w:rFonts w:ascii="Arial" w:hAnsi="Arial" w:cs="Arial"/>
                <w:sz w:val="22"/>
                <w:szCs w:val="22"/>
                <w:highlight w:val="yellow"/>
              </w:rPr>
            </w:pPr>
          </w:p>
        </w:tc>
      </w:tr>
      <w:tr w:rsidR="005A65ED" w:rsidRPr="00A845B7" w14:paraId="59A016FE" w14:textId="77777777" w:rsidTr="006F78D1">
        <w:tc>
          <w:tcPr>
            <w:tcW w:w="2966" w:type="pct"/>
            <w:tcBorders>
              <w:bottom w:val="single" w:sz="4" w:space="0" w:color="auto"/>
            </w:tcBorders>
          </w:tcPr>
          <w:p w14:paraId="241D7817" w14:textId="19F32D9E" w:rsidR="005A65ED" w:rsidRPr="00A845B7" w:rsidRDefault="005A65ED" w:rsidP="005A65ED">
            <w:pPr>
              <w:jc w:val="left"/>
              <w:rPr>
                <w:rFonts w:ascii="Arial" w:hAnsi="Arial" w:cs="Arial"/>
                <w:sz w:val="22"/>
                <w:szCs w:val="22"/>
              </w:rPr>
            </w:pPr>
            <w:r w:rsidRPr="00A845B7">
              <w:rPr>
                <w:rFonts w:ascii="Arial" w:hAnsi="Arial" w:cs="Arial"/>
                <w:sz w:val="22"/>
                <w:szCs w:val="22"/>
              </w:rPr>
              <w:t>Finance costs before financing fair value remeasurements (FFVR)</w:t>
            </w:r>
          </w:p>
        </w:tc>
        <w:tc>
          <w:tcPr>
            <w:tcW w:w="635" w:type="pct"/>
            <w:tcBorders>
              <w:bottom w:val="single" w:sz="4" w:space="0" w:color="auto"/>
            </w:tcBorders>
          </w:tcPr>
          <w:p w14:paraId="1994C7CD" w14:textId="77777777" w:rsidR="005A65ED" w:rsidRPr="00C2187E" w:rsidRDefault="005A65ED" w:rsidP="005A65ED">
            <w:pPr>
              <w:jc w:val="right"/>
              <w:rPr>
                <w:rFonts w:ascii="Arial" w:hAnsi="Arial" w:cs="Arial"/>
                <w:b/>
                <w:sz w:val="22"/>
                <w:szCs w:val="22"/>
              </w:rPr>
            </w:pPr>
          </w:p>
          <w:p w14:paraId="7BC1B4D9" w14:textId="04E5D464" w:rsidR="005A65ED" w:rsidRPr="00C2187E" w:rsidRDefault="003C54DC" w:rsidP="005A65ED">
            <w:pPr>
              <w:jc w:val="right"/>
              <w:rPr>
                <w:rFonts w:ascii="Arial" w:hAnsi="Arial" w:cs="Arial"/>
                <w:b/>
                <w:sz w:val="22"/>
                <w:szCs w:val="22"/>
              </w:rPr>
            </w:pPr>
            <w:r w:rsidRPr="00C2187E">
              <w:rPr>
                <w:rFonts w:ascii="Arial" w:hAnsi="Arial" w:cs="Arial"/>
                <w:b/>
              </w:rPr>
              <w:t>(7)</w:t>
            </w:r>
          </w:p>
        </w:tc>
        <w:tc>
          <w:tcPr>
            <w:tcW w:w="626" w:type="pct"/>
            <w:tcBorders>
              <w:bottom w:val="single" w:sz="4" w:space="0" w:color="auto"/>
            </w:tcBorders>
          </w:tcPr>
          <w:p w14:paraId="163C98E1" w14:textId="77777777" w:rsidR="005A65ED" w:rsidRPr="00E26D63" w:rsidRDefault="005A65ED" w:rsidP="005A65ED">
            <w:pPr>
              <w:jc w:val="right"/>
              <w:rPr>
                <w:rFonts w:ascii="Arial" w:hAnsi="Arial" w:cs="Arial"/>
                <w:sz w:val="22"/>
                <w:szCs w:val="22"/>
              </w:rPr>
            </w:pPr>
          </w:p>
          <w:p w14:paraId="69D9A068" w14:textId="4FCC168E" w:rsidR="005A65ED" w:rsidRPr="00E26D63" w:rsidRDefault="005A65ED" w:rsidP="005A65ED">
            <w:pPr>
              <w:jc w:val="right"/>
              <w:rPr>
                <w:rFonts w:ascii="Arial" w:hAnsi="Arial" w:cs="Arial"/>
                <w:sz w:val="22"/>
                <w:szCs w:val="22"/>
              </w:rPr>
            </w:pPr>
            <w:r w:rsidRPr="00E26D63">
              <w:rPr>
                <w:rFonts w:ascii="Arial" w:hAnsi="Arial" w:cs="Arial"/>
              </w:rPr>
              <w:t>(2)</w:t>
            </w:r>
          </w:p>
        </w:tc>
        <w:tc>
          <w:tcPr>
            <w:tcW w:w="773" w:type="pct"/>
            <w:tcBorders>
              <w:bottom w:val="single" w:sz="4" w:space="0" w:color="auto"/>
            </w:tcBorders>
            <w:vAlign w:val="bottom"/>
          </w:tcPr>
          <w:p w14:paraId="5CEBB588" w14:textId="77777777" w:rsidR="005A65ED" w:rsidRPr="00E26D63" w:rsidRDefault="005A65ED" w:rsidP="005A65ED">
            <w:pPr>
              <w:jc w:val="right"/>
              <w:rPr>
                <w:rFonts w:ascii="Arial" w:hAnsi="Arial" w:cs="Arial"/>
                <w:sz w:val="22"/>
                <w:szCs w:val="22"/>
                <w:highlight w:val="yellow"/>
              </w:rPr>
            </w:pPr>
          </w:p>
        </w:tc>
      </w:tr>
      <w:tr w:rsidR="005A65ED" w:rsidRPr="00A845B7" w14:paraId="18B0E0B6" w14:textId="77777777" w:rsidTr="006F78D1">
        <w:tc>
          <w:tcPr>
            <w:tcW w:w="2966" w:type="pct"/>
            <w:tcBorders>
              <w:top w:val="single" w:sz="4" w:space="0" w:color="auto"/>
            </w:tcBorders>
          </w:tcPr>
          <w:p w14:paraId="6D9F0063" w14:textId="77777777" w:rsidR="005A65ED" w:rsidRPr="00A845B7" w:rsidRDefault="005A65ED" w:rsidP="005A65ED">
            <w:pPr>
              <w:jc w:val="left"/>
              <w:rPr>
                <w:rFonts w:ascii="Arial" w:hAnsi="Arial" w:cs="Arial"/>
                <w:b/>
                <w:sz w:val="22"/>
                <w:szCs w:val="22"/>
              </w:rPr>
            </w:pPr>
            <w:r w:rsidRPr="00A845B7">
              <w:rPr>
                <w:rFonts w:ascii="Arial" w:hAnsi="Arial" w:cs="Arial"/>
                <w:b/>
                <w:sz w:val="22"/>
                <w:szCs w:val="22"/>
              </w:rPr>
              <w:t>Underlying pre-tax profit</w:t>
            </w:r>
          </w:p>
        </w:tc>
        <w:tc>
          <w:tcPr>
            <w:tcW w:w="635" w:type="pct"/>
            <w:tcBorders>
              <w:top w:val="single" w:sz="4" w:space="0" w:color="auto"/>
            </w:tcBorders>
          </w:tcPr>
          <w:p w14:paraId="07DEC84F" w14:textId="0011A62C" w:rsidR="005A65ED" w:rsidRPr="00C2187E" w:rsidRDefault="00F31DFE" w:rsidP="005A65ED">
            <w:pPr>
              <w:jc w:val="right"/>
              <w:rPr>
                <w:rFonts w:ascii="Arial" w:hAnsi="Arial" w:cs="Arial"/>
                <w:b/>
                <w:sz w:val="22"/>
                <w:szCs w:val="22"/>
              </w:rPr>
            </w:pPr>
            <w:r w:rsidRPr="00C2187E">
              <w:rPr>
                <w:rFonts w:ascii="Arial" w:hAnsi="Arial" w:cs="Arial"/>
                <w:b/>
              </w:rPr>
              <w:t>693</w:t>
            </w:r>
          </w:p>
        </w:tc>
        <w:tc>
          <w:tcPr>
            <w:tcW w:w="626" w:type="pct"/>
            <w:tcBorders>
              <w:top w:val="single" w:sz="4" w:space="0" w:color="auto"/>
            </w:tcBorders>
          </w:tcPr>
          <w:p w14:paraId="08B7395F" w14:textId="638A1323" w:rsidR="005A65ED" w:rsidRPr="00E26D63" w:rsidRDefault="005A65ED" w:rsidP="005A65ED">
            <w:pPr>
              <w:jc w:val="right"/>
              <w:rPr>
                <w:rFonts w:ascii="Arial" w:hAnsi="Arial" w:cs="Arial"/>
                <w:sz w:val="22"/>
                <w:szCs w:val="22"/>
              </w:rPr>
            </w:pPr>
            <w:r w:rsidRPr="00E26D63">
              <w:rPr>
                <w:rFonts w:ascii="Arial" w:hAnsi="Arial" w:cs="Arial"/>
              </w:rPr>
              <w:t>797</w:t>
            </w:r>
          </w:p>
        </w:tc>
        <w:tc>
          <w:tcPr>
            <w:tcW w:w="773" w:type="pct"/>
            <w:tcBorders>
              <w:top w:val="single" w:sz="4" w:space="0" w:color="auto"/>
            </w:tcBorders>
            <w:vAlign w:val="bottom"/>
          </w:tcPr>
          <w:p w14:paraId="7820AD9A" w14:textId="4A92072F" w:rsidR="005A65ED" w:rsidRPr="00C2187E" w:rsidRDefault="00F31DFE" w:rsidP="005A65ED">
            <w:pPr>
              <w:jc w:val="right"/>
              <w:rPr>
                <w:rFonts w:ascii="Arial" w:hAnsi="Arial" w:cs="Arial"/>
                <w:sz w:val="22"/>
                <w:szCs w:val="22"/>
              </w:rPr>
            </w:pPr>
            <w:r w:rsidRPr="00C2187E">
              <w:rPr>
                <w:rFonts w:ascii="Arial" w:hAnsi="Arial" w:cs="Arial"/>
              </w:rPr>
              <w:t>(13.0)</w:t>
            </w:r>
            <w:r w:rsidRPr="00C2187E" w:rsidDel="00F31DFE">
              <w:rPr>
                <w:rFonts w:ascii="Arial" w:hAnsi="Arial" w:cs="Arial"/>
              </w:rPr>
              <w:t xml:space="preserve"> </w:t>
            </w:r>
            <w:r w:rsidR="005A65ED" w:rsidRPr="00C2187E">
              <w:rPr>
                <w:rFonts w:ascii="Arial" w:hAnsi="Arial" w:cs="Arial"/>
              </w:rPr>
              <w:t>%</w:t>
            </w:r>
          </w:p>
        </w:tc>
      </w:tr>
      <w:tr w:rsidR="005A65ED" w:rsidRPr="00A845B7" w14:paraId="1174DE16" w14:textId="77777777" w:rsidTr="006F78D1">
        <w:tc>
          <w:tcPr>
            <w:tcW w:w="2966" w:type="pct"/>
          </w:tcPr>
          <w:p w14:paraId="54A97205" w14:textId="77777777" w:rsidR="005A65ED" w:rsidRPr="00A845B7" w:rsidRDefault="005A65ED" w:rsidP="005A65ED">
            <w:pPr>
              <w:jc w:val="left"/>
              <w:rPr>
                <w:rFonts w:ascii="Arial" w:hAnsi="Arial" w:cs="Arial"/>
                <w:sz w:val="22"/>
                <w:szCs w:val="22"/>
              </w:rPr>
            </w:pPr>
            <w:r w:rsidRPr="00A845B7">
              <w:rPr>
                <w:rFonts w:ascii="Arial" w:hAnsi="Arial" w:cs="Arial"/>
                <w:sz w:val="22"/>
                <w:szCs w:val="22"/>
              </w:rPr>
              <w:t>Transformation P&amp;L costs</w:t>
            </w:r>
          </w:p>
        </w:tc>
        <w:tc>
          <w:tcPr>
            <w:tcW w:w="635" w:type="pct"/>
          </w:tcPr>
          <w:p w14:paraId="038803BC" w14:textId="5F2A69D8" w:rsidR="005A65ED" w:rsidRPr="00C2187E" w:rsidRDefault="005A65ED" w:rsidP="005A65ED">
            <w:pPr>
              <w:jc w:val="right"/>
              <w:rPr>
                <w:rFonts w:ascii="Arial" w:hAnsi="Arial" w:cs="Arial"/>
                <w:b/>
                <w:sz w:val="22"/>
                <w:szCs w:val="22"/>
              </w:rPr>
            </w:pPr>
            <w:r w:rsidRPr="00C2187E">
              <w:rPr>
                <w:rFonts w:ascii="Arial" w:hAnsi="Arial" w:cs="Arial"/>
                <w:b/>
              </w:rPr>
              <w:t>(</w:t>
            </w:r>
            <w:r w:rsidR="00F31DFE" w:rsidRPr="00C2187E">
              <w:rPr>
                <w:rFonts w:ascii="Arial" w:hAnsi="Arial" w:cs="Arial"/>
                <w:b/>
              </w:rPr>
              <w:t>120</w:t>
            </w:r>
            <w:r w:rsidRPr="00C2187E">
              <w:rPr>
                <w:rFonts w:ascii="Arial" w:hAnsi="Arial" w:cs="Arial"/>
                <w:b/>
              </w:rPr>
              <w:t>)</w:t>
            </w:r>
          </w:p>
        </w:tc>
        <w:tc>
          <w:tcPr>
            <w:tcW w:w="626" w:type="pct"/>
          </w:tcPr>
          <w:p w14:paraId="1403F594" w14:textId="430CFF7B" w:rsidR="005A65ED" w:rsidRPr="00E26D63" w:rsidRDefault="005A65ED" w:rsidP="005A65ED">
            <w:pPr>
              <w:jc w:val="right"/>
              <w:rPr>
                <w:rFonts w:ascii="Arial" w:hAnsi="Arial" w:cs="Arial"/>
                <w:sz w:val="22"/>
                <w:szCs w:val="22"/>
              </w:rPr>
            </w:pPr>
            <w:r w:rsidRPr="00E26D63">
              <w:rPr>
                <w:rFonts w:ascii="Arial" w:hAnsi="Arial" w:cs="Arial"/>
              </w:rPr>
              <w:t>(114)</w:t>
            </w:r>
          </w:p>
        </w:tc>
        <w:tc>
          <w:tcPr>
            <w:tcW w:w="773" w:type="pct"/>
            <w:vAlign w:val="bottom"/>
          </w:tcPr>
          <w:p w14:paraId="76F0DDAB" w14:textId="77777777" w:rsidR="005A65ED" w:rsidRPr="00C2187E" w:rsidRDefault="005A65ED" w:rsidP="005A65ED">
            <w:pPr>
              <w:jc w:val="right"/>
              <w:rPr>
                <w:rFonts w:ascii="Arial" w:hAnsi="Arial" w:cs="Arial"/>
                <w:sz w:val="22"/>
                <w:szCs w:val="22"/>
              </w:rPr>
            </w:pPr>
          </w:p>
        </w:tc>
      </w:tr>
      <w:tr w:rsidR="005A65ED" w:rsidRPr="00A845B7" w14:paraId="26136E1F" w14:textId="77777777" w:rsidTr="006F78D1">
        <w:tc>
          <w:tcPr>
            <w:tcW w:w="2966" w:type="pct"/>
            <w:tcBorders>
              <w:top w:val="single" w:sz="4" w:space="0" w:color="auto"/>
            </w:tcBorders>
          </w:tcPr>
          <w:p w14:paraId="4B78BA4C" w14:textId="77777777" w:rsidR="005A65ED" w:rsidRPr="00A845B7" w:rsidRDefault="005A65ED" w:rsidP="005A65ED">
            <w:pPr>
              <w:jc w:val="left"/>
              <w:rPr>
                <w:rFonts w:ascii="Arial" w:hAnsi="Arial" w:cs="Arial"/>
                <w:b/>
                <w:sz w:val="22"/>
                <w:szCs w:val="22"/>
              </w:rPr>
            </w:pPr>
            <w:r w:rsidRPr="00A845B7">
              <w:rPr>
                <w:rFonts w:ascii="Arial" w:hAnsi="Arial" w:cs="Arial"/>
                <w:b/>
                <w:sz w:val="22"/>
                <w:szCs w:val="22"/>
              </w:rPr>
              <w:t>Adjusted pre-tax profit</w:t>
            </w:r>
          </w:p>
        </w:tc>
        <w:tc>
          <w:tcPr>
            <w:tcW w:w="635" w:type="pct"/>
            <w:tcBorders>
              <w:top w:val="single" w:sz="4" w:space="0" w:color="auto"/>
            </w:tcBorders>
          </w:tcPr>
          <w:p w14:paraId="718FDA4F" w14:textId="792B6027" w:rsidR="005A65ED" w:rsidRPr="00C2187E" w:rsidRDefault="00F31DFE">
            <w:pPr>
              <w:jc w:val="right"/>
              <w:rPr>
                <w:rFonts w:ascii="Arial" w:hAnsi="Arial" w:cs="Arial"/>
                <w:b/>
                <w:sz w:val="22"/>
                <w:szCs w:val="22"/>
              </w:rPr>
            </w:pPr>
            <w:r w:rsidRPr="00C2187E">
              <w:rPr>
                <w:rFonts w:ascii="Arial" w:hAnsi="Arial" w:cs="Arial"/>
                <w:b/>
              </w:rPr>
              <w:t>573</w:t>
            </w:r>
          </w:p>
        </w:tc>
        <w:tc>
          <w:tcPr>
            <w:tcW w:w="626" w:type="pct"/>
            <w:tcBorders>
              <w:top w:val="single" w:sz="4" w:space="0" w:color="auto"/>
            </w:tcBorders>
          </w:tcPr>
          <w:p w14:paraId="36B70DB3" w14:textId="64B1DC63" w:rsidR="005A65ED" w:rsidRPr="00E26D63" w:rsidRDefault="005A65ED" w:rsidP="005A65ED">
            <w:pPr>
              <w:jc w:val="right"/>
              <w:rPr>
                <w:rFonts w:ascii="Arial" w:hAnsi="Arial" w:cs="Arial"/>
                <w:sz w:val="22"/>
                <w:szCs w:val="22"/>
              </w:rPr>
            </w:pPr>
            <w:r w:rsidRPr="00E26D63">
              <w:rPr>
                <w:rFonts w:ascii="Arial" w:hAnsi="Arial" w:cs="Arial"/>
              </w:rPr>
              <w:t>683</w:t>
            </w:r>
          </w:p>
        </w:tc>
        <w:tc>
          <w:tcPr>
            <w:tcW w:w="773" w:type="pct"/>
            <w:tcBorders>
              <w:top w:val="single" w:sz="4" w:space="0" w:color="auto"/>
            </w:tcBorders>
            <w:vAlign w:val="bottom"/>
          </w:tcPr>
          <w:p w14:paraId="27954F64" w14:textId="1014AC76" w:rsidR="005A65ED" w:rsidRPr="00C2187E" w:rsidRDefault="005A65ED" w:rsidP="005A65ED">
            <w:pPr>
              <w:jc w:val="right"/>
              <w:rPr>
                <w:rFonts w:ascii="Arial" w:hAnsi="Arial" w:cs="Arial"/>
                <w:sz w:val="22"/>
                <w:szCs w:val="22"/>
              </w:rPr>
            </w:pPr>
            <w:r w:rsidRPr="00C2187E">
              <w:rPr>
                <w:rFonts w:ascii="Arial" w:hAnsi="Arial" w:cs="Arial"/>
              </w:rPr>
              <w:t>(</w:t>
            </w:r>
            <w:proofErr w:type="gramStart"/>
            <w:r w:rsidR="00E6677D" w:rsidRPr="00E26D63">
              <w:rPr>
                <w:rFonts w:ascii="Arial" w:hAnsi="Arial" w:cs="Arial"/>
              </w:rPr>
              <w:t>16.</w:t>
            </w:r>
            <w:r w:rsidR="006713F6" w:rsidRPr="00E26D63">
              <w:rPr>
                <w:rFonts w:ascii="Arial" w:hAnsi="Arial" w:cs="Arial"/>
              </w:rPr>
              <w:t>1</w:t>
            </w:r>
            <w:r w:rsidRPr="00C2187E">
              <w:rPr>
                <w:rFonts w:ascii="Arial" w:hAnsi="Arial" w:cs="Arial"/>
              </w:rPr>
              <w:t>)%</w:t>
            </w:r>
            <w:proofErr w:type="gramEnd"/>
          </w:p>
        </w:tc>
      </w:tr>
      <w:tr w:rsidR="005A65ED" w:rsidRPr="00A845B7" w14:paraId="739AB29F" w14:textId="77777777" w:rsidTr="006F78D1">
        <w:tc>
          <w:tcPr>
            <w:tcW w:w="2966" w:type="pct"/>
            <w:tcBorders>
              <w:bottom w:val="single" w:sz="4" w:space="0" w:color="auto"/>
            </w:tcBorders>
          </w:tcPr>
          <w:p w14:paraId="3A4265C3" w14:textId="77777777" w:rsidR="005A65ED" w:rsidRPr="00A845B7" w:rsidRDefault="005A65ED" w:rsidP="005A65ED">
            <w:pPr>
              <w:jc w:val="left"/>
              <w:rPr>
                <w:rFonts w:ascii="Arial" w:hAnsi="Arial" w:cs="Arial"/>
                <w:sz w:val="22"/>
                <w:szCs w:val="22"/>
              </w:rPr>
            </w:pPr>
            <w:r w:rsidRPr="00A845B7">
              <w:rPr>
                <w:rFonts w:ascii="Arial" w:hAnsi="Arial" w:cs="Arial"/>
                <w:sz w:val="22"/>
                <w:szCs w:val="22"/>
              </w:rPr>
              <w:t>FFVR</w:t>
            </w:r>
          </w:p>
        </w:tc>
        <w:tc>
          <w:tcPr>
            <w:tcW w:w="635" w:type="pct"/>
            <w:tcBorders>
              <w:bottom w:val="single" w:sz="4" w:space="0" w:color="auto"/>
            </w:tcBorders>
          </w:tcPr>
          <w:p w14:paraId="2046B991" w14:textId="34863D37" w:rsidR="005A65ED" w:rsidRPr="00C2187E" w:rsidRDefault="003C54DC" w:rsidP="005A65ED">
            <w:pPr>
              <w:jc w:val="right"/>
              <w:rPr>
                <w:rFonts w:ascii="Arial" w:hAnsi="Arial" w:cs="Arial"/>
                <w:b/>
                <w:sz w:val="22"/>
                <w:szCs w:val="22"/>
              </w:rPr>
            </w:pPr>
            <w:r w:rsidRPr="00C2187E">
              <w:rPr>
                <w:rFonts w:ascii="Arial" w:hAnsi="Arial" w:cs="Arial"/>
                <w:b/>
              </w:rPr>
              <w:t>-</w:t>
            </w:r>
          </w:p>
        </w:tc>
        <w:tc>
          <w:tcPr>
            <w:tcW w:w="626" w:type="pct"/>
            <w:tcBorders>
              <w:bottom w:val="single" w:sz="4" w:space="0" w:color="auto"/>
            </w:tcBorders>
          </w:tcPr>
          <w:p w14:paraId="5449AD57" w14:textId="16609F7A" w:rsidR="005A65ED" w:rsidRPr="00E26D63" w:rsidRDefault="005A65ED" w:rsidP="005A65ED">
            <w:pPr>
              <w:jc w:val="right"/>
              <w:rPr>
                <w:rFonts w:ascii="Arial" w:hAnsi="Arial" w:cs="Arial"/>
                <w:sz w:val="22"/>
                <w:szCs w:val="22"/>
              </w:rPr>
            </w:pPr>
            <w:r w:rsidRPr="00E26D63">
              <w:rPr>
                <w:rFonts w:ascii="Arial" w:hAnsi="Arial" w:cs="Arial"/>
              </w:rPr>
              <w:t>(1)</w:t>
            </w:r>
          </w:p>
        </w:tc>
        <w:tc>
          <w:tcPr>
            <w:tcW w:w="773" w:type="pct"/>
            <w:tcBorders>
              <w:bottom w:val="single" w:sz="4" w:space="0" w:color="auto"/>
            </w:tcBorders>
            <w:vAlign w:val="bottom"/>
          </w:tcPr>
          <w:p w14:paraId="298BCF41" w14:textId="77777777" w:rsidR="005A65ED" w:rsidRPr="00C2187E" w:rsidRDefault="005A65ED" w:rsidP="005A65ED">
            <w:pPr>
              <w:jc w:val="right"/>
              <w:rPr>
                <w:rFonts w:ascii="Arial" w:hAnsi="Arial" w:cs="Arial"/>
                <w:sz w:val="22"/>
                <w:szCs w:val="22"/>
              </w:rPr>
            </w:pPr>
          </w:p>
        </w:tc>
      </w:tr>
      <w:tr w:rsidR="005A65ED" w:rsidRPr="00A845B7" w14:paraId="30277626" w14:textId="77777777" w:rsidTr="006F78D1">
        <w:tc>
          <w:tcPr>
            <w:tcW w:w="2966" w:type="pct"/>
            <w:tcBorders>
              <w:top w:val="single" w:sz="4" w:space="0" w:color="auto"/>
            </w:tcBorders>
          </w:tcPr>
          <w:p w14:paraId="10C37EF1" w14:textId="77777777" w:rsidR="005A65ED" w:rsidRPr="00A845B7" w:rsidRDefault="005A65ED" w:rsidP="005A65ED">
            <w:pPr>
              <w:jc w:val="left"/>
              <w:rPr>
                <w:rFonts w:ascii="Arial" w:hAnsi="Arial" w:cs="Arial"/>
                <w:sz w:val="22"/>
                <w:szCs w:val="22"/>
              </w:rPr>
            </w:pPr>
            <w:r w:rsidRPr="00A845B7">
              <w:rPr>
                <w:rFonts w:ascii="Arial" w:hAnsi="Arial" w:cs="Arial"/>
                <w:sz w:val="22"/>
                <w:szCs w:val="22"/>
              </w:rPr>
              <w:t>Profit before exceptional items and tax</w:t>
            </w:r>
          </w:p>
        </w:tc>
        <w:tc>
          <w:tcPr>
            <w:tcW w:w="635" w:type="pct"/>
            <w:tcBorders>
              <w:top w:val="single" w:sz="4" w:space="0" w:color="auto"/>
            </w:tcBorders>
          </w:tcPr>
          <w:p w14:paraId="36E99CB9" w14:textId="1CE74997" w:rsidR="005A65ED" w:rsidRPr="00C2187E" w:rsidRDefault="003C54DC" w:rsidP="005A65ED">
            <w:pPr>
              <w:jc w:val="right"/>
              <w:rPr>
                <w:rFonts w:ascii="Arial" w:hAnsi="Arial" w:cs="Arial"/>
                <w:b/>
                <w:sz w:val="22"/>
                <w:szCs w:val="22"/>
              </w:rPr>
            </w:pPr>
            <w:r w:rsidRPr="00C2187E">
              <w:rPr>
                <w:rFonts w:ascii="Arial" w:hAnsi="Arial" w:cs="Arial"/>
                <w:b/>
              </w:rPr>
              <w:t>573</w:t>
            </w:r>
          </w:p>
        </w:tc>
        <w:tc>
          <w:tcPr>
            <w:tcW w:w="626" w:type="pct"/>
            <w:tcBorders>
              <w:top w:val="single" w:sz="4" w:space="0" w:color="auto"/>
            </w:tcBorders>
          </w:tcPr>
          <w:p w14:paraId="3B2E2F63" w14:textId="13D2D92D" w:rsidR="005A65ED" w:rsidRPr="00E26D63" w:rsidRDefault="005A65ED" w:rsidP="005A65ED">
            <w:pPr>
              <w:jc w:val="right"/>
              <w:rPr>
                <w:rFonts w:ascii="Arial" w:hAnsi="Arial" w:cs="Arial"/>
                <w:sz w:val="22"/>
                <w:szCs w:val="22"/>
              </w:rPr>
            </w:pPr>
            <w:r w:rsidRPr="00E26D63">
              <w:rPr>
                <w:rFonts w:ascii="Arial" w:hAnsi="Arial" w:cs="Arial"/>
              </w:rPr>
              <w:t>682</w:t>
            </w:r>
          </w:p>
        </w:tc>
        <w:tc>
          <w:tcPr>
            <w:tcW w:w="773" w:type="pct"/>
            <w:tcBorders>
              <w:top w:val="single" w:sz="4" w:space="0" w:color="auto"/>
            </w:tcBorders>
            <w:vAlign w:val="bottom"/>
          </w:tcPr>
          <w:p w14:paraId="75DCBC0F" w14:textId="6FFEDAD4" w:rsidR="005A65ED" w:rsidRPr="00C2187E" w:rsidRDefault="005A65ED" w:rsidP="005A65ED">
            <w:pPr>
              <w:jc w:val="right"/>
              <w:rPr>
                <w:rFonts w:ascii="Arial" w:hAnsi="Arial" w:cs="Arial"/>
                <w:sz w:val="22"/>
                <w:szCs w:val="22"/>
              </w:rPr>
            </w:pPr>
            <w:r w:rsidRPr="00C2187E">
              <w:rPr>
                <w:rFonts w:ascii="Arial" w:hAnsi="Arial" w:cs="Arial"/>
              </w:rPr>
              <w:t>(</w:t>
            </w:r>
            <w:proofErr w:type="gramStart"/>
            <w:r w:rsidR="006713F6" w:rsidRPr="00E26D63">
              <w:rPr>
                <w:rFonts w:ascii="Arial" w:hAnsi="Arial" w:cs="Arial"/>
              </w:rPr>
              <w:t>16.0</w:t>
            </w:r>
            <w:r w:rsidRPr="00C2187E">
              <w:rPr>
                <w:rFonts w:ascii="Arial" w:hAnsi="Arial" w:cs="Arial"/>
              </w:rPr>
              <w:t>)%</w:t>
            </w:r>
            <w:proofErr w:type="gramEnd"/>
          </w:p>
        </w:tc>
      </w:tr>
      <w:tr w:rsidR="005A65ED" w:rsidRPr="00A845B7" w14:paraId="00F0B43F" w14:textId="77777777" w:rsidTr="006F78D1">
        <w:tc>
          <w:tcPr>
            <w:tcW w:w="2966" w:type="pct"/>
            <w:tcBorders>
              <w:bottom w:val="single" w:sz="4" w:space="0" w:color="auto"/>
            </w:tcBorders>
          </w:tcPr>
          <w:p w14:paraId="74EC5C74" w14:textId="77777777" w:rsidR="005A65ED" w:rsidRPr="00A845B7" w:rsidRDefault="005A65ED" w:rsidP="005A65ED">
            <w:pPr>
              <w:jc w:val="left"/>
              <w:rPr>
                <w:rFonts w:ascii="Arial" w:hAnsi="Arial" w:cs="Arial"/>
                <w:sz w:val="22"/>
                <w:szCs w:val="22"/>
              </w:rPr>
            </w:pPr>
            <w:r w:rsidRPr="00A845B7">
              <w:rPr>
                <w:rFonts w:ascii="Arial" w:hAnsi="Arial" w:cs="Arial"/>
                <w:sz w:val="22"/>
                <w:szCs w:val="22"/>
              </w:rPr>
              <w:t>Exceptional items before tax</w:t>
            </w:r>
          </w:p>
        </w:tc>
        <w:tc>
          <w:tcPr>
            <w:tcW w:w="635" w:type="pct"/>
            <w:tcBorders>
              <w:bottom w:val="single" w:sz="4" w:space="0" w:color="auto"/>
            </w:tcBorders>
          </w:tcPr>
          <w:p w14:paraId="2AA3C760" w14:textId="0E0AAEE5" w:rsidR="005A65ED" w:rsidRPr="00C2187E" w:rsidRDefault="00207E63" w:rsidP="005A65ED">
            <w:pPr>
              <w:jc w:val="right"/>
              <w:rPr>
                <w:rFonts w:ascii="Arial" w:hAnsi="Arial" w:cs="Arial"/>
                <w:b/>
                <w:sz w:val="22"/>
                <w:szCs w:val="22"/>
              </w:rPr>
            </w:pPr>
            <w:r w:rsidRPr="00C2187E">
              <w:rPr>
                <w:rFonts w:ascii="Arial" w:hAnsi="Arial" w:cs="Arial"/>
                <w:b/>
              </w:rPr>
              <w:t>(</w:t>
            </w:r>
            <w:r w:rsidR="003C54DC" w:rsidRPr="00C2187E">
              <w:rPr>
                <w:rFonts w:ascii="Arial" w:hAnsi="Arial" w:cs="Arial"/>
                <w:b/>
              </w:rPr>
              <w:t>2</w:t>
            </w:r>
            <w:r w:rsidR="00E616F1">
              <w:rPr>
                <w:rFonts w:ascii="Arial" w:hAnsi="Arial" w:cs="Arial"/>
                <w:b/>
              </w:rPr>
              <w:t>51</w:t>
            </w:r>
            <w:r w:rsidRPr="00C2187E">
              <w:rPr>
                <w:rFonts w:ascii="Arial" w:hAnsi="Arial" w:cs="Arial"/>
                <w:b/>
              </w:rPr>
              <w:t>)</w:t>
            </w:r>
          </w:p>
        </w:tc>
        <w:tc>
          <w:tcPr>
            <w:tcW w:w="626" w:type="pct"/>
            <w:tcBorders>
              <w:bottom w:val="single" w:sz="4" w:space="0" w:color="auto"/>
            </w:tcBorders>
          </w:tcPr>
          <w:p w14:paraId="682483D1" w14:textId="1AE23C43" w:rsidR="005A65ED" w:rsidRPr="00E26D63" w:rsidRDefault="005A65ED" w:rsidP="005A65ED">
            <w:pPr>
              <w:jc w:val="right"/>
              <w:rPr>
                <w:rFonts w:ascii="Arial" w:hAnsi="Arial" w:cs="Arial"/>
                <w:sz w:val="22"/>
                <w:szCs w:val="22"/>
              </w:rPr>
            </w:pPr>
            <w:r w:rsidRPr="00E26D63">
              <w:rPr>
                <w:rFonts w:ascii="Arial" w:hAnsi="Arial" w:cs="Arial"/>
              </w:rPr>
              <w:t>-</w:t>
            </w:r>
          </w:p>
        </w:tc>
        <w:tc>
          <w:tcPr>
            <w:tcW w:w="773" w:type="pct"/>
            <w:tcBorders>
              <w:bottom w:val="single" w:sz="4" w:space="0" w:color="auto"/>
            </w:tcBorders>
            <w:vAlign w:val="bottom"/>
          </w:tcPr>
          <w:p w14:paraId="5BE1CFE0" w14:textId="77777777" w:rsidR="005A65ED" w:rsidRPr="00C2187E" w:rsidRDefault="005A65ED" w:rsidP="005A65ED">
            <w:pPr>
              <w:jc w:val="right"/>
              <w:rPr>
                <w:rFonts w:ascii="Arial" w:hAnsi="Arial" w:cs="Arial"/>
                <w:sz w:val="22"/>
                <w:szCs w:val="22"/>
              </w:rPr>
            </w:pPr>
          </w:p>
        </w:tc>
      </w:tr>
      <w:tr w:rsidR="005A65ED" w:rsidRPr="00A845B7" w14:paraId="355B9692" w14:textId="77777777" w:rsidTr="006F78D1">
        <w:tc>
          <w:tcPr>
            <w:tcW w:w="2966" w:type="pct"/>
            <w:tcBorders>
              <w:top w:val="single" w:sz="4" w:space="0" w:color="auto"/>
              <w:bottom w:val="single" w:sz="4" w:space="0" w:color="auto"/>
            </w:tcBorders>
          </w:tcPr>
          <w:p w14:paraId="2D3F8FA2" w14:textId="77777777" w:rsidR="005A65ED" w:rsidRPr="00A845B7" w:rsidRDefault="005A65ED" w:rsidP="005A65ED">
            <w:pPr>
              <w:jc w:val="left"/>
              <w:rPr>
                <w:rFonts w:ascii="Arial" w:hAnsi="Arial" w:cs="Arial"/>
                <w:b/>
                <w:sz w:val="22"/>
                <w:szCs w:val="22"/>
              </w:rPr>
            </w:pPr>
            <w:r w:rsidRPr="00A845B7">
              <w:rPr>
                <w:rFonts w:ascii="Arial" w:hAnsi="Arial" w:cs="Arial"/>
                <w:b/>
                <w:sz w:val="22"/>
                <w:szCs w:val="22"/>
              </w:rPr>
              <w:t>Statutory pre-tax profit</w:t>
            </w:r>
          </w:p>
        </w:tc>
        <w:tc>
          <w:tcPr>
            <w:tcW w:w="635" w:type="pct"/>
            <w:tcBorders>
              <w:top w:val="single" w:sz="4" w:space="0" w:color="auto"/>
              <w:bottom w:val="single" w:sz="4" w:space="0" w:color="auto"/>
            </w:tcBorders>
          </w:tcPr>
          <w:p w14:paraId="7A75FCE9" w14:textId="4AE44455" w:rsidR="005A65ED" w:rsidRPr="00C2187E" w:rsidRDefault="00B63917" w:rsidP="005A65ED">
            <w:pPr>
              <w:jc w:val="right"/>
              <w:rPr>
                <w:rFonts w:ascii="Arial" w:hAnsi="Arial" w:cs="Arial"/>
                <w:b/>
                <w:sz w:val="22"/>
                <w:szCs w:val="22"/>
              </w:rPr>
            </w:pPr>
            <w:r w:rsidRPr="00C2187E">
              <w:rPr>
                <w:rFonts w:ascii="Arial" w:hAnsi="Arial" w:cs="Arial"/>
                <w:b/>
              </w:rPr>
              <w:t>3</w:t>
            </w:r>
            <w:r w:rsidR="00E616F1">
              <w:rPr>
                <w:rFonts w:ascii="Arial" w:hAnsi="Arial" w:cs="Arial"/>
                <w:b/>
              </w:rPr>
              <w:t>22</w:t>
            </w:r>
          </w:p>
        </w:tc>
        <w:tc>
          <w:tcPr>
            <w:tcW w:w="626" w:type="pct"/>
            <w:tcBorders>
              <w:top w:val="single" w:sz="4" w:space="0" w:color="auto"/>
              <w:bottom w:val="single" w:sz="4" w:space="0" w:color="auto"/>
            </w:tcBorders>
          </w:tcPr>
          <w:p w14:paraId="1B7471CB" w14:textId="742E908E" w:rsidR="005A65ED" w:rsidRPr="00E26D63" w:rsidRDefault="005A65ED" w:rsidP="005A65ED">
            <w:pPr>
              <w:jc w:val="right"/>
              <w:rPr>
                <w:rFonts w:ascii="Arial" w:hAnsi="Arial" w:cs="Arial"/>
                <w:sz w:val="22"/>
                <w:szCs w:val="22"/>
              </w:rPr>
            </w:pPr>
            <w:r w:rsidRPr="00E26D63">
              <w:rPr>
                <w:rFonts w:ascii="Arial" w:hAnsi="Arial" w:cs="Arial"/>
              </w:rPr>
              <w:t>682</w:t>
            </w:r>
          </w:p>
        </w:tc>
        <w:tc>
          <w:tcPr>
            <w:tcW w:w="773" w:type="pct"/>
            <w:tcBorders>
              <w:top w:val="single" w:sz="4" w:space="0" w:color="auto"/>
              <w:bottom w:val="single" w:sz="4" w:space="0" w:color="auto"/>
            </w:tcBorders>
            <w:vAlign w:val="bottom"/>
          </w:tcPr>
          <w:p w14:paraId="5D3E2D45" w14:textId="50673808" w:rsidR="005A65ED" w:rsidRPr="00C2187E" w:rsidRDefault="005A65ED" w:rsidP="005A65ED">
            <w:pPr>
              <w:jc w:val="right"/>
              <w:rPr>
                <w:rFonts w:ascii="Arial" w:hAnsi="Arial" w:cs="Arial"/>
                <w:sz w:val="22"/>
                <w:szCs w:val="22"/>
              </w:rPr>
            </w:pPr>
            <w:r w:rsidRPr="00C2187E">
              <w:rPr>
                <w:rFonts w:ascii="Arial" w:hAnsi="Arial" w:cs="Arial"/>
              </w:rPr>
              <w:t>(</w:t>
            </w:r>
            <w:proofErr w:type="gramStart"/>
            <w:r w:rsidR="00493601">
              <w:rPr>
                <w:rFonts w:ascii="Arial" w:hAnsi="Arial" w:cs="Arial"/>
              </w:rPr>
              <w:t>52</w:t>
            </w:r>
            <w:r w:rsidR="00F31DFE" w:rsidRPr="00C2187E">
              <w:rPr>
                <w:rFonts w:ascii="Arial" w:hAnsi="Arial" w:cs="Arial"/>
              </w:rPr>
              <w:t>.</w:t>
            </w:r>
            <w:r w:rsidR="00493601">
              <w:rPr>
                <w:rFonts w:ascii="Arial" w:hAnsi="Arial" w:cs="Arial"/>
              </w:rPr>
              <w:t>8</w:t>
            </w:r>
            <w:r w:rsidRPr="00C2187E">
              <w:rPr>
                <w:rFonts w:ascii="Arial" w:hAnsi="Arial" w:cs="Arial"/>
              </w:rPr>
              <w:t>)%</w:t>
            </w:r>
            <w:proofErr w:type="gramEnd"/>
          </w:p>
        </w:tc>
      </w:tr>
    </w:tbl>
    <w:p w14:paraId="0818038E" w14:textId="77777777" w:rsidR="00997637" w:rsidRDefault="00997637" w:rsidP="00997637">
      <w:pPr>
        <w:rPr>
          <w:rFonts w:ascii="Arial" w:hAnsi="Arial" w:cs="Arial"/>
          <w:b/>
          <w:sz w:val="24"/>
          <w:szCs w:val="24"/>
          <w:highlight w:val="yellow"/>
        </w:rPr>
      </w:pPr>
    </w:p>
    <w:p w14:paraId="1C4D1F67" w14:textId="45FD5591" w:rsidR="00997637" w:rsidRPr="00A845B7" w:rsidRDefault="00997637" w:rsidP="00997637">
      <w:pPr>
        <w:jc w:val="left"/>
        <w:rPr>
          <w:rFonts w:ascii="Arial" w:hAnsi="Arial" w:cs="Arial"/>
        </w:rPr>
      </w:pPr>
      <w:r w:rsidRPr="00686C6E">
        <w:rPr>
          <w:rFonts w:ascii="Arial" w:hAnsi="Arial" w:cs="Arial"/>
        </w:rPr>
        <w:t>Transformation P&amp;L costs of £</w:t>
      </w:r>
      <w:r w:rsidR="008F7C96">
        <w:rPr>
          <w:rFonts w:ascii="Arial" w:hAnsi="Arial" w:cs="Arial"/>
        </w:rPr>
        <w:t>120</w:t>
      </w:r>
      <w:r w:rsidR="008F7C96" w:rsidRPr="00686C6E">
        <w:rPr>
          <w:rFonts w:ascii="Arial" w:hAnsi="Arial" w:cs="Arial"/>
        </w:rPr>
        <w:t xml:space="preserve"> </w:t>
      </w:r>
      <w:r w:rsidRPr="00686C6E">
        <w:rPr>
          <w:rFonts w:ascii="Arial" w:hAnsi="Arial" w:cs="Arial"/>
        </w:rPr>
        <w:t xml:space="preserve">million principally relate to the unified and unique offer range </w:t>
      </w:r>
      <w:r w:rsidRPr="00A845B7">
        <w:rPr>
          <w:rFonts w:ascii="Arial" w:hAnsi="Arial" w:cs="Arial"/>
        </w:rPr>
        <w:t>implementation and the digital strategic pillar.</w:t>
      </w:r>
      <w:r w:rsidR="00EB3C37">
        <w:rPr>
          <w:rFonts w:ascii="Arial" w:hAnsi="Arial" w:cs="Arial"/>
        </w:rPr>
        <w:t xml:space="preserve"> </w:t>
      </w:r>
      <w:r w:rsidR="00EB3C37" w:rsidRPr="00EB3C37">
        <w:rPr>
          <w:rFonts w:ascii="Arial" w:hAnsi="Arial" w:cs="Arial"/>
        </w:rPr>
        <w:t>Range implementation activities principally comprise remerchandising work associated with introducing the unified and unique offer</w:t>
      </w:r>
      <w:r w:rsidR="00082D54">
        <w:rPr>
          <w:rFonts w:ascii="Arial" w:hAnsi="Arial" w:cs="Arial"/>
        </w:rPr>
        <w:t>,</w:t>
      </w:r>
      <w:r w:rsidR="00EB3C37" w:rsidRPr="00EB3C37">
        <w:rPr>
          <w:rFonts w:ascii="Arial" w:hAnsi="Arial" w:cs="Arial"/>
        </w:rPr>
        <w:t xml:space="preserve"> incremental in-store labour costs and point of sale change. Digital transformation </w:t>
      </w:r>
      <w:r w:rsidR="00082D54">
        <w:rPr>
          <w:rFonts w:ascii="Arial" w:hAnsi="Arial" w:cs="Arial"/>
        </w:rPr>
        <w:t xml:space="preserve">P&amp;L </w:t>
      </w:r>
      <w:r w:rsidR="00EB3C37" w:rsidRPr="00EB3C37">
        <w:rPr>
          <w:rFonts w:ascii="Arial" w:hAnsi="Arial" w:cs="Arial"/>
        </w:rPr>
        <w:t xml:space="preserve">costs represent the initial revenue expenditure of investing in </w:t>
      </w:r>
      <w:r w:rsidR="00082D54">
        <w:rPr>
          <w:rFonts w:ascii="Arial" w:hAnsi="Arial" w:cs="Arial"/>
        </w:rPr>
        <w:t xml:space="preserve">developing wider digital services </w:t>
      </w:r>
      <w:r w:rsidR="00EB3C37" w:rsidRPr="00EB3C37">
        <w:rPr>
          <w:rFonts w:ascii="Arial" w:hAnsi="Arial" w:cs="Arial"/>
        </w:rPr>
        <w:t xml:space="preserve">to support </w:t>
      </w:r>
      <w:r w:rsidR="00E26457">
        <w:rPr>
          <w:rFonts w:ascii="Arial" w:hAnsi="Arial" w:cs="Arial"/>
        </w:rPr>
        <w:t>customers’</w:t>
      </w:r>
      <w:r w:rsidR="00EB3C37" w:rsidRPr="00EB3C37">
        <w:rPr>
          <w:rFonts w:ascii="Arial" w:hAnsi="Arial" w:cs="Arial"/>
        </w:rPr>
        <w:t xml:space="preserve"> home improvement projects.</w:t>
      </w:r>
    </w:p>
    <w:p w14:paraId="55BA6A77" w14:textId="77777777" w:rsidR="00997637" w:rsidRPr="00C2187E" w:rsidRDefault="00997637" w:rsidP="00997637">
      <w:pPr>
        <w:rPr>
          <w:rFonts w:ascii="Arial" w:hAnsi="Arial" w:cs="Arial"/>
        </w:rPr>
      </w:pPr>
    </w:p>
    <w:p w14:paraId="2AD7B9F1" w14:textId="222F87E8" w:rsidR="00CD3D76" w:rsidRPr="00A845B7" w:rsidRDefault="00997637" w:rsidP="00997637">
      <w:pPr>
        <w:jc w:val="left"/>
        <w:rPr>
          <w:rFonts w:ascii="Arial" w:hAnsi="Arial" w:cs="Arial"/>
        </w:rPr>
      </w:pPr>
      <w:r w:rsidRPr="00207E63">
        <w:rPr>
          <w:rFonts w:ascii="Arial" w:hAnsi="Arial" w:cs="Arial"/>
          <w:b/>
        </w:rPr>
        <w:t>Exceptional items</w:t>
      </w:r>
      <w:r w:rsidRPr="00207E63">
        <w:rPr>
          <w:rFonts w:ascii="Arial" w:hAnsi="Arial" w:cs="Arial"/>
        </w:rPr>
        <w:t xml:space="preserve"> (post tax) </w:t>
      </w:r>
      <w:r w:rsidR="00A01E40" w:rsidRPr="00207E63">
        <w:rPr>
          <w:rFonts w:ascii="Arial" w:hAnsi="Arial" w:cs="Arial"/>
        </w:rPr>
        <w:t xml:space="preserve">resulted in a net </w:t>
      </w:r>
      <w:r w:rsidR="00082D54" w:rsidRPr="00207E63">
        <w:rPr>
          <w:rFonts w:ascii="Arial" w:hAnsi="Arial" w:cs="Arial"/>
        </w:rPr>
        <w:t xml:space="preserve">charge of </w:t>
      </w:r>
      <w:r w:rsidR="00870606" w:rsidRPr="00207E63">
        <w:rPr>
          <w:rFonts w:ascii="Arial" w:hAnsi="Arial" w:cs="Arial"/>
        </w:rPr>
        <w:t>£</w:t>
      </w:r>
      <w:r w:rsidR="00870606" w:rsidRPr="00C2187E">
        <w:rPr>
          <w:rFonts w:ascii="Arial" w:hAnsi="Arial" w:cs="Arial"/>
        </w:rPr>
        <w:t>1</w:t>
      </w:r>
      <w:r w:rsidR="00E616F1">
        <w:rPr>
          <w:rFonts w:ascii="Arial" w:hAnsi="Arial" w:cs="Arial"/>
        </w:rPr>
        <w:t>90</w:t>
      </w:r>
      <w:r w:rsidR="00870606" w:rsidRPr="00C2187E">
        <w:rPr>
          <w:rFonts w:ascii="Arial" w:hAnsi="Arial" w:cs="Arial"/>
        </w:rPr>
        <w:t xml:space="preserve"> </w:t>
      </w:r>
      <w:r w:rsidR="00082D54" w:rsidRPr="00C2187E">
        <w:rPr>
          <w:rFonts w:ascii="Arial" w:hAnsi="Arial" w:cs="Arial"/>
        </w:rPr>
        <w:t>m</w:t>
      </w:r>
      <w:r w:rsidR="00870606" w:rsidRPr="00207E63">
        <w:rPr>
          <w:rFonts w:ascii="Arial" w:hAnsi="Arial" w:cs="Arial"/>
        </w:rPr>
        <w:t>illion</w:t>
      </w:r>
      <w:r w:rsidR="00A01E40" w:rsidRPr="00207E63">
        <w:rPr>
          <w:rFonts w:ascii="Arial" w:hAnsi="Arial" w:cs="Arial"/>
        </w:rPr>
        <w:t xml:space="preserve"> </w:t>
      </w:r>
      <w:r w:rsidR="00D86819" w:rsidRPr="00207E63">
        <w:rPr>
          <w:rFonts w:ascii="Arial" w:hAnsi="Arial" w:cs="Arial"/>
        </w:rPr>
        <w:t>(201</w:t>
      </w:r>
      <w:r w:rsidR="00082D54" w:rsidRPr="00207E63">
        <w:rPr>
          <w:rFonts w:ascii="Arial" w:hAnsi="Arial" w:cs="Arial"/>
        </w:rPr>
        <w:t>7</w:t>
      </w:r>
      <w:r w:rsidR="00D86819" w:rsidRPr="00207E63">
        <w:rPr>
          <w:rFonts w:ascii="Arial" w:hAnsi="Arial" w:cs="Arial"/>
        </w:rPr>
        <w:t>/1</w:t>
      </w:r>
      <w:r w:rsidR="00082D54" w:rsidRPr="00207E63">
        <w:rPr>
          <w:rFonts w:ascii="Arial" w:hAnsi="Arial" w:cs="Arial"/>
        </w:rPr>
        <w:t>8</w:t>
      </w:r>
      <w:r w:rsidR="00D86819" w:rsidRPr="00207E63">
        <w:rPr>
          <w:rFonts w:ascii="Arial" w:hAnsi="Arial" w:cs="Arial"/>
        </w:rPr>
        <w:t xml:space="preserve">: </w:t>
      </w:r>
      <w:r w:rsidR="00082D54" w:rsidRPr="00207E63">
        <w:rPr>
          <w:rFonts w:ascii="Arial" w:hAnsi="Arial" w:cs="Arial"/>
        </w:rPr>
        <w:t>net nil impact</w:t>
      </w:r>
      <w:r w:rsidR="00D86819" w:rsidRPr="00207E63">
        <w:rPr>
          <w:rFonts w:ascii="Arial" w:hAnsi="Arial" w:cs="Arial"/>
        </w:rPr>
        <w:t>)</w:t>
      </w:r>
      <w:r w:rsidRPr="00207E63">
        <w:rPr>
          <w:rFonts w:ascii="Arial" w:hAnsi="Arial" w:cs="Arial"/>
        </w:rPr>
        <w:t xml:space="preserve"> as detailed below:</w:t>
      </w:r>
    </w:p>
    <w:tbl>
      <w:tblPr>
        <w:tblW w:w="5001" w:type="pct"/>
        <w:tblLook w:val="04A0" w:firstRow="1" w:lastRow="0" w:firstColumn="1" w:lastColumn="0" w:noHBand="0" w:noVBand="1"/>
      </w:tblPr>
      <w:tblGrid>
        <w:gridCol w:w="6101"/>
        <w:gridCol w:w="1926"/>
        <w:gridCol w:w="1842"/>
      </w:tblGrid>
      <w:tr w:rsidR="00997637" w:rsidRPr="009919C6" w14:paraId="01C246F5" w14:textId="77777777" w:rsidTr="00F24C8A">
        <w:trPr>
          <w:trHeight w:val="525"/>
        </w:trPr>
        <w:tc>
          <w:tcPr>
            <w:tcW w:w="3091" w:type="pct"/>
            <w:tcBorders>
              <w:top w:val="nil"/>
              <w:left w:val="nil"/>
              <w:bottom w:val="single" w:sz="4" w:space="0" w:color="auto"/>
              <w:right w:val="nil"/>
            </w:tcBorders>
            <w:vAlign w:val="bottom"/>
          </w:tcPr>
          <w:p w14:paraId="080ADA02" w14:textId="77777777" w:rsidR="00997637" w:rsidRPr="00A845B7" w:rsidRDefault="00997637" w:rsidP="00F24C8A">
            <w:pPr>
              <w:jc w:val="left"/>
              <w:rPr>
                <w:rFonts w:ascii="Arial" w:hAnsi="Arial" w:cs="Arial"/>
                <w:bCs/>
              </w:rPr>
            </w:pPr>
          </w:p>
        </w:tc>
        <w:tc>
          <w:tcPr>
            <w:tcW w:w="976" w:type="pct"/>
            <w:tcBorders>
              <w:top w:val="nil"/>
              <w:left w:val="nil"/>
              <w:bottom w:val="single" w:sz="4" w:space="0" w:color="auto"/>
              <w:right w:val="nil"/>
            </w:tcBorders>
            <w:vAlign w:val="bottom"/>
            <w:hideMark/>
          </w:tcPr>
          <w:p w14:paraId="235A3D98" w14:textId="2115CF38" w:rsidR="00997637" w:rsidRPr="009919C6" w:rsidRDefault="00997637" w:rsidP="00F24C8A">
            <w:pPr>
              <w:jc w:val="right"/>
              <w:rPr>
                <w:rFonts w:ascii="Arial" w:hAnsi="Arial" w:cs="Arial"/>
                <w:b/>
                <w:bCs/>
              </w:rPr>
            </w:pPr>
            <w:r w:rsidRPr="009919C6">
              <w:rPr>
                <w:rFonts w:ascii="Arial" w:hAnsi="Arial" w:cs="Arial"/>
                <w:b/>
                <w:bCs/>
              </w:rPr>
              <w:t>201</w:t>
            </w:r>
            <w:r w:rsidR="005A65ED" w:rsidRPr="009919C6">
              <w:rPr>
                <w:rFonts w:ascii="Arial" w:hAnsi="Arial" w:cs="Arial"/>
                <w:b/>
                <w:bCs/>
              </w:rPr>
              <w:t>8</w:t>
            </w:r>
            <w:r w:rsidRPr="009919C6">
              <w:rPr>
                <w:rFonts w:ascii="Arial" w:hAnsi="Arial" w:cs="Arial"/>
                <w:b/>
                <w:bCs/>
              </w:rPr>
              <w:t>/1</w:t>
            </w:r>
            <w:r w:rsidR="005A65ED" w:rsidRPr="009919C6">
              <w:rPr>
                <w:rFonts w:ascii="Arial" w:hAnsi="Arial" w:cs="Arial"/>
                <w:b/>
                <w:bCs/>
              </w:rPr>
              <w:t>9</w:t>
            </w:r>
          </w:p>
          <w:p w14:paraId="57F9B2E7" w14:textId="77777777" w:rsidR="00997637" w:rsidRPr="009919C6" w:rsidRDefault="00997637" w:rsidP="00F24C8A">
            <w:pPr>
              <w:jc w:val="right"/>
              <w:rPr>
                <w:rFonts w:ascii="Arial" w:hAnsi="Arial" w:cs="Arial"/>
                <w:b/>
                <w:bCs/>
              </w:rPr>
            </w:pPr>
            <w:r w:rsidRPr="009919C6">
              <w:rPr>
                <w:rFonts w:ascii="Arial" w:hAnsi="Arial" w:cs="Arial"/>
                <w:b/>
                <w:bCs/>
              </w:rPr>
              <w:t>£m</w:t>
            </w:r>
          </w:p>
          <w:p w14:paraId="21513B16" w14:textId="77777777" w:rsidR="00997637" w:rsidRPr="009919C6" w:rsidRDefault="00997637" w:rsidP="00F24C8A">
            <w:pPr>
              <w:jc w:val="right"/>
              <w:rPr>
                <w:rFonts w:ascii="Arial" w:hAnsi="Arial" w:cs="Arial"/>
                <w:b/>
                <w:bCs/>
              </w:rPr>
            </w:pPr>
            <w:r w:rsidRPr="009919C6">
              <w:rPr>
                <w:rFonts w:ascii="Arial" w:hAnsi="Arial" w:cs="Arial"/>
                <w:b/>
                <w:bCs/>
              </w:rPr>
              <w:t>Gain/(charge)</w:t>
            </w:r>
          </w:p>
        </w:tc>
        <w:tc>
          <w:tcPr>
            <w:tcW w:w="933" w:type="pct"/>
            <w:tcBorders>
              <w:top w:val="nil"/>
              <w:left w:val="nil"/>
              <w:bottom w:val="single" w:sz="4" w:space="0" w:color="auto"/>
              <w:right w:val="nil"/>
            </w:tcBorders>
            <w:vAlign w:val="bottom"/>
            <w:hideMark/>
          </w:tcPr>
          <w:p w14:paraId="44547570" w14:textId="1A06B6E2" w:rsidR="00997637" w:rsidRPr="009919C6" w:rsidRDefault="00997637" w:rsidP="00F24C8A">
            <w:pPr>
              <w:jc w:val="right"/>
              <w:rPr>
                <w:rFonts w:ascii="Arial" w:hAnsi="Arial" w:cs="Arial"/>
                <w:bCs/>
              </w:rPr>
            </w:pPr>
            <w:r w:rsidRPr="009919C6">
              <w:rPr>
                <w:rFonts w:ascii="Arial" w:hAnsi="Arial" w:cs="Arial"/>
                <w:bCs/>
              </w:rPr>
              <w:t>201</w:t>
            </w:r>
            <w:r w:rsidR="005A65ED" w:rsidRPr="009919C6">
              <w:rPr>
                <w:rFonts w:ascii="Arial" w:hAnsi="Arial" w:cs="Arial"/>
                <w:bCs/>
              </w:rPr>
              <w:t>7</w:t>
            </w:r>
            <w:r w:rsidRPr="009919C6">
              <w:rPr>
                <w:rFonts w:ascii="Arial" w:hAnsi="Arial" w:cs="Arial"/>
                <w:bCs/>
              </w:rPr>
              <w:t>/1</w:t>
            </w:r>
            <w:r w:rsidR="005A65ED" w:rsidRPr="009919C6">
              <w:rPr>
                <w:rFonts w:ascii="Arial" w:hAnsi="Arial" w:cs="Arial"/>
                <w:bCs/>
              </w:rPr>
              <w:t>8</w:t>
            </w:r>
          </w:p>
          <w:p w14:paraId="772A173C" w14:textId="77777777" w:rsidR="00997637" w:rsidRPr="009919C6" w:rsidRDefault="00997637" w:rsidP="00F24C8A">
            <w:pPr>
              <w:jc w:val="right"/>
              <w:rPr>
                <w:rFonts w:ascii="Arial" w:hAnsi="Arial" w:cs="Arial"/>
                <w:bCs/>
              </w:rPr>
            </w:pPr>
            <w:r w:rsidRPr="009919C6">
              <w:rPr>
                <w:rFonts w:ascii="Arial" w:hAnsi="Arial" w:cs="Arial"/>
                <w:bCs/>
              </w:rPr>
              <w:t>£m</w:t>
            </w:r>
          </w:p>
          <w:p w14:paraId="24CA58ED" w14:textId="77777777" w:rsidR="00997637" w:rsidRPr="009919C6" w:rsidRDefault="00997637" w:rsidP="00F24C8A">
            <w:pPr>
              <w:jc w:val="right"/>
              <w:rPr>
                <w:rFonts w:ascii="Arial" w:hAnsi="Arial" w:cs="Arial"/>
                <w:bCs/>
              </w:rPr>
            </w:pPr>
            <w:r w:rsidRPr="009919C6">
              <w:rPr>
                <w:rFonts w:ascii="Arial" w:hAnsi="Arial" w:cs="Arial"/>
                <w:bCs/>
              </w:rPr>
              <w:t>Gain/(charge)</w:t>
            </w:r>
          </w:p>
        </w:tc>
      </w:tr>
      <w:tr w:rsidR="005A65ED" w:rsidRPr="009F0B76" w14:paraId="4C5A3E22" w14:textId="77777777" w:rsidTr="00F24C8A">
        <w:trPr>
          <w:trHeight w:val="254"/>
        </w:trPr>
        <w:tc>
          <w:tcPr>
            <w:tcW w:w="3091" w:type="pct"/>
            <w:vAlign w:val="bottom"/>
          </w:tcPr>
          <w:p w14:paraId="1528C3BA" w14:textId="77777777" w:rsidR="005A65ED" w:rsidRPr="00493601" w:rsidRDefault="005A65ED" w:rsidP="005A65ED">
            <w:pPr>
              <w:rPr>
                <w:rFonts w:ascii="Arial" w:hAnsi="Arial" w:cs="Arial"/>
              </w:rPr>
            </w:pPr>
            <w:r w:rsidRPr="00493601">
              <w:rPr>
                <w:rFonts w:ascii="Arial" w:hAnsi="Arial" w:cs="Arial"/>
                <w:color w:val="000000"/>
              </w:rPr>
              <w:t>Transformation exceptional costs</w:t>
            </w:r>
          </w:p>
        </w:tc>
        <w:tc>
          <w:tcPr>
            <w:tcW w:w="976" w:type="pct"/>
            <w:vAlign w:val="bottom"/>
          </w:tcPr>
          <w:p w14:paraId="57E97C2E" w14:textId="52B5AE8B" w:rsidR="005A65ED" w:rsidRPr="0035009E" w:rsidRDefault="005A65ED" w:rsidP="005A65ED">
            <w:pPr>
              <w:jc w:val="right"/>
              <w:rPr>
                <w:rFonts w:ascii="Arial" w:hAnsi="Arial" w:cs="Arial"/>
                <w:b/>
              </w:rPr>
            </w:pPr>
            <w:r w:rsidRPr="00493601">
              <w:rPr>
                <w:rFonts w:ascii="Arial" w:hAnsi="Arial" w:cs="Arial"/>
                <w:b/>
              </w:rPr>
              <w:t>(</w:t>
            </w:r>
            <w:r w:rsidR="00870606" w:rsidRPr="00493601">
              <w:rPr>
                <w:rFonts w:ascii="Arial" w:hAnsi="Arial" w:cs="Arial"/>
                <w:b/>
              </w:rPr>
              <w:t>58</w:t>
            </w:r>
            <w:r w:rsidRPr="00493601">
              <w:rPr>
                <w:rFonts w:ascii="Arial" w:hAnsi="Arial" w:cs="Arial"/>
                <w:b/>
              </w:rPr>
              <w:t>)</w:t>
            </w:r>
          </w:p>
        </w:tc>
        <w:tc>
          <w:tcPr>
            <w:tcW w:w="933" w:type="pct"/>
            <w:vAlign w:val="bottom"/>
          </w:tcPr>
          <w:p w14:paraId="334DD7BD" w14:textId="0EA2C1F0" w:rsidR="005A65ED" w:rsidRPr="00493601" w:rsidRDefault="005A65ED" w:rsidP="005A65ED">
            <w:pPr>
              <w:jc w:val="right"/>
              <w:rPr>
                <w:rFonts w:ascii="Arial" w:hAnsi="Arial" w:cs="Arial"/>
              </w:rPr>
            </w:pPr>
            <w:r w:rsidRPr="00493601">
              <w:rPr>
                <w:rFonts w:ascii="Arial" w:hAnsi="Arial" w:cs="Arial"/>
              </w:rPr>
              <w:t>(15)</w:t>
            </w:r>
          </w:p>
        </w:tc>
      </w:tr>
      <w:tr w:rsidR="005A65ED" w:rsidRPr="009F0B76" w14:paraId="3C440526" w14:textId="77777777" w:rsidTr="00F24C8A">
        <w:trPr>
          <w:trHeight w:val="254"/>
        </w:trPr>
        <w:tc>
          <w:tcPr>
            <w:tcW w:w="3091" w:type="pct"/>
            <w:vAlign w:val="bottom"/>
            <w:hideMark/>
          </w:tcPr>
          <w:p w14:paraId="3D0E7B57" w14:textId="1EF5EF6D" w:rsidR="005A65ED" w:rsidRPr="00493601" w:rsidRDefault="005A65ED" w:rsidP="005A65ED">
            <w:pPr>
              <w:rPr>
                <w:rFonts w:ascii="Arial" w:hAnsi="Arial" w:cs="Arial"/>
              </w:rPr>
            </w:pPr>
            <w:r w:rsidRPr="00493601">
              <w:rPr>
                <w:rFonts w:ascii="Arial" w:hAnsi="Arial" w:cs="Arial"/>
              </w:rPr>
              <w:t xml:space="preserve">UK &amp; Ireland and Europe </w:t>
            </w:r>
            <w:r w:rsidR="00870606" w:rsidRPr="00493601">
              <w:rPr>
                <w:rFonts w:ascii="Arial" w:hAnsi="Arial" w:cs="Arial"/>
              </w:rPr>
              <w:t>store closures</w:t>
            </w:r>
          </w:p>
        </w:tc>
        <w:tc>
          <w:tcPr>
            <w:tcW w:w="976" w:type="pct"/>
            <w:vAlign w:val="bottom"/>
            <w:hideMark/>
          </w:tcPr>
          <w:p w14:paraId="6F9E7C0A" w14:textId="301386DF" w:rsidR="005A65ED" w:rsidRPr="0035009E" w:rsidRDefault="007B29B8" w:rsidP="005A65ED">
            <w:pPr>
              <w:jc w:val="right"/>
              <w:rPr>
                <w:rFonts w:ascii="Arial" w:hAnsi="Arial" w:cs="Arial"/>
                <w:b/>
              </w:rPr>
            </w:pPr>
            <w:r w:rsidRPr="00493601">
              <w:rPr>
                <w:rFonts w:ascii="Arial" w:hAnsi="Arial" w:cs="Arial"/>
                <w:b/>
              </w:rPr>
              <w:t>(</w:t>
            </w:r>
            <w:r w:rsidR="00E616F1" w:rsidRPr="0035009E">
              <w:rPr>
                <w:rFonts w:ascii="Arial" w:hAnsi="Arial" w:cs="Arial"/>
                <w:b/>
              </w:rPr>
              <w:t>111</w:t>
            </w:r>
            <w:r w:rsidRPr="00493601">
              <w:rPr>
                <w:rFonts w:ascii="Arial" w:hAnsi="Arial" w:cs="Arial"/>
                <w:b/>
              </w:rPr>
              <w:t>)</w:t>
            </w:r>
          </w:p>
        </w:tc>
        <w:tc>
          <w:tcPr>
            <w:tcW w:w="933" w:type="pct"/>
            <w:vAlign w:val="bottom"/>
            <w:hideMark/>
          </w:tcPr>
          <w:p w14:paraId="2E0977C1" w14:textId="14F6D2C1" w:rsidR="005A65ED" w:rsidRPr="00493601" w:rsidRDefault="005A65ED" w:rsidP="005A65ED">
            <w:pPr>
              <w:jc w:val="right"/>
              <w:rPr>
                <w:rFonts w:ascii="Arial" w:hAnsi="Arial" w:cs="Arial"/>
              </w:rPr>
            </w:pPr>
            <w:r w:rsidRPr="00493601">
              <w:rPr>
                <w:rFonts w:ascii="Arial" w:hAnsi="Arial" w:cs="Arial"/>
              </w:rPr>
              <w:t>12</w:t>
            </w:r>
          </w:p>
        </w:tc>
      </w:tr>
      <w:tr w:rsidR="005A65ED" w:rsidRPr="009F0B76" w14:paraId="28893A8A" w14:textId="77777777" w:rsidTr="00F24C8A">
        <w:trPr>
          <w:trHeight w:val="254"/>
        </w:trPr>
        <w:tc>
          <w:tcPr>
            <w:tcW w:w="3091" w:type="pct"/>
            <w:vAlign w:val="bottom"/>
          </w:tcPr>
          <w:p w14:paraId="69746670" w14:textId="2129B588" w:rsidR="005A65ED" w:rsidRPr="00493601" w:rsidRDefault="00057857" w:rsidP="005A65ED">
            <w:pPr>
              <w:rPr>
                <w:rFonts w:ascii="Arial" w:hAnsi="Arial" w:cs="Arial"/>
              </w:rPr>
            </w:pPr>
            <w:r>
              <w:rPr>
                <w:rFonts w:ascii="Arial" w:hAnsi="Arial" w:cs="Arial"/>
              </w:rPr>
              <w:t>P</w:t>
            </w:r>
            <w:r w:rsidR="005A65ED" w:rsidRPr="00493601">
              <w:rPr>
                <w:rFonts w:ascii="Arial" w:hAnsi="Arial" w:cs="Arial"/>
              </w:rPr>
              <w:t>roperty disposals</w:t>
            </w:r>
          </w:p>
        </w:tc>
        <w:tc>
          <w:tcPr>
            <w:tcW w:w="976" w:type="pct"/>
            <w:vAlign w:val="bottom"/>
          </w:tcPr>
          <w:p w14:paraId="318AC343" w14:textId="2E5E3F4A" w:rsidR="005A65ED" w:rsidRPr="0035009E" w:rsidRDefault="00F64A4E" w:rsidP="005A65ED">
            <w:pPr>
              <w:jc w:val="right"/>
              <w:rPr>
                <w:rFonts w:ascii="Arial" w:hAnsi="Arial" w:cs="Arial"/>
                <w:b/>
              </w:rPr>
            </w:pPr>
            <w:r w:rsidRPr="00493601">
              <w:rPr>
                <w:rFonts w:ascii="Arial" w:hAnsi="Arial" w:cs="Arial"/>
                <w:b/>
              </w:rPr>
              <w:t>(28)</w:t>
            </w:r>
          </w:p>
        </w:tc>
        <w:tc>
          <w:tcPr>
            <w:tcW w:w="933" w:type="pct"/>
            <w:vAlign w:val="bottom"/>
          </w:tcPr>
          <w:p w14:paraId="33719C62" w14:textId="078B0B2C" w:rsidR="005A65ED" w:rsidRPr="00493601" w:rsidRDefault="005A65ED" w:rsidP="005A65ED">
            <w:pPr>
              <w:jc w:val="right"/>
              <w:rPr>
                <w:rFonts w:ascii="Arial" w:hAnsi="Arial" w:cs="Arial"/>
              </w:rPr>
            </w:pPr>
            <w:r w:rsidRPr="00493601">
              <w:rPr>
                <w:rFonts w:ascii="Arial" w:hAnsi="Arial" w:cs="Arial"/>
              </w:rPr>
              <w:t>1</w:t>
            </w:r>
          </w:p>
        </w:tc>
      </w:tr>
      <w:tr w:rsidR="004526E5" w:rsidRPr="009F0B76" w14:paraId="624EC01C" w14:textId="77777777" w:rsidTr="00F24C8A">
        <w:trPr>
          <w:trHeight w:val="254"/>
        </w:trPr>
        <w:tc>
          <w:tcPr>
            <w:tcW w:w="3091" w:type="pct"/>
            <w:vAlign w:val="bottom"/>
          </w:tcPr>
          <w:p w14:paraId="5DDC2BB7" w14:textId="43235AD2" w:rsidR="004526E5" w:rsidRPr="00493601" w:rsidRDefault="004526E5" w:rsidP="004526E5">
            <w:pPr>
              <w:rPr>
                <w:rFonts w:ascii="Arial" w:hAnsi="Arial" w:cs="Arial"/>
              </w:rPr>
            </w:pPr>
            <w:r w:rsidRPr="00493601">
              <w:rPr>
                <w:rFonts w:ascii="Arial" w:hAnsi="Arial" w:cs="Arial"/>
              </w:rPr>
              <w:t>Russia &amp; Iberia impairments</w:t>
            </w:r>
          </w:p>
        </w:tc>
        <w:tc>
          <w:tcPr>
            <w:tcW w:w="976" w:type="pct"/>
            <w:vAlign w:val="bottom"/>
          </w:tcPr>
          <w:p w14:paraId="6285FB59" w14:textId="3E6011FE" w:rsidR="004526E5" w:rsidRPr="0035009E" w:rsidRDefault="004526E5" w:rsidP="004526E5">
            <w:pPr>
              <w:jc w:val="right"/>
              <w:rPr>
                <w:rFonts w:ascii="Arial" w:hAnsi="Arial" w:cs="Arial"/>
                <w:b/>
              </w:rPr>
            </w:pPr>
            <w:r w:rsidRPr="00493601">
              <w:rPr>
                <w:rFonts w:ascii="Arial" w:hAnsi="Arial" w:cs="Arial"/>
                <w:b/>
              </w:rPr>
              <w:t>(16)</w:t>
            </w:r>
          </w:p>
        </w:tc>
        <w:tc>
          <w:tcPr>
            <w:tcW w:w="933" w:type="pct"/>
            <w:vAlign w:val="bottom"/>
          </w:tcPr>
          <w:p w14:paraId="49086670" w14:textId="069EFFBD" w:rsidR="004526E5" w:rsidRPr="00493601" w:rsidRDefault="004526E5" w:rsidP="004526E5">
            <w:pPr>
              <w:jc w:val="right"/>
              <w:rPr>
                <w:rFonts w:ascii="Arial" w:hAnsi="Arial" w:cs="Arial"/>
              </w:rPr>
            </w:pPr>
            <w:r w:rsidRPr="00493601">
              <w:rPr>
                <w:rFonts w:ascii="Arial" w:hAnsi="Arial" w:cs="Arial"/>
              </w:rPr>
              <w:t>-</w:t>
            </w:r>
          </w:p>
        </w:tc>
      </w:tr>
      <w:tr w:rsidR="009919C6" w:rsidRPr="009F0B76" w14:paraId="29235A4C" w14:textId="77777777" w:rsidTr="00F24C8A">
        <w:trPr>
          <w:trHeight w:val="254"/>
        </w:trPr>
        <w:tc>
          <w:tcPr>
            <w:tcW w:w="3091" w:type="pct"/>
            <w:vAlign w:val="bottom"/>
          </w:tcPr>
          <w:p w14:paraId="5D99F87A" w14:textId="23C62449" w:rsidR="009919C6" w:rsidRPr="00493601" w:rsidRDefault="004526E5" w:rsidP="005A65ED">
            <w:pPr>
              <w:rPr>
                <w:rFonts w:ascii="Arial" w:hAnsi="Arial" w:cs="Arial"/>
              </w:rPr>
            </w:pPr>
            <w:r w:rsidRPr="00493601">
              <w:rPr>
                <w:rFonts w:ascii="Arial" w:hAnsi="Arial" w:cs="Arial"/>
              </w:rPr>
              <w:t xml:space="preserve">Romania </w:t>
            </w:r>
            <w:r w:rsidR="00BA6D3D" w:rsidRPr="00493601">
              <w:rPr>
                <w:rFonts w:ascii="Arial" w:hAnsi="Arial" w:cs="Arial"/>
              </w:rPr>
              <w:t xml:space="preserve">acquisition </w:t>
            </w:r>
            <w:r w:rsidR="009919C6" w:rsidRPr="00493601">
              <w:rPr>
                <w:rFonts w:ascii="Arial" w:hAnsi="Arial" w:cs="Arial"/>
              </w:rPr>
              <w:t>integration</w:t>
            </w:r>
          </w:p>
        </w:tc>
        <w:tc>
          <w:tcPr>
            <w:tcW w:w="976" w:type="pct"/>
            <w:vAlign w:val="bottom"/>
          </w:tcPr>
          <w:p w14:paraId="76DE5834" w14:textId="07F63EC0" w:rsidR="009919C6" w:rsidRPr="0035009E" w:rsidRDefault="009919C6" w:rsidP="005A65ED">
            <w:pPr>
              <w:jc w:val="right"/>
              <w:rPr>
                <w:rFonts w:ascii="Arial" w:hAnsi="Arial" w:cs="Arial"/>
                <w:b/>
              </w:rPr>
            </w:pPr>
            <w:r w:rsidRPr="00493601">
              <w:rPr>
                <w:rFonts w:ascii="Arial" w:hAnsi="Arial" w:cs="Arial"/>
                <w:b/>
              </w:rPr>
              <w:t>(15)</w:t>
            </w:r>
          </w:p>
        </w:tc>
        <w:tc>
          <w:tcPr>
            <w:tcW w:w="933" w:type="pct"/>
            <w:vAlign w:val="bottom"/>
          </w:tcPr>
          <w:p w14:paraId="4AEAB4B5" w14:textId="7829E583" w:rsidR="009919C6" w:rsidRPr="00493601" w:rsidRDefault="000254CF" w:rsidP="005A65ED">
            <w:pPr>
              <w:jc w:val="right"/>
              <w:rPr>
                <w:rFonts w:ascii="Arial" w:hAnsi="Arial" w:cs="Arial"/>
              </w:rPr>
            </w:pPr>
            <w:r w:rsidRPr="00493601">
              <w:rPr>
                <w:rFonts w:ascii="Arial" w:hAnsi="Arial" w:cs="Arial"/>
              </w:rPr>
              <w:t>2</w:t>
            </w:r>
          </w:p>
        </w:tc>
      </w:tr>
      <w:tr w:rsidR="009919C6" w:rsidRPr="009F0B76" w14:paraId="383F1302" w14:textId="77777777" w:rsidTr="00F24C8A">
        <w:trPr>
          <w:trHeight w:val="254"/>
        </w:trPr>
        <w:tc>
          <w:tcPr>
            <w:tcW w:w="3091" w:type="pct"/>
            <w:vAlign w:val="bottom"/>
          </w:tcPr>
          <w:p w14:paraId="4CF679DC" w14:textId="409ABB2C" w:rsidR="009919C6" w:rsidRPr="00493601" w:rsidRDefault="00BA6D3D" w:rsidP="005A65ED">
            <w:pPr>
              <w:rPr>
                <w:rFonts w:ascii="Arial" w:hAnsi="Arial" w:cs="Arial"/>
              </w:rPr>
            </w:pPr>
            <w:r w:rsidRPr="00493601">
              <w:rPr>
                <w:rFonts w:ascii="Arial" w:hAnsi="Arial" w:cs="Arial"/>
              </w:rPr>
              <w:t>B&amp;Q store replenishment</w:t>
            </w:r>
            <w:r w:rsidR="0031635A" w:rsidRPr="00493601">
              <w:rPr>
                <w:rFonts w:ascii="Arial" w:hAnsi="Arial" w:cs="Arial"/>
              </w:rPr>
              <w:t xml:space="preserve"> restructuring</w:t>
            </w:r>
          </w:p>
        </w:tc>
        <w:tc>
          <w:tcPr>
            <w:tcW w:w="976" w:type="pct"/>
            <w:vAlign w:val="bottom"/>
          </w:tcPr>
          <w:p w14:paraId="26ADBE85" w14:textId="53A02AEC" w:rsidR="009919C6" w:rsidRPr="00F12F4E" w:rsidRDefault="009919C6" w:rsidP="005A65ED">
            <w:pPr>
              <w:jc w:val="right"/>
              <w:rPr>
                <w:rFonts w:ascii="Arial" w:hAnsi="Arial" w:cs="Arial"/>
                <w:b/>
              </w:rPr>
            </w:pPr>
            <w:r w:rsidRPr="00F12F4E">
              <w:rPr>
                <w:rFonts w:ascii="Arial" w:hAnsi="Arial" w:cs="Arial"/>
                <w:b/>
              </w:rPr>
              <w:t>(12)</w:t>
            </w:r>
          </w:p>
        </w:tc>
        <w:tc>
          <w:tcPr>
            <w:tcW w:w="933" w:type="pct"/>
            <w:vAlign w:val="bottom"/>
          </w:tcPr>
          <w:p w14:paraId="7272C6BC" w14:textId="52DA7930" w:rsidR="009919C6" w:rsidRPr="00493601" w:rsidRDefault="00A15785" w:rsidP="005A65ED">
            <w:pPr>
              <w:jc w:val="right"/>
              <w:rPr>
                <w:rFonts w:ascii="Arial" w:hAnsi="Arial" w:cs="Arial"/>
              </w:rPr>
            </w:pPr>
            <w:r>
              <w:rPr>
                <w:rFonts w:ascii="Arial" w:hAnsi="Arial" w:cs="Arial"/>
              </w:rPr>
              <w:t>-</w:t>
            </w:r>
          </w:p>
        </w:tc>
      </w:tr>
      <w:tr w:rsidR="009919C6" w:rsidRPr="009F0B76" w14:paraId="19D3F6AE" w14:textId="77777777" w:rsidTr="00F24C8A">
        <w:trPr>
          <w:trHeight w:val="254"/>
        </w:trPr>
        <w:tc>
          <w:tcPr>
            <w:tcW w:w="3091" w:type="pct"/>
            <w:vAlign w:val="bottom"/>
          </w:tcPr>
          <w:p w14:paraId="53CA6215" w14:textId="54B00A68" w:rsidR="009919C6" w:rsidRPr="00493601" w:rsidRDefault="009919C6" w:rsidP="005A65ED">
            <w:pPr>
              <w:rPr>
                <w:rFonts w:ascii="Arial" w:hAnsi="Arial" w:cs="Arial"/>
              </w:rPr>
            </w:pPr>
            <w:r w:rsidRPr="00493601">
              <w:rPr>
                <w:rFonts w:ascii="Arial" w:hAnsi="Arial" w:cs="Arial"/>
              </w:rPr>
              <w:t>Other</w:t>
            </w:r>
          </w:p>
        </w:tc>
        <w:tc>
          <w:tcPr>
            <w:tcW w:w="976" w:type="pct"/>
            <w:vAlign w:val="bottom"/>
          </w:tcPr>
          <w:p w14:paraId="1621A409" w14:textId="4F46DF8B" w:rsidR="009919C6" w:rsidRPr="0035009E" w:rsidRDefault="009919C6" w:rsidP="005A65ED">
            <w:pPr>
              <w:jc w:val="right"/>
              <w:rPr>
                <w:rFonts w:ascii="Arial" w:hAnsi="Arial" w:cs="Arial"/>
                <w:b/>
              </w:rPr>
            </w:pPr>
            <w:r w:rsidRPr="00493601">
              <w:rPr>
                <w:rFonts w:ascii="Arial" w:hAnsi="Arial" w:cs="Arial"/>
                <w:b/>
              </w:rPr>
              <w:t>(1</w:t>
            </w:r>
            <w:r w:rsidR="006713F6" w:rsidRPr="00493601">
              <w:rPr>
                <w:rFonts w:ascii="Arial" w:hAnsi="Arial" w:cs="Arial"/>
                <w:b/>
              </w:rPr>
              <w:t>1</w:t>
            </w:r>
            <w:r w:rsidRPr="00493601">
              <w:rPr>
                <w:rFonts w:ascii="Arial" w:hAnsi="Arial" w:cs="Arial"/>
                <w:b/>
              </w:rPr>
              <w:t>)</w:t>
            </w:r>
          </w:p>
        </w:tc>
        <w:tc>
          <w:tcPr>
            <w:tcW w:w="933" w:type="pct"/>
            <w:vAlign w:val="bottom"/>
          </w:tcPr>
          <w:p w14:paraId="239EB008" w14:textId="7A56BDE2" w:rsidR="009919C6" w:rsidRPr="00493601" w:rsidRDefault="000254CF" w:rsidP="005A65ED">
            <w:pPr>
              <w:jc w:val="right"/>
              <w:rPr>
                <w:rFonts w:ascii="Arial" w:hAnsi="Arial" w:cs="Arial"/>
              </w:rPr>
            </w:pPr>
            <w:r w:rsidRPr="00493601">
              <w:rPr>
                <w:rFonts w:ascii="Arial" w:hAnsi="Arial" w:cs="Arial"/>
              </w:rPr>
              <w:t>-</w:t>
            </w:r>
          </w:p>
        </w:tc>
      </w:tr>
      <w:tr w:rsidR="005A65ED" w:rsidRPr="009F0B76" w14:paraId="2E329C0B" w14:textId="77777777" w:rsidTr="00F24C8A">
        <w:trPr>
          <w:trHeight w:val="254"/>
        </w:trPr>
        <w:tc>
          <w:tcPr>
            <w:tcW w:w="3091" w:type="pct"/>
            <w:tcBorders>
              <w:top w:val="single" w:sz="4" w:space="0" w:color="auto"/>
              <w:left w:val="nil"/>
              <w:bottom w:val="nil"/>
              <w:right w:val="nil"/>
            </w:tcBorders>
            <w:vAlign w:val="bottom"/>
            <w:hideMark/>
          </w:tcPr>
          <w:p w14:paraId="339778EE" w14:textId="77777777" w:rsidR="005A65ED" w:rsidRPr="00493601" w:rsidRDefault="005A65ED" w:rsidP="005A65ED">
            <w:pPr>
              <w:rPr>
                <w:rFonts w:ascii="Arial" w:hAnsi="Arial" w:cs="Arial"/>
              </w:rPr>
            </w:pPr>
            <w:r w:rsidRPr="00493601">
              <w:rPr>
                <w:rFonts w:ascii="Arial" w:hAnsi="Arial" w:cs="Arial"/>
                <w:b/>
              </w:rPr>
              <w:t>Exceptional items before tax</w:t>
            </w:r>
          </w:p>
        </w:tc>
        <w:tc>
          <w:tcPr>
            <w:tcW w:w="976" w:type="pct"/>
            <w:tcBorders>
              <w:top w:val="single" w:sz="4" w:space="0" w:color="auto"/>
              <w:left w:val="nil"/>
              <w:bottom w:val="nil"/>
              <w:right w:val="nil"/>
            </w:tcBorders>
            <w:vAlign w:val="bottom"/>
            <w:hideMark/>
          </w:tcPr>
          <w:p w14:paraId="55071029" w14:textId="0B5785D8" w:rsidR="005A65ED" w:rsidRPr="00493601" w:rsidRDefault="00E616F1" w:rsidP="005A65ED">
            <w:pPr>
              <w:jc w:val="right"/>
              <w:rPr>
                <w:rFonts w:ascii="Arial" w:hAnsi="Arial" w:cs="Arial"/>
                <w:b/>
              </w:rPr>
            </w:pPr>
            <w:r w:rsidRPr="0035009E">
              <w:rPr>
                <w:rFonts w:ascii="Arial" w:hAnsi="Arial" w:cs="Arial"/>
                <w:b/>
              </w:rPr>
              <w:t>(</w:t>
            </w:r>
            <w:r w:rsidR="0004143E" w:rsidRPr="00493601">
              <w:rPr>
                <w:rFonts w:ascii="Arial" w:hAnsi="Arial" w:cs="Arial"/>
                <w:b/>
              </w:rPr>
              <w:t>2</w:t>
            </w:r>
            <w:r w:rsidRPr="0035009E">
              <w:rPr>
                <w:rFonts w:ascii="Arial" w:hAnsi="Arial" w:cs="Arial"/>
                <w:b/>
              </w:rPr>
              <w:t>51)</w:t>
            </w:r>
          </w:p>
        </w:tc>
        <w:tc>
          <w:tcPr>
            <w:tcW w:w="933" w:type="pct"/>
            <w:tcBorders>
              <w:top w:val="single" w:sz="4" w:space="0" w:color="auto"/>
              <w:left w:val="nil"/>
              <w:bottom w:val="nil"/>
              <w:right w:val="nil"/>
            </w:tcBorders>
            <w:vAlign w:val="bottom"/>
            <w:hideMark/>
          </w:tcPr>
          <w:p w14:paraId="0B03DC99" w14:textId="7C384FED" w:rsidR="005A65ED" w:rsidRPr="00F12F4E" w:rsidRDefault="005A65ED" w:rsidP="005A65ED">
            <w:pPr>
              <w:jc w:val="right"/>
              <w:rPr>
                <w:rFonts w:ascii="Arial" w:hAnsi="Arial" w:cs="Arial"/>
              </w:rPr>
            </w:pPr>
            <w:r w:rsidRPr="00F12F4E">
              <w:rPr>
                <w:rFonts w:ascii="Arial" w:hAnsi="Arial" w:cs="Arial"/>
              </w:rPr>
              <w:t>-</w:t>
            </w:r>
          </w:p>
        </w:tc>
      </w:tr>
      <w:tr w:rsidR="005A65ED" w:rsidRPr="009F0B76" w14:paraId="6D62C2BE" w14:textId="77777777" w:rsidTr="00F24C8A">
        <w:trPr>
          <w:trHeight w:val="308"/>
        </w:trPr>
        <w:tc>
          <w:tcPr>
            <w:tcW w:w="3091" w:type="pct"/>
            <w:vAlign w:val="bottom"/>
            <w:hideMark/>
          </w:tcPr>
          <w:p w14:paraId="66993041" w14:textId="77777777" w:rsidR="005A65ED" w:rsidRPr="00493601" w:rsidRDefault="005A65ED" w:rsidP="005A65ED">
            <w:pPr>
              <w:jc w:val="left"/>
              <w:rPr>
                <w:rFonts w:ascii="Arial" w:hAnsi="Arial" w:cs="Arial"/>
                <w:b/>
              </w:rPr>
            </w:pPr>
            <w:r w:rsidRPr="00493601">
              <w:rPr>
                <w:rFonts w:ascii="Arial" w:hAnsi="Arial" w:cs="Arial"/>
              </w:rPr>
              <w:t xml:space="preserve">Exceptional tax items </w:t>
            </w:r>
          </w:p>
        </w:tc>
        <w:tc>
          <w:tcPr>
            <w:tcW w:w="976" w:type="pct"/>
            <w:vAlign w:val="bottom"/>
            <w:hideMark/>
          </w:tcPr>
          <w:p w14:paraId="1DDD1AC9" w14:textId="6BE4A53D" w:rsidR="005A65ED" w:rsidRPr="00493601" w:rsidRDefault="00E616F1" w:rsidP="005A65ED">
            <w:pPr>
              <w:jc w:val="right"/>
              <w:rPr>
                <w:rFonts w:ascii="Arial" w:hAnsi="Arial" w:cs="Arial"/>
                <w:b/>
              </w:rPr>
            </w:pPr>
            <w:r w:rsidRPr="0035009E">
              <w:rPr>
                <w:rFonts w:ascii="Arial" w:hAnsi="Arial" w:cs="Arial"/>
                <w:b/>
              </w:rPr>
              <w:t>61</w:t>
            </w:r>
          </w:p>
        </w:tc>
        <w:tc>
          <w:tcPr>
            <w:tcW w:w="933" w:type="pct"/>
            <w:vAlign w:val="bottom"/>
            <w:hideMark/>
          </w:tcPr>
          <w:p w14:paraId="46595D72" w14:textId="175F391A" w:rsidR="005A65ED" w:rsidRPr="00F12F4E" w:rsidRDefault="005A65ED" w:rsidP="005A65ED">
            <w:pPr>
              <w:jc w:val="right"/>
              <w:rPr>
                <w:rFonts w:ascii="Arial" w:hAnsi="Arial" w:cs="Arial"/>
              </w:rPr>
            </w:pPr>
            <w:r w:rsidRPr="00F12F4E">
              <w:rPr>
                <w:rFonts w:ascii="Arial" w:hAnsi="Arial" w:cs="Arial"/>
              </w:rPr>
              <w:t>-</w:t>
            </w:r>
          </w:p>
        </w:tc>
      </w:tr>
      <w:tr w:rsidR="005A65ED" w:rsidRPr="00A845B7" w14:paraId="633189B4" w14:textId="77777777" w:rsidTr="00F24C8A">
        <w:trPr>
          <w:trHeight w:val="308"/>
        </w:trPr>
        <w:tc>
          <w:tcPr>
            <w:tcW w:w="3091" w:type="pct"/>
            <w:tcBorders>
              <w:top w:val="single" w:sz="4" w:space="0" w:color="auto"/>
              <w:left w:val="nil"/>
              <w:bottom w:val="single" w:sz="4" w:space="0" w:color="auto"/>
              <w:right w:val="nil"/>
            </w:tcBorders>
            <w:vAlign w:val="bottom"/>
            <w:hideMark/>
          </w:tcPr>
          <w:p w14:paraId="00D5D52F" w14:textId="77777777" w:rsidR="005A65ED" w:rsidRPr="00493601" w:rsidRDefault="005A65ED" w:rsidP="005A65ED">
            <w:pPr>
              <w:jc w:val="left"/>
              <w:rPr>
                <w:rFonts w:ascii="Arial" w:hAnsi="Arial" w:cs="Arial"/>
              </w:rPr>
            </w:pPr>
            <w:r w:rsidRPr="00493601">
              <w:rPr>
                <w:rFonts w:ascii="Arial" w:hAnsi="Arial" w:cs="Arial"/>
                <w:b/>
              </w:rPr>
              <w:t>Net exceptional items</w:t>
            </w:r>
          </w:p>
        </w:tc>
        <w:tc>
          <w:tcPr>
            <w:tcW w:w="976" w:type="pct"/>
            <w:tcBorders>
              <w:top w:val="single" w:sz="4" w:space="0" w:color="auto"/>
              <w:left w:val="nil"/>
              <w:bottom w:val="single" w:sz="4" w:space="0" w:color="auto"/>
              <w:right w:val="nil"/>
            </w:tcBorders>
            <w:vAlign w:val="bottom"/>
            <w:hideMark/>
          </w:tcPr>
          <w:p w14:paraId="26601DC1" w14:textId="57594A9F" w:rsidR="005A65ED" w:rsidRPr="00493601" w:rsidRDefault="009919C6" w:rsidP="005A65ED">
            <w:pPr>
              <w:jc w:val="right"/>
              <w:rPr>
                <w:rFonts w:ascii="Arial" w:hAnsi="Arial" w:cs="Arial"/>
                <w:b/>
              </w:rPr>
            </w:pPr>
            <w:r w:rsidRPr="00493601">
              <w:rPr>
                <w:rFonts w:ascii="Arial" w:hAnsi="Arial" w:cs="Arial"/>
                <w:b/>
              </w:rPr>
              <w:t>(1</w:t>
            </w:r>
            <w:r w:rsidR="00E616F1" w:rsidRPr="0035009E">
              <w:rPr>
                <w:rFonts w:ascii="Arial" w:hAnsi="Arial" w:cs="Arial"/>
                <w:b/>
              </w:rPr>
              <w:t>90</w:t>
            </w:r>
            <w:r w:rsidRPr="00493601">
              <w:rPr>
                <w:rFonts w:ascii="Arial" w:hAnsi="Arial" w:cs="Arial"/>
                <w:b/>
              </w:rPr>
              <w:t>)</w:t>
            </w:r>
          </w:p>
        </w:tc>
        <w:tc>
          <w:tcPr>
            <w:tcW w:w="933" w:type="pct"/>
            <w:tcBorders>
              <w:top w:val="single" w:sz="4" w:space="0" w:color="auto"/>
              <w:left w:val="nil"/>
              <w:bottom w:val="single" w:sz="4" w:space="0" w:color="auto"/>
              <w:right w:val="nil"/>
            </w:tcBorders>
            <w:vAlign w:val="bottom"/>
            <w:hideMark/>
          </w:tcPr>
          <w:p w14:paraId="50623900" w14:textId="3B1E539E" w:rsidR="005A65ED" w:rsidRPr="00F12F4E" w:rsidRDefault="005A65ED" w:rsidP="005A65ED">
            <w:pPr>
              <w:jc w:val="right"/>
              <w:rPr>
                <w:rFonts w:ascii="Arial" w:hAnsi="Arial" w:cs="Arial"/>
              </w:rPr>
            </w:pPr>
            <w:r w:rsidRPr="00F12F4E">
              <w:rPr>
                <w:rFonts w:ascii="Arial" w:hAnsi="Arial" w:cs="Arial"/>
              </w:rPr>
              <w:t>-</w:t>
            </w:r>
          </w:p>
        </w:tc>
      </w:tr>
    </w:tbl>
    <w:p w14:paraId="11C5891C" w14:textId="77777777" w:rsidR="00997637" w:rsidRDefault="00997637" w:rsidP="00997637">
      <w:pPr>
        <w:spacing w:after="200"/>
        <w:contextualSpacing/>
        <w:jc w:val="left"/>
        <w:rPr>
          <w:rFonts w:ascii="Arial" w:hAnsi="Arial" w:cs="Arial"/>
          <w:sz w:val="24"/>
          <w:szCs w:val="24"/>
        </w:rPr>
      </w:pPr>
    </w:p>
    <w:p w14:paraId="3F47B4EC" w14:textId="35A6DD88" w:rsidR="00AD3201" w:rsidRPr="004261E7" w:rsidRDefault="00C01327" w:rsidP="00997637">
      <w:pPr>
        <w:spacing w:after="200"/>
        <w:contextualSpacing/>
        <w:jc w:val="left"/>
        <w:rPr>
          <w:rFonts w:ascii="Arial" w:hAnsi="Arial" w:cs="Arial"/>
        </w:rPr>
      </w:pPr>
      <w:bookmarkStart w:id="34" w:name="_Hlk509321343"/>
      <w:bookmarkStart w:id="35" w:name="_Hlk507508664"/>
      <w:bookmarkStart w:id="36" w:name="_Hlk507507390"/>
      <w:r w:rsidRPr="00230388">
        <w:rPr>
          <w:rFonts w:ascii="Arial" w:hAnsi="Arial" w:cs="Arial"/>
        </w:rPr>
        <w:t>Transformation exceptional costs of £</w:t>
      </w:r>
      <w:r w:rsidR="00C44705" w:rsidRPr="00230388">
        <w:rPr>
          <w:rFonts w:ascii="Arial" w:hAnsi="Arial" w:cs="Arial"/>
        </w:rPr>
        <w:t>58</w:t>
      </w:r>
      <w:r w:rsidR="00487E65">
        <w:rPr>
          <w:rFonts w:ascii="Arial" w:hAnsi="Arial" w:cs="Arial"/>
        </w:rPr>
        <w:t xml:space="preserve"> </w:t>
      </w:r>
      <w:r w:rsidR="00C44705" w:rsidRPr="004261E7">
        <w:rPr>
          <w:rFonts w:ascii="Arial" w:hAnsi="Arial" w:cs="Arial"/>
        </w:rPr>
        <w:t>m</w:t>
      </w:r>
      <w:r w:rsidR="00487E65">
        <w:rPr>
          <w:rFonts w:ascii="Arial" w:hAnsi="Arial" w:cs="Arial"/>
        </w:rPr>
        <w:t>illion</w:t>
      </w:r>
      <w:r w:rsidR="00C44705" w:rsidRPr="004261E7">
        <w:rPr>
          <w:rFonts w:ascii="Arial" w:hAnsi="Arial" w:cs="Arial"/>
        </w:rPr>
        <w:t xml:space="preserve"> </w:t>
      </w:r>
      <w:r w:rsidR="007E5564" w:rsidRPr="004261E7">
        <w:rPr>
          <w:rFonts w:ascii="Arial" w:hAnsi="Arial" w:cs="Arial"/>
        </w:rPr>
        <w:t>were</w:t>
      </w:r>
      <w:r w:rsidRPr="004261E7">
        <w:rPr>
          <w:rFonts w:ascii="Arial" w:hAnsi="Arial" w:cs="Arial"/>
        </w:rPr>
        <w:t xml:space="preserve"> driven by people changes associated with restructuring in </w:t>
      </w:r>
      <w:r w:rsidR="00082D54" w:rsidRPr="004261E7">
        <w:rPr>
          <w:rFonts w:ascii="Arial" w:hAnsi="Arial" w:cs="Arial"/>
        </w:rPr>
        <w:t xml:space="preserve">France and </w:t>
      </w:r>
      <w:r w:rsidRPr="004261E7">
        <w:rPr>
          <w:rFonts w:ascii="Arial" w:hAnsi="Arial" w:cs="Arial"/>
        </w:rPr>
        <w:t xml:space="preserve">the UK. </w:t>
      </w:r>
      <w:r w:rsidR="00082D54" w:rsidRPr="004261E7">
        <w:rPr>
          <w:rFonts w:ascii="Arial" w:hAnsi="Arial" w:cs="Arial"/>
        </w:rPr>
        <w:t xml:space="preserve">People related changes </w:t>
      </w:r>
      <w:r w:rsidRPr="004261E7">
        <w:rPr>
          <w:rFonts w:ascii="Arial" w:hAnsi="Arial" w:cs="Arial"/>
        </w:rPr>
        <w:t>include the move of transactional processing activity to a shared service centre in Poland.</w:t>
      </w:r>
    </w:p>
    <w:p w14:paraId="68662BFE" w14:textId="7F0F6D9A" w:rsidR="001B1000" w:rsidRPr="0035009E" w:rsidRDefault="001B1000" w:rsidP="00997637">
      <w:pPr>
        <w:spacing w:after="200"/>
        <w:contextualSpacing/>
        <w:jc w:val="left"/>
        <w:rPr>
          <w:rFonts w:ascii="Arial" w:hAnsi="Arial" w:cs="Arial"/>
          <w:highlight w:val="yellow"/>
        </w:rPr>
      </w:pPr>
    </w:p>
    <w:p w14:paraId="20D30432" w14:textId="5825DF8C" w:rsidR="006F4271" w:rsidRDefault="004261E7" w:rsidP="00A730E5">
      <w:pPr>
        <w:spacing w:after="200"/>
        <w:contextualSpacing/>
        <w:jc w:val="left"/>
        <w:rPr>
          <w:rFonts w:ascii="Arial" w:hAnsi="Arial" w:cs="Arial"/>
        </w:rPr>
      </w:pPr>
      <w:r w:rsidRPr="0035009E">
        <w:rPr>
          <w:rFonts w:ascii="Arial" w:hAnsi="Arial" w:cs="Arial"/>
        </w:rPr>
        <w:t>We have recognised a £111 million charge principally relating to impairments</w:t>
      </w:r>
      <w:r w:rsidRPr="00493601">
        <w:rPr>
          <w:rFonts w:ascii="Arial" w:hAnsi="Arial" w:cs="Arial"/>
        </w:rPr>
        <w:t xml:space="preserve"> for underperforming stores</w:t>
      </w:r>
      <w:r w:rsidRPr="0035009E">
        <w:rPr>
          <w:rFonts w:ascii="Arial" w:hAnsi="Arial" w:cs="Arial"/>
        </w:rPr>
        <w:t xml:space="preserve">. This includes </w:t>
      </w:r>
      <w:r w:rsidR="00250413" w:rsidRPr="0035009E">
        <w:rPr>
          <w:rFonts w:ascii="Arial" w:hAnsi="Arial" w:cs="Arial"/>
        </w:rPr>
        <w:t>1</w:t>
      </w:r>
      <w:r w:rsidRPr="0035009E">
        <w:rPr>
          <w:rFonts w:ascii="Arial" w:hAnsi="Arial" w:cs="Arial"/>
        </w:rPr>
        <w:t>5 store</w:t>
      </w:r>
      <w:r w:rsidRPr="00493601">
        <w:rPr>
          <w:rFonts w:ascii="Arial" w:hAnsi="Arial" w:cs="Arial"/>
        </w:rPr>
        <w:t>s</w:t>
      </w:r>
      <w:r w:rsidRPr="0035009E">
        <w:rPr>
          <w:rFonts w:ascii="Arial" w:hAnsi="Arial" w:cs="Arial"/>
        </w:rPr>
        <w:t xml:space="preserve"> across </w:t>
      </w:r>
      <w:r w:rsidR="00054408">
        <w:rPr>
          <w:rFonts w:ascii="Arial" w:hAnsi="Arial" w:cs="Arial"/>
        </w:rPr>
        <w:t>the</w:t>
      </w:r>
      <w:r w:rsidR="00054408" w:rsidRPr="0035009E">
        <w:rPr>
          <w:rFonts w:ascii="Arial" w:hAnsi="Arial" w:cs="Arial"/>
        </w:rPr>
        <w:t xml:space="preserve"> </w:t>
      </w:r>
      <w:r w:rsidRPr="0035009E">
        <w:rPr>
          <w:rFonts w:ascii="Arial" w:hAnsi="Arial" w:cs="Arial"/>
        </w:rPr>
        <w:t>business</w:t>
      </w:r>
      <w:r w:rsidR="00CF594F">
        <w:rPr>
          <w:rFonts w:ascii="Arial" w:hAnsi="Arial" w:cs="Arial"/>
        </w:rPr>
        <w:t xml:space="preserve"> that we are considering closing in the next two years</w:t>
      </w:r>
      <w:r w:rsidRPr="00493601">
        <w:rPr>
          <w:rFonts w:ascii="Arial" w:hAnsi="Arial" w:cs="Arial"/>
        </w:rPr>
        <w:t xml:space="preserve"> </w:t>
      </w:r>
      <w:r w:rsidRPr="0035009E">
        <w:rPr>
          <w:rFonts w:ascii="Arial" w:hAnsi="Arial" w:cs="Arial"/>
        </w:rPr>
        <w:t>and 19 Screwfix Germany outlets.</w:t>
      </w:r>
      <w:r w:rsidR="00D871C5" w:rsidRPr="00493601">
        <w:rPr>
          <w:rFonts w:ascii="Arial" w:hAnsi="Arial" w:cs="Arial"/>
        </w:rPr>
        <w:t xml:space="preserve"> The stores are a combination of owned and leased properties and </w:t>
      </w:r>
      <w:bookmarkEnd w:id="34"/>
      <w:bookmarkEnd w:id="35"/>
      <w:bookmarkEnd w:id="36"/>
      <w:r w:rsidR="00D871C5" w:rsidRPr="00493601">
        <w:rPr>
          <w:rFonts w:ascii="Arial" w:hAnsi="Arial" w:cs="Arial"/>
        </w:rPr>
        <w:t>w</w:t>
      </w:r>
      <w:r w:rsidR="00E26D63" w:rsidRPr="00493601">
        <w:rPr>
          <w:rFonts w:ascii="Arial" w:hAnsi="Arial" w:cs="Arial"/>
        </w:rPr>
        <w:t xml:space="preserve">e expect to cover the cash </w:t>
      </w:r>
      <w:r w:rsidRPr="0035009E">
        <w:rPr>
          <w:rFonts w:ascii="Arial" w:hAnsi="Arial" w:cs="Arial"/>
        </w:rPr>
        <w:t xml:space="preserve">costs </w:t>
      </w:r>
      <w:r w:rsidR="00E26D63" w:rsidRPr="00493601">
        <w:rPr>
          <w:rFonts w:ascii="Arial" w:hAnsi="Arial" w:cs="Arial"/>
        </w:rPr>
        <w:t xml:space="preserve">with </w:t>
      </w:r>
      <w:r w:rsidR="00D871C5" w:rsidRPr="00493601">
        <w:rPr>
          <w:rFonts w:ascii="Arial" w:hAnsi="Arial" w:cs="Arial"/>
        </w:rPr>
        <w:t xml:space="preserve">sale </w:t>
      </w:r>
      <w:r w:rsidR="00E26D63" w:rsidRPr="00493601">
        <w:rPr>
          <w:rFonts w:ascii="Arial" w:hAnsi="Arial" w:cs="Arial"/>
        </w:rPr>
        <w:t>proceeds.</w:t>
      </w:r>
    </w:p>
    <w:p w14:paraId="5A7AE224" w14:textId="1CC5AD8F" w:rsidR="004526E5" w:rsidRDefault="004526E5" w:rsidP="00A730E5">
      <w:pPr>
        <w:spacing w:after="200"/>
        <w:contextualSpacing/>
        <w:jc w:val="left"/>
        <w:rPr>
          <w:rFonts w:ascii="Arial" w:hAnsi="Arial" w:cs="Arial"/>
        </w:rPr>
      </w:pPr>
    </w:p>
    <w:p w14:paraId="0D60456A" w14:textId="5A4A5059" w:rsidR="004526E5" w:rsidRDefault="007C2404" w:rsidP="00A730E5">
      <w:pPr>
        <w:spacing w:after="200"/>
        <w:contextualSpacing/>
        <w:jc w:val="left"/>
        <w:rPr>
          <w:rFonts w:ascii="Arial" w:hAnsi="Arial" w:cs="Arial"/>
        </w:rPr>
      </w:pPr>
      <w:r w:rsidRPr="00230388">
        <w:rPr>
          <w:rFonts w:ascii="Arial" w:hAnsi="Arial" w:cs="Arial"/>
        </w:rPr>
        <w:t>A net charge of £28 million has been recorded relating to property disposals</w:t>
      </w:r>
      <w:r w:rsidR="0031635A" w:rsidRPr="004261E7">
        <w:rPr>
          <w:rFonts w:ascii="Arial" w:hAnsi="Arial" w:cs="Arial"/>
        </w:rPr>
        <w:t>. This</w:t>
      </w:r>
      <w:r w:rsidRPr="004261E7">
        <w:rPr>
          <w:rFonts w:ascii="Arial" w:hAnsi="Arial" w:cs="Arial"/>
        </w:rPr>
        <w:t xml:space="preserve"> reflect</w:t>
      </w:r>
      <w:r w:rsidR="0031635A" w:rsidRPr="004261E7">
        <w:rPr>
          <w:rFonts w:ascii="Arial" w:hAnsi="Arial" w:cs="Arial"/>
        </w:rPr>
        <w:t>s</w:t>
      </w:r>
      <w:r w:rsidRPr="004261E7">
        <w:rPr>
          <w:rFonts w:ascii="Arial" w:hAnsi="Arial" w:cs="Arial"/>
        </w:rPr>
        <w:t xml:space="preserve"> a profit of £29 million relating to the disposal of properties in the UK and France</w:t>
      </w:r>
      <w:r w:rsidR="0031635A" w:rsidRPr="004261E7">
        <w:rPr>
          <w:rFonts w:ascii="Arial" w:hAnsi="Arial" w:cs="Arial"/>
        </w:rPr>
        <w:t xml:space="preserve"> and</w:t>
      </w:r>
      <w:r w:rsidRPr="004261E7">
        <w:rPr>
          <w:rFonts w:ascii="Arial" w:hAnsi="Arial" w:cs="Arial"/>
        </w:rPr>
        <w:t xml:space="preserve"> impairment losses of £57 million in advance of planned disposals for properties classified as held for sale in the UK and Poland.</w:t>
      </w:r>
      <w:r>
        <w:rPr>
          <w:rFonts w:ascii="Arial" w:hAnsi="Arial" w:cs="Arial"/>
        </w:rPr>
        <w:t xml:space="preserve"> </w:t>
      </w:r>
    </w:p>
    <w:p w14:paraId="4156A1ED" w14:textId="77777777" w:rsidR="004526E5" w:rsidRDefault="004526E5" w:rsidP="00A730E5">
      <w:pPr>
        <w:spacing w:after="200"/>
        <w:contextualSpacing/>
        <w:jc w:val="left"/>
        <w:rPr>
          <w:rFonts w:ascii="Arial" w:hAnsi="Arial" w:cs="Arial"/>
        </w:rPr>
      </w:pPr>
    </w:p>
    <w:p w14:paraId="783BE0E4" w14:textId="27C5B6E2" w:rsidR="007E5564" w:rsidRDefault="004526E5" w:rsidP="00A730E5">
      <w:pPr>
        <w:spacing w:after="200"/>
        <w:contextualSpacing/>
        <w:jc w:val="left"/>
        <w:rPr>
          <w:rFonts w:ascii="Arial" w:hAnsi="Arial" w:cs="Arial"/>
        </w:rPr>
      </w:pPr>
      <w:r>
        <w:rPr>
          <w:rFonts w:ascii="Arial" w:hAnsi="Arial" w:cs="Arial"/>
        </w:rPr>
        <w:t xml:space="preserve">As previously </w:t>
      </w:r>
      <w:proofErr w:type="gramStart"/>
      <w:r>
        <w:rPr>
          <w:rFonts w:ascii="Arial" w:hAnsi="Arial" w:cs="Arial"/>
        </w:rPr>
        <w:t>announced</w:t>
      </w:r>
      <w:proofErr w:type="gramEnd"/>
      <w:r>
        <w:rPr>
          <w:rFonts w:ascii="Arial" w:hAnsi="Arial" w:cs="Arial"/>
        </w:rPr>
        <w:t xml:space="preserve"> we intend to exit Russia and Iberia </w:t>
      </w:r>
      <w:r w:rsidR="007E5564">
        <w:rPr>
          <w:rFonts w:ascii="Arial" w:hAnsi="Arial" w:cs="Arial"/>
        </w:rPr>
        <w:t>and</w:t>
      </w:r>
      <w:r>
        <w:rPr>
          <w:rFonts w:ascii="Arial" w:hAnsi="Arial" w:cs="Arial"/>
        </w:rPr>
        <w:t xml:space="preserve"> recognised a £16 million impairment</w:t>
      </w:r>
      <w:r w:rsidR="007451F2">
        <w:rPr>
          <w:rFonts w:ascii="Arial" w:hAnsi="Arial" w:cs="Arial"/>
        </w:rPr>
        <w:t xml:space="preserve"> </w:t>
      </w:r>
      <w:r w:rsidR="007E5564">
        <w:rPr>
          <w:rFonts w:ascii="Arial" w:hAnsi="Arial" w:cs="Arial"/>
        </w:rPr>
        <w:t xml:space="preserve">during the period </w:t>
      </w:r>
      <w:r w:rsidR="007451F2">
        <w:rPr>
          <w:rFonts w:ascii="Arial" w:hAnsi="Arial" w:cs="Arial"/>
        </w:rPr>
        <w:t>mainly relating to stores</w:t>
      </w:r>
      <w:r>
        <w:rPr>
          <w:rFonts w:ascii="Arial" w:hAnsi="Arial" w:cs="Arial"/>
        </w:rPr>
        <w:t>.</w:t>
      </w:r>
      <w:r w:rsidR="007E5564">
        <w:rPr>
          <w:rFonts w:ascii="Arial" w:hAnsi="Arial" w:cs="Arial"/>
        </w:rPr>
        <w:t xml:space="preserve"> </w:t>
      </w:r>
      <w:r w:rsidRPr="007451F2">
        <w:rPr>
          <w:rFonts w:ascii="Arial" w:hAnsi="Arial" w:cs="Arial"/>
        </w:rPr>
        <w:t>Praktiker</w:t>
      </w:r>
      <w:r w:rsidR="00B349EE">
        <w:rPr>
          <w:rFonts w:ascii="Arial" w:hAnsi="Arial" w:cs="Arial"/>
        </w:rPr>
        <w:t xml:space="preserve"> Romani</w:t>
      </w:r>
      <w:r w:rsidR="00207E63">
        <w:rPr>
          <w:rFonts w:ascii="Arial" w:hAnsi="Arial" w:cs="Arial"/>
        </w:rPr>
        <w:t>a</w:t>
      </w:r>
      <w:r w:rsidRPr="007451F2">
        <w:rPr>
          <w:rFonts w:ascii="Arial" w:hAnsi="Arial" w:cs="Arial"/>
        </w:rPr>
        <w:t xml:space="preserve"> integration costs of £15</w:t>
      </w:r>
      <w:r w:rsidR="000254CF">
        <w:rPr>
          <w:rFonts w:ascii="Arial" w:hAnsi="Arial" w:cs="Arial"/>
        </w:rPr>
        <w:t xml:space="preserve"> </w:t>
      </w:r>
      <w:r w:rsidRPr="007451F2">
        <w:rPr>
          <w:rFonts w:ascii="Arial" w:hAnsi="Arial" w:cs="Arial"/>
        </w:rPr>
        <w:lastRenderedPageBreak/>
        <w:t>m</w:t>
      </w:r>
      <w:r w:rsidR="000254CF">
        <w:rPr>
          <w:rFonts w:ascii="Arial" w:hAnsi="Arial" w:cs="Arial"/>
        </w:rPr>
        <w:t>illion</w:t>
      </w:r>
      <w:r w:rsidRPr="007451F2">
        <w:rPr>
          <w:rFonts w:ascii="Arial" w:hAnsi="Arial" w:cs="Arial"/>
        </w:rPr>
        <w:t xml:space="preserve"> </w:t>
      </w:r>
      <w:r w:rsidR="00207E63">
        <w:rPr>
          <w:rFonts w:ascii="Arial" w:hAnsi="Arial" w:cs="Arial"/>
        </w:rPr>
        <w:t>principally comprise</w:t>
      </w:r>
      <w:r w:rsidR="0061200D" w:rsidRPr="007451F2">
        <w:rPr>
          <w:rFonts w:ascii="Arial" w:hAnsi="Arial" w:cs="Arial"/>
        </w:rPr>
        <w:t xml:space="preserve"> </w:t>
      </w:r>
      <w:r w:rsidR="00207E63">
        <w:rPr>
          <w:rFonts w:ascii="Arial" w:hAnsi="Arial" w:cs="Arial"/>
        </w:rPr>
        <w:t xml:space="preserve">planned </w:t>
      </w:r>
      <w:r w:rsidR="0061200D" w:rsidRPr="007451F2">
        <w:rPr>
          <w:rFonts w:ascii="Arial" w:hAnsi="Arial" w:cs="Arial"/>
        </w:rPr>
        <w:t xml:space="preserve">store closure costs. </w:t>
      </w:r>
      <w:r w:rsidR="00493601">
        <w:rPr>
          <w:rFonts w:ascii="Arial" w:hAnsi="Arial" w:cs="Arial"/>
        </w:rPr>
        <w:t xml:space="preserve">B&amp;Q store replenishment </w:t>
      </w:r>
      <w:r w:rsidR="007E5564">
        <w:rPr>
          <w:rFonts w:ascii="Arial" w:hAnsi="Arial" w:cs="Arial"/>
        </w:rPr>
        <w:t>restructuring of £12</w:t>
      </w:r>
      <w:r w:rsidR="000254CF">
        <w:rPr>
          <w:rFonts w:ascii="Arial" w:hAnsi="Arial" w:cs="Arial"/>
        </w:rPr>
        <w:t xml:space="preserve"> </w:t>
      </w:r>
      <w:r w:rsidR="007E5564">
        <w:rPr>
          <w:rFonts w:ascii="Arial" w:hAnsi="Arial" w:cs="Arial"/>
        </w:rPr>
        <w:t>m</w:t>
      </w:r>
      <w:r w:rsidR="000254CF">
        <w:rPr>
          <w:rFonts w:ascii="Arial" w:hAnsi="Arial" w:cs="Arial"/>
        </w:rPr>
        <w:t>illion</w:t>
      </w:r>
      <w:r w:rsidR="007E5564">
        <w:rPr>
          <w:rFonts w:ascii="Arial" w:hAnsi="Arial" w:cs="Arial"/>
        </w:rPr>
        <w:t xml:space="preserve"> </w:t>
      </w:r>
      <w:r w:rsidR="007E5564" w:rsidRPr="007E5564">
        <w:rPr>
          <w:rFonts w:ascii="Arial" w:hAnsi="Arial" w:cs="Arial"/>
        </w:rPr>
        <w:t>relates to redundancy costs associated with the transfer of store replenishment routines from the nighttime into the daytime</w:t>
      </w:r>
      <w:r w:rsidR="007E5564">
        <w:rPr>
          <w:rFonts w:ascii="Arial" w:hAnsi="Arial" w:cs="Arial"/>
        </w:rPr>
        <w:t>.</w:t>
      </w:r>
    </w:p>
    <w:p w14:paraId="06D50571" w14:textId="353E7075" w:rsidR="00207E63" w:rsidRDefault="00207E63" w:rsidP="00A730E5">
      <w:pPr>
        <w:spacing w:after="200"/>
        <w:contextualSpacing/>
        <w:jc w:val="left"/>
        <w:rPr>
          <w:rFonts w:ascii="Arial" w:hAnsi="Arial" w:cs="Arial"/>
        </w:rPr>
      </w:pPr>
    </w:p>
    <w:p w14:paraId="359C4444" w14:textId="005C51E6" w:rsidR="00A730E5" w:rsidRDefault="006F4271">
      <w:pPr>
        <w:spacing w:after="200"/>
        <w:contextualSpacing/>
        <w:jc w:val="left"/>
        <w:rPr>
          <w:rFonts w:ascii="Arial" w:hAnsi="Arial" w:cs="Arial"/>
        </w:rPr>
      </w:pPr>
      <w:r w:rsidRPr="007451F2">
        <w:rPr>
          <w:rFonts w:ascii="Arial" w:hAnsi="Arial" w:cs="Arial"/>
        </w:rPr>
        <w:t>Other exceptional</w:t>
      </w:r>
      <w:r w:rsidR="00A268D7" w:rsidRPr="007451F2">
        <w:rPr>
          <w:rFonts w:ascii="Arial" w:hAnsi="Arial" w:cs="Arial"/>
        </w:rPr>
        <w:t>s</w:t>
      </w:r>
      <w:r w:rsidRPr="007451F2">
        <w:rPr>
          <w:rFonts w:ascii="Arial" w:hAnsi="Arial" w:cs="Arial"/>
        </w:rPr>
        <w:t xml:space="preserve"> of</w:t>
      </w:r>
      <w:r>
        <w:rPr>
          <w:rFonts w:ascii="Arial" w:hAnsi="Arial" w:cs="Arial"/>
        </w:rPr>
        <w:t xml:space="preserve"> £1</w:t>
      </w:r>
      <w:r w:rsidR="00207E63">
        <w:rPr>
          <w:rFonts w:ascii="Arial" w:hAnsi="Arial" w:cs="Arial"/>
        </w:rPr>
        <w:t>1</w:t>
      </w:r>
      <w:r w:rsidR="000254CF">
        <w:rPr>
          <w:rFonts w:ascii="Arial" w:hAnsi="Arial" w:cs="Arial"/>
        </w:rPr>
        <w:t xml:space="preserve"> </w:t>
      </w:r>
      <w:r>
        <w:rPr>
          <w:rFonts w:ascii="Arial" w:hAnsi="Arial" w:cs="Arial"/>
        </w:rPr>
        <w:t>m</w:t>
      </w:r>
      <w:r w:rsidR="000254CF">
        <w:rPr>
          <w:rFonts w:ascii="Arial" w:hAnsi="Arial" w:cs="Arial"/>
        </w:rPr>
        <w:t>illion</w:t>
      </w:r>
      <w:r>
        <w:rPr>
          <w:rFonts w:ascii="Arial" w:hAnsi="Arial" w:cs="Arial"/>
        </w:rPr>
        <w:t xml:space="preserve"> include a </w:t>
      </w:r>
      <w:r w:rsidR="007451F2">
        <w:rPr>
          <w:rFonts w:ascii="Arial" w:hAnsi="Arial" w:cs="Arial"/>
        </w:rPr>
        <w:t>£6</w:t>
      </w:r>
      <w:r w:rsidR="000254CF">
        <w:rPr>
          <w:rFonts w:ascii="Arial" w:hAnsi="Arial" w:cs="Arial"/>
        </w:rPr>
        <w:t xml:space="preserve"> </w:t>
      </w:r>
      <w:r w:rsidR="007451F2">
        <w:rPr>
          <w:rFonts w:ascii="Arial" w:hAnsi="Arial" w:cs="Arial"/>
        </w:rPr>
        <w:t>m</w:t>
      </w:r>
      <w:r w:rsidR="000254CF">
        <w:rPr>
          <w:rFonts w:ascii="Arial" w:hAnsi="Arial" w:cs="Arial"/>
        </w:rPr>
        <w:t>illion</w:t>
      </w:r>
      <w:r w:rsidR="007451F2">
        <w:rPr>
          <w:rFonts w:ascii="Arial" w:hAnsi="Arial" w:cs="Arial"/>
        </w:rPr>
        <w:t xml:space="preserve"> </w:t>
      </w:r>
      <w:r>
        <w:rPr>
          <w:rFonts w:ascii="Arial" w:hAnsi="Arial" w:cs="Arial"/>
        </w:rPr>
        <w:t xml:space="preserve">one-off ‘Macron premium’ payment to employees </w:t>
      </w:r>
      <w:r w:rsidR="007451F2">
        <w:rPr>
          <w:rFonts w:ascii="Arial" w:hAnsi="Arial" w:cs="Arial"/>
        </w:rPr>
        <w:t>in</w:t>
      </w:r>
      <w:r>
        <w:rPr>
          <w:rFonts w:ascii="Arial" w:hAnsi="Arial" w:cs="Arial"/>
        </w:rPr>
        <w:t xml:space="preserve"> France</w:t>
      </w:r>
      <w:r w:rsidR="00A268D7">
        <w:rPr>
          <w:rFonts w:ascii="Arial" w:hAnsi="Arial" w:cs="Arial"/>
        </w:rPr>
        <w:t xml:space="preserve"> and </w:t>
      </w:r>
      <w:r w:rsidR="00493601">
        <w:rPr>
          <w:rFonts w:ascii="Arial" w:hAnsi="Arial" w:cs="Arial"/>
        </w:rPr>
        <w:t xml:space="preserve">a </w:t>
      </w:r>
      <w:r w:rsidR="007451F2">
        <w:rPr>
          <w:rFonts w:ascii="Arial" w:hAnsi="Arial" w:cs="Arial"/>
        </w:rPr>
        <w:t>£5</w:t>
      </w:r>
      <w:r w:rsidR="000254CF">
        <w:rPr>
          <w:rFonts w:ascii="Arial" w:hAnsi="Arial" w:cs="Arial"/>
        </w:rPr>
        <w:t xml:space="preserve"> </w:t>
      </w:r>
      <w:r w:rsidR="007451F2">
        <w:rPr>
          <w:rFonts w:ascii="Arial" w:hAnsi="Arial" w:cs="Arial"/>
        </w:rPr>
        <w:t>m</w:t>
      </w:r>
      <w:r w:rsidR="000254CF">
        <w:rPr>
          <w:rFonts w:ascii="Arial" w:hAnsi="Arial" w:cs="Arial"/>
        </w:rPr>
        <w:t>illion</w:t>
      </w:r>
      <w:r w:rsidR="007451F2">
        <w:rPr>
          <w:rFonts w:ascii="Arial" w:hAnsi="Arial" w:cs="Arial"/>
        </w:rPr>
        <w:t xml:space="preserve"> charge </w:t>
      </w:r>
      <w:r w:rsidR="007451F2" w:rsidRPr="007451F2">
        <w:rPr>
          <w:rFonts w:ascii="Arial" w:hAnsi="Arial" w:cs="Arial"/>
        </w:rPr>
        <w:t xml:space="preserve">as a result of the recent UK High Court ruling in respect of the </w:t>
      </w:r>
      <w:r w:rsidR="007451F2">
        <w:rPr>
          <w:rFonts w:ascii="Arial" w:hAnsi="Arial" w:cs="Arial"/>
        </w:rPr>
        <w:t>e</w:t>
      </w:r>
      <w:r w:rsidR="007451F2" w:rsidRPr="007451F2">
        <w:rPr>
          <w:rFonts w:ascii="Arial" w:hAnsi="Arial" w:cs="Arial"/>
        </w:rPr>
        <w:t>qualisation of Guaranteed Minimum Pensions</w:t>
      </w:r>
      <w:r>
        <w:rPr>
          <w:rFonts w:ascii="Arial" w:hAnsi="Arial" w:cs="Arial"/>
        </w:rPr>
        <w:t xml:space="preserve">.   </w:t>
      </w:r>
      <w:r w:rsidR="00A730E5">
        <w:rPr>
          <w:rFonts w:ascii="Arial" w:hAnsi="Arial" w:cs="Arial"/>
        </w:rPr>
        <w:t xml:space="preserve">  </w:t>
      </w:r>
    </w:p>
    <w:p w14:paraId="07630840" w14:textId="77777777" w:rsidR="00DB7A2A" w:rsidRPr="00D57907" w:rsidRDefault="00DB7A2A" w:rsidP="00D57907">
      <w:pPr>
        <w:spacing w:after="200"/>
        <w:contextualSpacing/>
        <w:jc w:val="left"/>
        <w:rPr>
          <w:rFonts w:ascii="Arial" w:hAnsi="Arial" w:cs="Arial"/>
        </w:rPr>
      </w:pPr>
      <w:bookmarkStart w:id="37" w:name="_Hlk508199151"/>
    </w:p>
    <w:p w14:paraId="68F69423" w14:textId="4E618C54" w:rsidR="00850C03" w:rsidRPr="00D978CF" w:rsidRDefault="00850C03" w:rsidP="00850C03">
      <w:pPr>
        <w:ind w:right="-368"/>
        <w:jc w:val="left"/>
        <w:rPr>
          <w:rFonts w:ascii="Arial" w:hAnsi="Arial" w:cs="Arial"/>
          <w:b/>
        </w:rPr>
      </w:pPr>
      <w:bookmarkStart w:id="38" w:name="_Hlk508105711"/>
      <w:bookmarkStart w:id="39" w:name="_Hlk508362796"/>
      <w:bookmarkEnd w:id="37"/>
      <w:r w:rsidRPr="00D978CF">
        <w:rPr>
          <w:rFonts w:ascii="Arial" w:hAnsi="Arial" w:cs="Arial"/>
          <w:b/>
        </w:rPr>
        <w:t>Taxation</w:t>
      </w:r>
      <w:r w:rsidR="00BE69FD">
        <w:rPr>
          <w:rFonts w:ascii="Arial" w:hAnsi="Arial" w:cs="Arial"/>
          <w:b/>
        </w:rPr>
        <w:t xml:space="preserve"> </w:t>
      </w:r>
    </w:p>
    <w:p w14:paraId="569DF73A" w14:textId="77777777" w:rsidR="00850C03" w:rsidRPr="00D978CF" w:rsidRDefault="00850C03" w:rsidP="00850C03">
      <w:pPr>
        <w:ind w:right="-368"/>
        <w:jc w:val="left"/>
        <w:rPr>
          <w:rFonts w:ascii="Arial" w:hAnsi="Arial" w:cs="Arial"/>
          <w:b/>
        </w:rPr>
      </w:pPr>
    </w:p>
    <w:p w14:paraId="1A1D9588" w14:textId="62F3927E" w:rsidR="000D6B5F" w:rsidRDefault="000D6B5F" w:rsidP="000D6B5F">
      <w:pPr>
        <w:ind w:right="-368"/>
        <w:jc w:val="left"/>
        <w:rPr>
          <w:rFonts w:ascii="Arial" w:hAnsi="Arial" w:cs="Arial"/>
          <w:szCs w:val="24"/>
        </w:rPr>
      </w:pPr>
      <w:r>
        <w:rPr>
          <w:rFonts w:ascii="Arial" w:hAnsi="Arial" w:cs="Arial"/>
          <w:szCs w:val="24"/>
        </w:rPr>
        <w:t xml:space="preserve">The Group’s adjusted </w:t>
      </w:r>
      <w:r w:rsidRPr="00D978CF">
        <w:rPr>
          <w:rFonts w:ascii="Arial" w:hAnsi="Arial" w:cs="Arial"/>
          <w:szCs w:val="24"/>
        </w:rPr>
        <w:t xml:space="preserve">effective tax rate is sensitive to the blend of tax rates and profits in the Group’s various jurisdictions. It is higher than the UK statutory rate because of the amount of Group profit that is earned in higher tax territories. </w:t>
      </w:r>
      <w:r w:rsidRPr="00C07D1D">
        <w:rPr>
          <w:rFonts w:ascii="Arial" w:hAnsi="Arial" w:cs="Arial"/>
          <w:szCs w:val="24"/>
        </w:rPr>
        <w:t>The adjusted effective tax rate, calculated on profit before exceptional</w:t>
      </w:r>
      <w:r>
        <w:rPr>
          <w:rFonts w:ascii="Arial" w:hAnsi="Arial" w:cs="Arial"/>
          <w:szCs w:val="24"/>
        </w:rPr>
        <w:t xml:space="preserve"> </w:t>
      </w:r>
      <w:r w:rsidRPr="00C07D1D">
        <w:rPr>
          <w:rFonts w:ascii="Arial" w:hAnsi="Arial" w:cs="Arial"/>
          <w:szCs w:val="24"/>
        </w:rPr>
        <w:t xml:space="preserve">items, prior year tax adjustments and the impact of future rate changes is </w:t>
      </w:r>
      <w:r>
        <w:rPr>
          <w:rFonts w:ascii="Arial" w:hAnsi="Arial" w:cs="Arial"/>
          <w:szCs w:val="24"/>
        </w:rPr>
        <w:t>2</w:t>
      </w:r>
      <w:r w:rsidR="00FF40EA">
        <w:rPr>
          <w:rFonts w:ascii="Arial" w:hAnsi="Arial" w:cs="Arial"/>
          <w:szCs w:val="24"/>
        </w:rPr>
        <w:t>7</w:t>
      </w:r>
      <w:r w:rsidRPr="00C07D1D">
        <w:rPr>
          <w:rFonts w:ascii="Arial" w:hAnsi="Arial" w:cs="Arial"/>
          <w:szCs w:val="24"/>
        </w:rPr>
        <w:t>%</w:t>
      </w:r>
      <w:r>
        <w:rPr>
          <w:rFonts w:ascii="Arial" w:hAnsi="Arial" w:cs="Arial"/>
          <w:szCs w:val="24"/>
        </w:rPr>
        <w:t xml:space="preserve"> </w:t>
      </w:r>
      <w:r w:rsidRPr="00D978CF">
        <w:rPr>
          <w:rFonts w:ascii="Arial" w:hAnsi="Arial" w:cs="Arial"/>
          <w:szCs w:val="24"/>
        </w:rPr>
        <w:t>(201</w:t>
      </w:r>
      <w:r>
        <w:rPr>
          <w:rFonts w:ascii="Arial" w:hAnsi="Arial" w:cs="Arial"/>
          <w:szCs w:val="24"/>
        </w:rPr>
        <w:t>7</w:t>
      </w:r>
      <w:r w:rsidRPr="00D978CF">
        <w:rPr>
          <w:rFonts w:ascii="Arial" w:hAnsi="Arial" w:cs="Arial"/>
          <w:szCs w:val="24"/>
        </w:rPr>
        <w:t>/1</w:t>
      </w:r>
      <w:r>
        <w:rPr>
          <w:rFonts w:ascii="Arial" w:hAnsi="Arial" w:cs="Arial"/>
          <w:szCs w:val="24"/>
        </w:rPr>
        <w:t>8</w:t>
      </w:r>
      <w:r w:rsidRPr="00D978CF">
        <w:rPr>
          <w:rFonts w:ascii="Arial" w:hAnsi="Arial" w:cs="Arial"/>
          <w:szCs w:val="24"/>
        </w:rPr>
        <w:t xml:space="preserve">: </w:t>
      </w:r>
      <w:r>
        <w:rPr>
          <w:rFonts w:ascii="Arial" w:hAnsi="Arial" w:cs="Arial"/>
          <w:szCs w:val="24"/>
        </w:rPr>
        <w:t>30</w:t>
      </w:r>
      <w:r w:rsidRPr="00D978CF">
        <w:rPr>
          <w:rFonts w:ascii="Arial" w:hAnsi="Arial" w:cs="Arial"/>
          <w:szCs w:val="24"/>
        </w:rPr>
        <w:t xml:space="preserve">%). </w:t>
      </w:r>
    </w:p>
    <w:p w14:paraId="7BFE3C2C" w14:textId="77777777" w:rsidR="000D6B5F" w:rsidRDefault="000D6B5F" w:rsidP="000D6B5F">
      <w:pPr>
        <w:ind w:right="-368"/>
        <w:jc w:val="left"/>
        <w:rPr>
          <w:rFonts w:ascii="Arial" w:hAnsi="Arial" w:cs="Arial"/>
          <w:szCs w:val="24"/>
        </w:rPr>
      </w:pPr>
    </w:p>
    <w:p w14:paraId="635765E9" w14:textId="42F2D3DA" w:rsidR="000D6B5F" w:rsidRPr="0018703F" w:rsidRDefault="000D6B5F" w:rsidP="000D6B5F">
      <w:pPr>
        <w:ind w:right="-368"/>
        <w:jc w:val="left"/>
        <w:rPr>
          <w:rFonts w:ascii="Arial" w:hAnsi="Arial" w:cs="Arial"/>
          <w:szCs w:val="24"/>
          <w:highlight w:val="yellow"/>
        </w:rPr>
      </w:pPr>
      <w:r w:rsidRPr="00D978CF">
        <w:rPr>
          <w:rFonts w:ascii="Arial" w:hAnsi="Arial" w:cs="Arial"/>
          <w:szCs w:val="24"/>
        </w:rPr>
        <w:t xml:space="preserve">The </w:t>
      </w:r>
      <w:r>
        <w:rPr>
          <w:rFonts w:ascii="Arial" w:hAnsi="Arial" w:cs="Arial"/>
          <w:szCs w:val="24"/>
        </w:rPr>
        <w:t xml:space="preserve">adjusted </w:t>
      </w:r>
      <w:r w:rsidRPr="00D978CF">
        <w:rPr>
          <w:rFonts w:ascii="Arial" w:hAnsi="Arial" w:cs="Arial"/>
          <w:szCs w:val="24"/>
        </w:rPr>
        <w:t xml:space="preserve">effective </w:t>
      </w:r>
      <w:r>
        <w:rPr>
          <w:rFonts w:ascii="Arial" w:hAnsi="Arial" w:cs="Arial"/>
          <w:szCs w:val="24"/>
        </w:rPr>
        <w:t xml:space="preserve">tax </w:t>
      </w:r>
      <w:r w:rsidRPr="00D978CF">
        <w:rPr>
          <w:rFonts w:ascii="Arial" w:hAnsi="Arial" w:cs="Arial"/>
          <w:szCs w:val="24"/>
        </w:rPr>
        <w:t xml:space="preserve">rate is </w:t>
      </w:r>
      <w:r>
        <w:rPr>
          <w:rFonts w:ascii="Arial" w:hAnsi="Arial" w:cs="Arial"/>
          <w:szCs w:val="24"/>
        </w:rPr>
        <w:t xml:space="preserve">lower </w:t>
      </w:r>
      <w:r w:rsidRPr="00D978CF">
        <w:rPr>
          <w:rFonts w:ascii="Arial" w:hAnsi="Arial" w:cs="Arial"/>
          <w:szCs w:val="24"/>
        </w:rPr>
        <w:t xml:space="preserve">than the prior year </w:t>
      </w:r>
      <w:r>
        <w:rPr>
          <w:rFonts w:ascii="Arial" w:hAnsi="Arial" w:cs="Arial"/>
          <w:szCs w:val="24"/>
        </w:rPr>
        <w:t xml:space="preserve">mainly </w:t>
      </w:r>
      <w:r w:rsidRPr="00D978CF">
        <w:rPr>
          <w:rFonts w:ascii="Arial" w:hAnsi="Arial" w:cs="Arial"/>
          <w:szCs w:val="24"/>
        </w:rPr>
        <w:t xml:space="preserve">due to </w:t>
      </w:r>
      <w:r>
        <w:rPr>
          <w:rFonts w:ascii="Arial" w:hAnsi="Arial" w:cs="Arial"/>
          <w:szCs w:val="24"/>
        </w:rPr>
        <w:t>the</w:t>
      </w:r>
      <w:r w:rsidRPr="00D978CF">
        <w:rPr>
          <w:rFonts w:ascii="Arial" w:hAnsi="Arial" w:cs="Arial"/>
          <w:szCs w:val="24"/>
        </w:rPr>
        <w:t xml:space="preserve"> one off 30%</w:t>
      </w:r>
      <w:r>
        <w:rPr>
          <w:rFonts w:ascii="Arial" w:hAnsi="Arial" w:cs="Arial"/>
          <w:szCs w:val="24"/>
        </w:rPr>
        <w:t xml:space="preserve"> French</w:t>
      </w:r>
      <w:r w:rsidRPr="00D978CF">
        <w:rPr>
          <w:rFonts w:ascii="Arial" w:hAnsi="Arial" w:cs="Arial"/>
          <w:szCs w:val="24"/>
        </w:rPr>
        <w:t xml:space="preserve"> tax surcharg</w:t>
      </w:r>
      <w:r>
        <w:rPr>
          <w:rFonts w:ascii="Arial" w:hAnsi="Arial" w:cs="Arial"/>
          <w:szCs w:val="24"/>
        </w:rPr>
        <w:t>e applicable in 2017/18 that increased the French tax rate to 44%. At a Group level this surcharge increased the adjusted effective tax rate by c.3% in the prior year.</w:t>
      </w:r>
      <w:r w:rsidRPr="00851E2F">
        <w:rPr>
          <w:rFonts w:ascii="Arial" w:hAnsi="Arial" w:cs="Arial"/>
          <w:szCs w:val="24"/>
        </w:rPr>
        <w:t xml:space="preserve"> </w:t>
      </w:r>
    </w:p>
    <w:p w14:paraId="2AED7449" w14:textId="77777777" w:rsidR="000D6B5F" w:rsidRPr="0018703F" w:rsidRDefault="000D6B5F" w:rsidP="000D6B5F">
      <w:pPr>
        <w:ind w:right="-368"/>
        <w:jc w:val="left"/>
        <w:rPr>
          <w:rFonts w:ascii="Arial" w:hAnsi="Arial" w:cs="Arial"/>
          <w:szCs w:val="24"/>
          <w:highlight w:val="yellow"/>
        </w:rPr>
      </w:pPr>
    </w:p>
    <w:p w14:paraId="7292E9C9" w14:textId="23933985" w:rsidR="000D6B5F" w:rsidRDefault="000D6B5F" w:rsidP="000D6B5F">
      <w:pPr>
        <w:ind w:right="-368"/>
        <w:jc w:val="left"/>
        <w:rPr>
          <w:rFonts w:ascii="Arial" w:hAnsi="Arial" w:cs="Arial"/>
          <w:szCs w:val="24"/>
        </w:rPr>
      </w:pPr>
      <w:r w:rsidRPr="00D978CF">
        <w:rPr>
          <w:rFonts w:ascii="Arial" w:hAnsi="Arial" w:cs="Arial"/>
          <w:szCs w:val="24"/>
        </w:rPr>
        <w:t>The overall</w:t>
      </w:r>
      <w:r w:rsidR="00613DF2">
        <w:rPr>
          <w:rFonts w:ascii="Arial" w:hAnsi="Arial" w:cs="Arial"/>
          <w:szCs w:val="24"/>
        </w:rPr>
        <w:t xml:space="preserve"> rate of </w:t>
      </w:r>
      <w:r>
        <w:rPr>
          <w:rFonts w:ascii="Arial" w:hAnsi="Arial" w:cs="Arial"/>
          <w:szCs w:val="24"/>
        </w:rPr>
        <w:t xml:space="preserve">tax </w:t>
      </w:r>
      <w:r w:rsidRPr="00D978CF">
        <w:rPr>
          <w:rFonts w:ascii="Arial" w:hAnsi="Arial" w:cs="Arial"/>
          <w:szCs w:val="24"/>
        </w:rPr>
        <w:t xml:space="preserve">includes the impact of exceptional items and prior year adjustments. The effect of such items </w:t>
      </w:r>
      <w:r>
        <w:rPr>
          <w:rFonts w:ascii="Arial" w:hAnsi="Arial" w:cs="Arial"/>
          <w:szCs w:val="24"/>
        </w:rPr>
        <w:t>increas</w:t>
      </w:r>
      <w:r w:rsidRPr="00D978CF">
        <w:rPr>
          <w:rFonts w:ascii="Arial" w:hAnsi="Arial" w:cs="Arial"/>
          <w:szCs w:val="24"/>
        </w:rPr>
        <w:t xml:space="preserve">ed the rate from </w:t>
      </w:r>
      <w:r>
        <w:rPr>
          <w:rFonts w:ascii="Arial" w:hAnsi="Arial" w:cs="Arial"/>
          <w:szCs w:val="24"/>
        </w:rPr>
        <w:t>2</w:t>
      </w:r>
      <w:r w:rsidR="00FF40EA">
        <w:rPr>
          <w:rFonts w:ascii="Arial" w:hAnsi="Arial" w:cs="Arial"/>
          <w:szCs w:val="24"/>
        </w:rPr>
        <w:t>7</w:t>
      </w:r>
      <w:r w:rsidRPr="00D978CF">
        <w:rPr>
          <w:rFonts w:ascii="Arial" w:hAnsi="Arial" w:cs="Arial"/>
          <w:szCs w:val="24"/>
        </w:rPr>
        <w:t xml:space="preserve">% to </w:t>
      </w:r>
      <w:r>
        <w:rPr>
          <w:rFonts w:ascii="Arial" w:hAnsi="Arial" w:cs="Arial"/>
          <w:szCs w:val="24"/>
        </w:rPr>
        <w:t>32</w:t>
      </w:r>
      <w:r w:rsidRPr="00D978CF">
        <w:rPr>
          <w:rFonts w:ascii="Arial" w:hAnsi="Arial" w:cs="Arial"/>
          <w:szCs w:val="24"/>
        </w:rPr>
        <w:t>%. This predominately reflects</w:t>
      </w:r>
      <w:r>
        <w:rPr>
          <w:rFonts w:ascii="Arial" w:hAnsi="Arial" w:cs="Arial"/>
          <w:szCs w:val="24"/>
        </w:rPr>
        <w:t xml:space="preserve"> the applicable tax treatment of exceptional items and the decision to derecognise assets related to historic tax losses in Russia and Iberia,</w:t>
      </w:r>
      <w:r w:rsidRPr="00FB6272">
        <w:rPr>
          <w:rFonts w:ascii="Arial" w:hAnsi="Arial" w:cs="Arial"/>
          <w:szCs w:val="24"/>
        </w:rPr>
        <w:t xml:space="preserve"> </w:t>
      </w:r>
      <w:r w:rsidRPr="00D978CF">
        <w:rPr>
          <w:rFonts w:ascii="Arial" w:hAnsi="Arial" w:cs="Arial"/>
          <w:szCs w:val="24"/>
        </w:rPr>
        <w:t xml:space="preserve">partially offset by a </w:t>
      </w:r>
      <w:r>
        <w:rPr>
          <w:rFonts w:ascii="Arial" w:hAnsi="Arial" w:cs="Arial"/>
          <w:szCs w:val="24"/>
        </w:rPr>
        <w:t>release of</w:t>
      </w:r>
      <w:r w:rsidRPr="00D978CF">
        <w:rPr>
          <w:rFonts w:ascii="Arial" w:hAnsi="Arial" w:cs="Arial"/>
          <w:szCs w:val="24"/>
        </w:rPr>
        <w:t xml:space="preserve"> prior year provisions which reflect </w:t>
      </w:r>
      <w:r w:rsidRPr="00A01E40">
        <w:rPr>
          <w:rFonts w:ascii="Arial" w:hAnsi="Arial" w:cs="Arial"/>
          <w:szCs w:val="24"/>
        </w:rPr>
        <w:t>a</w:t>
      </w:r>
      <w:r w:rsidRPr="00027033">
        <w:rPr>
          <w:rFonts w:ascii="Arial" w:hAnsi="Arial" w:cs="Arial"/>
          <w:szCs w:val="24"/>
        </w:rPr>
        <w:t xml:space="preserve"> reassessment of expected outcomes, agreed positions with tax authorities and items that have time expired.</w:t>
      </w:r>
    </w:p>
    <w:p w14:paraId="091FB8FC" w14:textId="77777777" w:rsidR="000D6B5F" w:rsidRDefault="000D6B5F" w:rsidP="000D6B5F">
      <w:pPr>
        <w:jc w:val="left"/>
        <w:rPr>
          <w:rFonts w:ascii="Arial" w:hAnsi="Arial" w:cs="Arial"/>
          <w:szCs w:val="24"/>
        </w:rPr>
      </w:pPr>
    </w:p>
    <w:tbl>
      <w:tblPr>
        <w:tblW w:w="5024" w:type="pct"/>
        <w:tblCellMar>
          <w:left w:w="0" w:type="dxa"/>
          <w:right w:w="0" w:type="dxa"/>
        </w:tblCellMar>
        <w:tblLook w:val="04A0" w:firstRow="1" w:lastRow="0" w:firstColumn="1" w:lastColumn="0" w:noHBand="0" w:noVBand="1"/>
      </w:tblPr>
      <w:tblGrid>
        <w:gridCol w:w="4155"/>
        <w:gridCol w:w="779"/>
        <w:gridCol w:w="959"/>
        <w:gridCol w:w="1159"/>
        <w:gridCol w:w="762"/>
        <w:gridCol w:w="938"/>
        <w:gridCol w:w="1162"/>
      </w:tblGrid>
      <w:tr w:rsidR="000D6B5F" w:rsidRPr="00D22B7C" w14:paraId="2903260E" w14:textId="77777777" w:rsidTr="0035009E">
        <w:trPr>
          <w:trHeight w:val="595"/>
        </w:trPr>
        <w:tc>
          <w:tcPr>
            <w:tcW w:w="4536" w:type="dxa"/>
            <w:tcBorders>
              <w:top w:val="nil"/>
              <w:left w:val="nil"/>
              <w:bottom w:val="single" w:sz="8" w:space="0" w:color="auto"/>
              <w:right w:val="nil"/>
            </w:tcBorders>
            <w:tcMar>
              <w:top w:w="0" w:type="dxa"/>
              <w:left w:w="108" w:type="dxa"/>
              <w:bottom w:w="0" w:type="dxa"/>
              <w:right w:w="108" w:type="dxa"/>
            </w:tcMar>
            <w:hideMark/>
          </w:tcPr>
          <w:p w14:paraId="210863DB" w14:textId="2FFE005F" w:rsidR="000D6B5F" w:rsidRPr="00D22B7C" w:rsidRDefault="00613DF2" w:rsidP="00587B01">
            <w:pPr>
              <w:rPr>
                <w:rFonts w:ascii="Arial" w:hAnsi="Arial" w:cs="Arial"/>
                <w:b/>
                <w:bCs/>
              </w:rPr>
            </w:pPr>
            <w:r>
              <w:rPr>
                <w:rFonts w:ascii="Arial" w:hAnsi="Arial" w:cs="Arial"/>
                <w:b/>
                <w:bCs/>
              </w:rPr>
              <w:t>Effective tax rate calculation</w:t>
            </w:r>
          </w:p>
        </w:tc>
        <w:tc>
          <w:tcPr>
            <w:tcW w:w="236" w:type="dxa"/>
            <w:tcBorders>
              <w:top w:val="nil"/>
              <w:left w:val="nil"/>
              <w:bottom w:val="single" w:sz="8" w:space="0" w:color="auto"/>
              <w:right w:val="nil"/>
            </w:tcBorders>
            <w:tcMar>
              <w:top w:w="0" w:type="dxa"/>
              <w:left w:w="108" w:type="dxa"/>
              <w:bottom w:w="0" w:type="dxa"/>
              <w:right w:w="108" w:type="dxa"/>
            </w:tcMar>
            <w:hideMark/>
          </w:tcPr>
          <w:p w14:paraId="59EB86E6" w14:textId="77777777" w:rsidR="000D6B5F" w:rsidRPr="00D22B7C" w:rsidRDefault="000D6B5F" w:rsidP="00587B01">
            <w:pPr>
              <w:jc w:val="right"/>
              <w:rPr>
                <w:rFonts w:ascii="Arial" w:hAnsi="Arial" w:cs="Arial"/>
                <w:b/>
                <w:bCs/>
              </w:rPr>
            </w:pPr>
            <w:r>
              <w:rPr>
                <w:rFonts w:ascii="Arial" w:hAnsi="Arial" w:cs="Arial"/>
                <w:b/>
                <w:bCs/>
              </w:rPr>
              <w:t>Pre-tax p</w:t>
            </w:r>
            <w:r w:rsidRPr="00D22B7C">
              <w:rPr>
                <w:rFonts w:ascii="Arial" w:hAnsi="Arial" w:cs="Arial"/>
                <w:b/>
                <w:bCs/>
              </w:rPr>
              <w:t>rofit</w:t>
            </w:r>
          </w:p>
          <w:p w14:paraId="3BA30431" w14:textId="77777777" w:rsidR="000D6B5F" w:rsidRPr="00D22B7C" w:rsidRDefault="000D6B5F" w:rsidP="00587B01">
            <w:pPr>
              <w:jc w:val="right"/>
              <w:rPr>
                <w:rFonts w:ascii="Arial" w:hAnsi="Arial" w:cs="Arial"/>
                <w:b/>
                <w:bCs/>
              </w:rPr>
            </w:pPr>
            <w:r w:rsidRPr="00D22B7C">
              <w:rPr>
                <w:rFonts w:ascii="Arial" w:hAnsi="Arial" w:cs="Arial"/>
                <w:b/>
                <w:bCs/>
              </w:rPr>
              <w:t>£m</w:t>
            </w:r>
          </w:p>
        </w:tc>
        <w:tc>
          <w:tcPr>
            <w:tcW w:w="990" w:type="dxa"/>
            <w:tcBorders>
              <w:top w:val="nil"/>
              <w:left w:val="nil"/>
              <w:bottom w:val="single" w:sz="8" w:space="0" w:color="auto"/>
              <w:right w:val="nil"/>
            </w:tcBorders>
            <w:tcMar>
              <w:top w:w="0" w:type="dxa"/>
              <w:left w:w="108" w:type="dxa"/>
              <w:bottom w:w="0" w:type="dxa"/>
              <w:right w:w="108" w:type="dxa"/>
            </w:tcMar>
            <w:hideMark/>
          </w:tcPr>
          <w:p w14:paraId="77E48F15" w14:textId="77777777" w:rsidR="000D6B5F" w:rsidRPr="00D22B7C" w:rsidRDefault="000D6B5F" w:rsidP="00587B01">
            <w:pPr>
              <w:jc w:val="right"/>
              <w:rPr>
                <w:rFonts w:ascii="Arial" w:hAnsi="Arial" w:cs="Arial"/>
                <w:b/>
                <w:bCs/>
              </w:rPr>
            </w:pPr>
            <w:r w:rsidRPr="00D22B7C">
              <w:rPr>
                <w:rFonts w:ascii="Arial" w:hAnsi="Arial" w:cs="Arial"/>
                <w:b/>
                <w:bCs/>
              </w:rPr>
              <w:t xml:space="preserve">Tax </w:t>
            </w:r>
          </w:p>
          <w:p w14:paraId="16521D2E" w14:textId="77777777" w:rsidR="000D6B5F" w:rsidRPr="00D22B7C" w:rsidRDefault="000D6B5F" w:rsidP="00587B01">
            <w:pPr>
              <w:jc w:val="right"/>
              <w:rPr>
                <w:rFonts w:ascii="Arial" w:hAnsi="Arial" w:cs="Arial"/>
                <w:b/>
                <w:bCs/>
              </w:rPr>
            </w:pPr>
            <w:r w:rsidRPr="00D22B7C">
              <w:rPr>
                <w:rFonts w:ascii="Arial" w:hAnsi="Arial" w:cs="Arial"/>
                <w:b/>
                <w:bCs/>
              </w:rPr>
              <w:t>£m</w:t>
            </w:r>
          </w:p>
        </w:tc>
        <w:tc>
          <w:tcPr>
            <w:tcW w:w="1179" w:type="dxa"/>
            <w:tcBorders>
              <w:top w:val="nil"/>
              <w:left w:val="nil"/>
              <w:bottom w:val="single" w:sz="8" w:space="0" w:color="auto"/>
              <w:right w:val="nil"/>
            </w:tcBorders>
            <w:tcMar>
              <w:top w:w="0" w:type="dxa"/>
              <w:left w:w="108" w:type="dxa"/>
              <w:bottom w:w="0" w:type="dxa"/>
              <w:right w:w="108" w:type="dxa"/>
            </w:tcMar>
            <w:hideMark/>
          </w:tcPr>
          <w:p w14:paraId="67362D9F" w14:textId="77777777" w:rsidR="000D6B5F" w:rsidRPr="00D22B7C" w:rsidRDefault="000D6B5F" w:rsidP="00587B01">
            <w:pPr>
              <w:jc w:val="right"/>
              <w:rPr>
                <w:rFonts w:ascii="Arial" w:hAnsi="Arial" w:cs="Arial"/>
                <w:b/>
                <w:bCs/>
              </w:rPr>
            </w:pPr>
            <w:r w:rsidRPr="00D22B7C">
              <w:rPr>
                <w:rFonts w:ascii="Arial" w:hAnsi="Arial" w:cs="Arial"/>
                <w:b/>
                <w:bCs/>
              </w:rPr>
              <w:t>201</w:t>
            </w:r>
            <w:r>
              <w:rPr>
                <w:rFonts w:ascii="Arial" w:hAnsi="Arial" w:cs="Arial"/>
                <w:b/>
                <w:bCs/>
              </w:rPr>
              <w:t>8</w:t>
            </w:r>
            <w:r w:rsidRPr="00D22B7C">
              <w:rPr>
                <w:rFonts w:ascii="Arial" w:hAnsi="Arial" w:cs="Arial"/>
                <w:b/>
                <w:bCs/>
              </w:rPr>
              <w:t>/1</w:t>
            </w:r>
            <w:r>
              <w:rPr>
                <w:rFonts w:ascii="Arial" w:hAnsi="Arial" w:cs="Arial"/>
                <w:b/>
                <w:bCs/>
              </w:rPr>
              <w:t>9</w:t>
            </w:r>
          </w:p>
          <w:p w14:paraId="24812AA5" w14:textId="77777777" w:rsidR="000D6B5F" w:rsidRPr="00D22B7C" w:rsidRDefault="000D6B5F" w:rsidP="00587B01">
            <w:pPr>
              <w:jc w:val="right"/>
              <w:rPr>
                <w:rFonts w:ascii="Arial" w:hAnsi="Arial" w:cs="Arial"/>
                <w:b/>
                <w:bCs/>
              </w:rPr>
            </w:pPr>
            <w:r w:rsidRPr="00D22B7C">
              <w:rPr>
                <w:rFonts w:ascii="Arial" w:hAnsi="Arial" w:cs="Arial"/>
                <w:b/>
                <w:bCs/>
              </w:rPr>
              <w:t>%</w:t>
            </w:r>
          </w:p>
        </w:tc>
        <w:tc>
          <w:tcPr>
            <w:tcW w:w="796" w:type="dxa"/>
            <w:tcBorders>
              <w:top w:val="nil"/>
              <w:left w:val="nil"/>
              <w:bottom w:val="single" w:sz="8" w:space="0" w:color="auto"/>
              <w:right w:val="nil"/>
            </w:tcBorders>
          </w:tcPr>
          <w:p w14:paraId="0A4DB56A" w14:textId="77777777" w:rsidR="000D6B5F" w:rsidRDefault="000D6B5F" w:rsidP="00587B01">
            <w:pPr>
              <w:jc w:val="right"/>
              <w:rPr>
                <w:rFonts w:ascii="Arial" w:hAnsi="Arial" w:cs="Arial"/>
              </w:rPr>
            </w:pPr>
            <w:r>
              <w:rPr>
                <w:rFonts w:ascii="Arial" w:hAnsi="Arial" w:cs="Arial"/>
              </w:rPr>
              <w:t>Pre-tax Profit</w:t>
            </w:r>
          </w:p>
          <w:p w14:paraId="62356332" w14:textId="77777777" w:rsidR="000D6B5F" w:rsidRDefault="000D6B5F" w:rsidP="00587B01">
            <w:pPr>
              <w:jc w:val="right"/>
              <w:rPr>
                <w:rFonts w:ascii="Arial" w:hAnsi="Arial" w:cs="Arial"/>
              </w:rPr>
            </w:pPr>
            <w:r>
              <w:rPr>
                <w:rFonts w:ascii="Arial" w:hAnsi="Arial" w:cs="Arial"/>
              </w:rPr>
              <w:t>£m</w:t>
            </w:r>
          </w:p>
        </w:tc>
        <w:tc>
          <w:tcPr>
            <w:tcW w:w="996" w:type="dxa"/>
            <w:tcBorders>
              <w:top w:val="nil"/>
              <w:left w:val="nil"/>
              <w:bottom w:val="single" w:sz="8" w:space="0" w:color="auto"/>
              <w:right w:val="nil"/>
            </w:tcBorders>
          </w:tcPr>
          <w:p w14:paraId="352B5E24" w14:textId="77777777" w:rsidR="000D6B5F" w:rsidRDefault="000D6B5F" w:rsidP="00587B01">
            <w:pPr>
              <w:jc w:val="right"/>
              <w:rPr>
                <w:rFonts w:ascii="Arial" w:hAnsi="Arial" w:cs="Arial"/>
              </w:rPr>
            </w:pPr>
            <w:r>
              <w:rPr>
                <w:rFonts w:ascii="Arial" w:hAnsi="Arial" w:cs="Arial"/>
              </w:rPr>
              <w:t>Tax</w:t>
            </w:r>
          </w:p>
          <w:p w14:paraId="5BC750E9" w14:textId="77777777" w:rsidR="000D6B5F" w:rsidRPr="00D22B7C" w:rsidRDefault="000D6B5F" w:rsidP="00587B01">
            <w:pPr>
              <w:jc w:val="right"/>
              <w:rPr>
                <w:rFonts w:ascii="Arial" w:hAnsi="Arial" w:cs="Arial"/>
              </w:rPr>
            </w:pPr>
            <w:r>
              <w:rPr>
                <w:rFonts w:ascii="Arial" w:hAnsi="Arial" w:cs="Arial"/>
              </w:rPr>
              <w:t>£m</w:t>
            </w:r>
          </w:p>
        </w:tc>
        <w:tc>
          <w:tcPr>
            <w:tcW w:w="1182" w:type="dxa"/>
            <w:tcBorders>
              <w:top w:val="nil"/>
              <w:left w:val="nil"/>
              <w:bottom w:val="single" w:sz="8" w:space="0" w:color="auto"/>
              <w:right w:val="nil"/>
            </w:tcBorders>
            <w:tcMar>
              <w:top w:w="0" w:type="dxa"/>
              <w:left w:w="108" w:type="dxa"/>
              <w:bottom w:w="0" w:type="dxa"/>
              <w:right w:w="108" w:type="dxa"/>
            </w:tcMar>
            <w:hideMark/>
          </w:tcPr>
          <w:p w14:paraId="0877DF94" w14:textId="77777777" w:rsidR="000D6B5F" w:rsidRPr="00D22B7C" w:rsidRDefault="000D6B5F" w:rsidP="00587B01">
            <w:pPr>
              <w:jc w:val="right"/>
              <w:rPr>
                <w:rFonts w:ascii="Arial" w:hAnsi="Arial" w:cs="Arial"/>
              </w:rPr>
            </w:pPr>
            <w:r w:rsidRPr="00D22B7C">
              <w:rPr>
                <w:rFonts w:ascii="Arial" w:hAnsi="Arial" w:cs="Arial"/>
              </w:rPr>
              <w:t>201</w:t>
            </w:r>
            <w:r>
              <w:rPr>
                <w:rFonts w:ascii="Arial" w:hAnsi="Arial" w:cs="Arial"/>
              </w:rPr>
              <w:t>7</w:t>
            </w:r>
            <w:r w:rsidRPr="00D22B7C">
              <w:rPr>
                <w:rFonts w:ascii="Arial" w:hAnsi="Arial" w:cs="Arial"/>
              </w:rPr>
              <w:t>/1</w:t>
            </w:r>
            <w:r>
              <w:rPr>
                <w:rFonts w:ascii="Arial" w:hAnsi="Arial" w:cs="Arial"/>
              </w:rPr>
              <w:t>8</w:t>
            </w:r>
          </w:p>
          <w:p w14:paraId="79C8D793" w14:textId="77777777" w:rsidR="000D6B5F" w:rsidRPr="00D22B7C" w:rsidRDefault="000D6B5F" w:rsidP="00587B01">
            <w:pPr>
              <w:jc w:val="right"/>
              <w:rPr>
                <w:rFonts w:ascii="Arial" w:hAnsi="Arial" w:cs="Arial"/>
              </w:rPr>
            </w:pPr>
            <w:r w:rsidRPr="00D22B7C">
              <w:rPr>
                <w:rFonts w:ascii="Arial" w:hAnsi="Arial" w:cs="Arial"/>
              </w:rPr>
              <w:t>%</w:t>
            </w:r>
          </w:p>
        </w:tc>
      </w:tr>
      <w:tr w:rsidR="000D6B5F" w:rsidRPr="00D22B7C" w14:paraId="4B5E75C7" w14:textId="77777777" w:rsidTr="0035009E">
        <w:trPr>
          <w:trHeight w:val="176"/>
        </w:trPr>
        <w:tc>
          <w:tcPr>
            <w:tcW w:w="4536" w:type="dxa"/>
            <w:tcMar>
              <w:top w:w="0" w:type="dxa"/>
              <w:left w:w="108" w:type="dxa"/>
              <w:bottom w:w="0" w:type="dxa"/>
              <w:right w:w="108" w:type="dxa"/>
            </w:tcMar>
            <w:hideMark/>
          </w:tcPr>
          <w:p w14:paraId="78D7A01A" w14:textId="62126ADF" w:rsidR="000D6B5F" w:rsidRPr="00C36E6F" w:rsidRDefault="00613DF2" w:rsidP="0035009E">
            <w:pPr>
              <w:jc w:val="left"/>
              <w:rPr>
                <w:rFonts w:ascii="Arial" w:hAnsi="Arial" w:cs="Arial"/>
              </w:rPr>
            </w:pPr>
            <w:r>
              <w:rPr>
                <w:rFonts w:ascii="Arial" w:hAnsi="Arial" w:cs="Arial"/>
              </w:rPr>
              <w:t>Profit before tax and exceptional items</w:t>
            </w:r>
          </w:p>
        </w:tc>
        <w:tc>
          <w:tcPr>
            <w:tcW w:w="236" w:type="dxa"/>
            <w:tcMar>
              <w:top w:w="0" w:type="dxa"/>
              <w:left w:w="108" w:type="dxa"/>
              <w:bottom w:w="0" w:type="dxa"/>
              <w:right w:w="108" w:type="dxa"/>
            </w:tcMar>
            <w:hideMark/>
          </w:tcPr>
          <w:p w14:paraId="03260E6B" w14:textId="77777777" w:rsidR="000D6B5F" w:rsidRPr="00FB6272" w:rsidRDefault="000D6B5F" w:rsidP="00587B01">
            <w:pPr>
              <w:jc w:val="right"/>
              <w:rPr>
                <w:rFonts w:ascii="Arial" w:hAnsi="Arial" w:cs="Arial"/>
                <w:b/>
              </w:rPr>
            </w:pPr>
            <w:r w:rsidRPr="00FB6272">
              <w:rPr>
                <w:rFonts w:ascii="Arial" w:hAnsi="Arial" w:cs="Arial"/>
                <w:b/>
              </w:rPr>
              <w:t>573</w:t>
            </w:r>
          </w:p>
        </w:tc>
        <w:tc>
          <w:tcPr>
            <w:tcW w:w="990" w:type="dxa"/>
            <w:tcMar>
              <w:top w:w="0" w:type="dxa"/>
              <w:left w:w="108" w:type="dxa"/>
              <w:bottom w:w="0" w:type="dxa"/>
              <w:right w:w="108" w:type="dxa"/>
            </w:tcMar>
            <w:hideMark/>
          </w:tcPr>
          <w:p w14:paraId="6603D3D8" w14:textId="779AD8C1" w:rsidR="000D6B5F" w:rsidRPr="00E45C2D" w:rsidRDefault="000D6B5F" w:rsidP="00587B01">
            <w:pPr>
              <w:jc w:val="right"/>
              <w:rPr>
                <w:rFonts w:ascii="Arial" w:hAnsi="Arial" w:cs="Arial"/>
                <w:b/>
              </w:rPr>
            </w:pPr>
            <w:r w:rsidRPr="00E45C2D">
              <w:rPr>
                <w:rFonts w:ascii="Arial" w:hAnsi="Arial" w:cs="Arial"/>
                <w:b/>
              </w:rPr>
              <w:t>(1</w:t>
            </w:r>
            <w:r w:rsidR="00F12F4E">
              <w:rPr>
                <w:rFonts w:ascii="Arial" w:hAnsi="Arial" w:cs="Arial"/>
                <w:b/>
              </w:rPr>
              <w:t>52</w:t>
            </w:r>
            <w:r w:rsidRPr="00E45C2D">
              <w:rPr>
                <w:rFonts w:ascii="Arial" w:hAnsi="Arial" w:cs="Arial"/>
                <w:b/>
              </w:rPr>
              <w:t>)</w:t>
            </w:r>
          </w:p>
        </w:tc>
        <w:tc>
          <w:tcPr>
            <w:tcW w:w="1179" w:type="dxa"/>
            <w:tcMar>
              <w:top w:w="0" w:type="dxa"/>
              <w:left w:w="108" w:type="dxa"/>
              <w:bottom w:w="0" w:type="dxa"/>
              <w:right w:w="108" w:type="dxa"/>
            </w:tcMar>
            <w:hideMark/>
          </w:tcPr>
          <w:p w14:paraId="3BE2EF6C" w14:textId="0A7A6BF6" w:rsidR="000D6B5F" w:rsidRPr="00E45C2D" w:rsidRDefault="000D6B5F" w:rsidP="00587B01">
            <w:pPr>
              <w:jc w:val="right"/>
              <w:rPr>
                <w:rFonts w:ascii="Arial" w:hAnsi="Arial" w:cs="Arial"/>
                <w:b/>
              </w:rPr>
            </w:pPr>
            <w:r w:rsidRPr="00E45C2D">
              <w:rPr>
                <w:rFonts w:ascii="Arial" w:hAnsi="Arial" w:cs="Arial"/>
                <w:b/>
              </w:rPr>
              <w:t>2</w:t>
            </w:r>
            <w:r w:rsidR="00FF40EA">
              <w:rPr>
                <w:rFonts w:ascii="Arial" w:hAnsi="Arial" w:cs="Arial"/>
                <w:b/>
              </w:rPr>
              <w:t>7</w:t>
            </w:r>
            <w:r w:rsidRPr="00E45C2D">
              <w:rPr>
                <w:rFonts w:ascii="Arial" w:hAnsi="Arial" w:cs="Arial"/>
                <w:b/>
              </w:rPr>
              <w:t>%</w:t>
            </w:r>
          </w:p>
        </w:tc>
        <w:tc>
          <w:tcPr>
            <w:tcW w:w="796" w:type="dxa"/>
          </w:tcPr>
          <w:p w14:paraId="0C07C693" w14:textId="77777777" w:rsidR="000D6B5F" w:rsidRPr="005A65ED" w:rsidRDefault="000D6B5F" w:rsidP="00587B01">
            <w:pPr>
              <w:jc w:val="right"/>
              <w:rPr>
                <w:rFonts w:ascii="Arial" w:hAnsi="Arial" w:cs="Arial"/>
              </w:rPr>
            </w:pPr>
            <w:r w:rsidRPr="00F95536">
              <w:rPr>
                <w:rFonts w:ascii="Arial" w:hAnsi="Arial" w:cs="Arial"/>
              </w:rPr>
              <w:t>682</w:t>
            </w:r>
          </w:p>
        </w:tc>
        <w:tc>
          <w:tcPr>
            <w:tcW w:w="996" w:type="dxa"/>
          </w:tcPr>
          <w:p w14:paraId="21599BB1" w14:textId="77777777" w:rsidR="000D6B5F" w:rsidRPr="005A65ED" w:rsidRDefault="000D6B5F" w:rsidP="00587B01">
            <w:pPr>
              <w:jc w:val="right"/>
              <w:rPr>
                <w:rFonts w:ascii="Arial" w:hAnsi="Arial" w:cs="Arial"/>
              </w:rPr>
            </w:pPr>
            <w:r w:rsidRPr="00F95536">
              <w:rPr>
                <w:rFonts w:ascii="Arial" w:hAnsi="Arial" w:cs="Arial"/>
              </w:rPr>
              <w:t>(204)</w:t>
            </w:r>
          </w:p>
        </w:tc>
        <w:tc>
          <w:tcPr>
            <w:tcW w:w="1182" w:type="dxa"/>
            <w:tcMar>
              <w:top w:w="0" w:type="dxa"/>
              <w:left w:w="108" w:type="dxa"/>
              <w:bottom w:w="0" w:type="dxa"/>
              <w:right w:w="108" w:type="dxa"/>
            </w:tcMar>
            <w:hideMark/>
          </w:tcPr>
          <w:p w14:paraId="05B6A82D" w14:textId="77777777" w:rsidR="000D6B5F" w:rsidRPr="005A65ED" w:rsidRDefault="000D6B5F" w:rsidP="00587B01">
            <w:pPr>
              <w:jc w:val="right"/>
              <w:rPr>
                <w:rFonts w:ascii="Arial" w:hAnsi="Arial" w:cs="Arial"/>
              </w:rPr>
            </w:pPr>
            <w:r w:rsidRPr="00F95536">
              <w:rPr>
                <w:rFonts w:ascii="Arial" w:hAnsi="Arial" w:cs="Arial"/>
              </w:rPr>
              <w:t>30%</w:t>
            </w:r>
          </w:p>
        </w:tc>
      </w:tr>
      <w:tr w:rsidR="000D6B5F" w:rsidRPr="00D22B7C" w14:paraId="6FD37E66" w14:textId="77777777" w:rsidTr="0035009E">
        <w:trPr>
          <w:trHeight w:val="311"/>
        </w:trPr>
        <w:tc>
          <w:tcPr>
            <w:tcW w:w="4536" w:type="dxa"/>
            <w:tcBorders>
              <w:top w:val="nil"/>
              <w:left w:val="nil"/>
              <w:right w:val="nil"/>
            </w:tcBorders>
            <w:tcMar>
              <w:top w:w="0" w:type="dxa"/>
              <w:left w:w="108" w:type="dxa"/>
              <w:bottom w:w="0" w:type="dxa"/>
              <w:right w:w="108" w:type="dxa"/>
            </w:tcMar>
          </w:tcPr>
          <w:p w14:paraId="01D92C50" w14:textId="77777777" w:rsidR="000D6B5F" w:rsidRPr="00C36E6F" w:rsidRDefault="000D6B5F" w:rsidP="00587B01">
            <w:pPr>
              <w:rPr>
                <w:rFonts w:ascii="Arial" w:hAnsi="Arial" w:cs="Arial"/>
              </w:rPr>
            </w:pPr>
            <w:r>
              <w:rPr>
                <w:rFonts w:ascii="Arial" w:hAnsi="Arial" w:cs="Arial"/>
              </w:rPr>
              <w:t>Exceptional items</w:t>
            </w:r>
          </w:p>
        </w:tc>
        <w:tc>
          <w:tcPr>
            <w:tcW w:w="236" w:type="dxa"/>
            <w:tcBorders>
              <w:top w:val="nil"/>
              <w:left w:val="nil"/>
              <w:right w:val="nil"/>
            </w:tcBorders>
            <w:tcMar>
              <w:top w:w="0" w:type="dxa"/>
              <w:left w:w="108" w:type="dxa"/>
              <w:bottom w:w="0" w:type="dxa"/>
              <w:right w:w="108" w:type="dxa"/>
            </w:tcMar>
          </w:tcPr>
          <w:p w14:paraId="0385A473" w14:textId="497D2E31" w:rsidR="000D6B5F" w:rsidRPr="00FB6272" w:rsidRDefault="000D6B5F" w:rsidP="00587B01">
            <w:pPr>
              <w:jc w:val="right"/>
              <w:rPr>
                <w:rFonts w:ascii="Arial" w:hAnsi="Arial" w:cs="Arial"/>
                <w:b/>
                <w:bCs/>
              </w:rPr>
            </w:pPr>
            <w:r w:rsidRPr="00FB6272">
              <w:rPr>
                <w:rFonts w:ascii="Arial" w:hAnsi="Arial" w:cs="Arial"/>
                <w:b/>
                <w:bCs/>
              </w:rPr>
              <w:t>(2</w:t>
            </w:r>
            <w:r w:rsidR="00D735C2">
              <w:rPr>
                <w:rFonts w:ascii="Arial" w:hAnsi="Arial" w:cs="Arial"/>
                <w:b/>
                <w:bCs/>
              </w:rPr>
              <w:t>51</w:t>
            </w:r>
            <w:r w:rsidRPr="00FB6272">
              <w:rPr>
                <w:rFonts w:ascii="Arial" w:hAnsi="Arial" w:cs="Arial"/>
                <w:b/>
                <w:bCs/>
              </w:rPr>
              <w:t>)</w:t>
            </w:r>
          </w:p>
        </w:tc>
        <w:tc>
          <w:tcPr>
            <w:tcW w:w="990" w:type="dxa"/>
            <w:tcBorders>
              <w:top w:val="nil"/>
              <w:left w:val="nil"/>
              <w:right w:val="nil"/>
            </w:tcBorders>
            <w:tcMar>
              <w:top w:w="0" w:type="dxa"/>
              <w:left w:w="108" w:type="dxa"/>
              <w:bottom w:w="0" w:type="dxa"/>
              <w:right w:w="108" w:type="dxa"/>
            </w:tcMar>
          </w:tcPr>
          <w:p w14:paraId="390289C6" w14:textId="5E9EEBAA" w:rsidR="000D6B5F" w:rsidRPr="00FB6272" w:rsidRDefault="00D735C2" w:rsidP="00587B01">
            <w:pPr>
              <w:jc w:val="right"/>
              <w:rPr>
                <w:rFonts w:ascii="Arial" w:hAnsi="Arial" w:cs="Arial"/>
                <w:b/>
              </w:rPr>
            </w:pPr>
            <w:r>
              <w:rPr>
                <w:rFonts w:ascii="Arial" w:hAnsi="Arial" w:cs="Arial"/>
                <w:b/>
              </w:rPr>
              <w:t>61</w:t>
            </w:r>
          </w:p>
        </w:tc>
        <w:tc>
          <w:tcPr>
            <w:tcW w:w="1179" w:type="dxa"/>
            <w:tcBorders>
              <w:top w:val="nil"/>
              <w:left w:val="nil"/>
              <w:right w:val="nil"/>
            </w:tcBorders>
            <w:tcMar>
              <w:top w:w="0" w:type="dxa"/>
              <w:left w:w="108" w:type="dxa"/>
              <w:bottom w:w="0" w:type="dxa"/>
              <w:right w:w="108" w:type="dxa"/>
            </w:tcMar>
          </w:tcPr>
          <w:p w14:paraId="316C5207" w14:textId="77777777" w:rsidR="000D6B5F" w:rsidRPr="00FB6272" w:rsidRDefault="000D6B5F" w:rsidP="00587B01">
            <w:pPr>
              <w:jc w:val="right"/>
              <w:rPr>
                <w:rFonts w:ascii="Arial" w:hAnsi="Arial" w:cs="Arial"/>
                <w:b/>
                <w:bCs/>
              </w:rPr>
            </w:pPr>
          </w:p>
        </w:tc>
        <w:tc>
          <w:tcPr>
            <w:tcW w:w="796" w:type="dxa"/>
            <w:tcBorders>
              <w:top w:val="nil"/>
              <w:left w:val="nil"/>
              <w:right w:val="nil"/>
            </w:tcBorders>
          </w:tcPr>
          <w:p w14:paraId="2393B0AF" w14:textId="77777777" w:rsidR="000D6B5F" w:rsidRPr="005A65ED" w:rsidRDefault="000D6B5F" w:rsidP="00587B01">
            <w:pPr>
              <w:jc w:val="right"/>
              <w:rPr>
                <w:rFonts w:ascii="Arial" w:hAnsi="Arial" w:cs="Arial"/>
              </w:rPr>
            </w:pPr>
            <w:r w:rsidRPr="00F95536">
              <w:rPr>
                <w:rFonts w:ascii="Arial" w:hAnsi="Arial" w:cs="Arial"/>
                <w:bCs/>
              </w:rPr>
              <w:t>-</w:t>
            </w:r>
          </w:p>
        </w:tc>
        <w:tc>
          <w:tcPr>
            <w:tcW w:w="996" w:type="dxa"/>
            <w:tcBorders>
              <w:top w:val="nil"/>
              <w:left w:val="nil"/>
              <w:right w:val="nil"/>
            </w:tcBorders>
          </w:tcPr>
          <w:p w14:paraId="73EDF0C1" w14:textId="77777777" w:rsidR="000D6B5F" w:rsidRPr="005A65ED" w:rsidRDefault="000D6B5F" w:rsidP="00587B01">
            <w:pPr>
              <w:jc w:val="right"/>
              <w:rPr>
                <w:rFonts w:ascii="Arial" w:hAnsi="Arial" w:cs="Arial"/>
              </w:rPr>
            </w:pPr>
            <w:r w:rsidRPr="00F95536">
              <w:rPr>
                <w:rFonts w:ascii="Arial" w:hAnsi="Arial" w:cs="Arial"/>
              </w:rPr>
              <w:t>-</w:t>
            </w:r>
          </w:p>
        </w:tc>
        <w:tc>
          <w:tcPr>
            <w:tcW w:w="1182" w:type="dxa"/>
            <w:tcBorders>
              <w:top w:val="nil"/>
              <w:left w:val="nil"/>
              <w:right w:val="nil"/>
            </w:tcBorders>
            <w:tcMar>
              <w:top w:w="0" w:type="dxa"/>
              <w:left w:w="108" w:type="dxa"/>
              <w:bottom w:w="0" w:type="dxa"/>
              <w:right w:w="108" w:type="dxa"/>
            </w:tcMar>
          </w:tcPr>
          <w:p w14:paraId="0A3A0B63" w14:textId="77777777" w:rsidR="000D6B5F" w:rsidRPr="005A65ED" w:rsidRDefault="000D6B5F" w:rsidP="00587B01">
            <w:pPr>
              <w:jc w:val="right"/>
              <w:rPr>
                <w:rFonts w:ascii="Arial" w:hAnsi="Arial" w:cs="Arial"/>
              </w:rPr>
            </w:pPr>
          </w:p>
        </w:tc>
      </w:tr>
      <w:tr w:rsidR="000D6B5F" w:rsidRPr="00D22B7C" w14:paraId="1ADBA2BC" w14:textId="77777777" w:rsidTr="0035009E">
        <w:trPr>
          <w:trHeight w:val="311"/>
        </w:trPr>
        <w:tc>
          <w:tcPr>
            <w:tcW w:w="4536" w:type="dxa"/>
            <w:tcBorders>
              <w:top w:val="nil"/>
              <w:left w:val="nil"/>
              <w:bottom w:val="single" w:sz="8" w:space="0" w:color="auto"/>
              <w:right w:val="nil"/>
            </w:tcBorders>
            <w:tcMar>
              <w:top w:w="0" w:type="dxa"/>
              <w:left w:w="108" w:type="dxa"/>
              <w:bottom w:w="0" w:type="dxa"/>
              <w:right w:w="108" w:type="dxa"/>
            </w:tcMar>
            <w:hideMark/>
          </w:tcPr>
          <w:p w14:paraId="1FA4FA0E" w14:textId="77777777" w:rsidR="000D6B5F" w:rsidRPr="00C36E6F" w:rsidRDefault="000D6B5F" w:rsidP="00587B01">
            <w:pPr>
              <w:rPr>
                <w:rFonts w:ascii="Arial" w:hAnsi="Arial" w:cs="Arial"/>
              </w:rPr>
            </w:pPr>
            <w:r w:rsidRPr="00C36E6F">
              <w:rPr>
                <w:rFonts w:ascii="Arial" w:hAnsi="Arial" w:cs="Arial"/>
              </w:rPr>
              <w:t>Prior year items</w:t>
            </w:r>
          </w:p>
        </w:tc>
        <w:tc>
          <w:tcPr>
            <w:tcW w:w="236" w:type="dxa"/>
            <w:tcBorders>
              <w:top w:val="nil"/>
              <w:left w:val="nil"/>
              <w:bottom w:val="single" w:sz="8" w:space="0" w:color="auto"/>
              <w:right w:val="nil"/>
            </w:tcBorders>
            <w:tcMar>
              <w:top w:w="0" w:type="dxa"/>
              <w:left w:w="108" w:type="dxa"/>
              <w:bottom w:w="0" w:type="dxa"/>
              <w:right w:w="108" w:type="dxa"/>
            </w:tcMar>
          </w:tcPr>
          <w:p w14:paraId="1719AD40" w14:textId="77777777" w:rsidR="000D6B5F" w:rsidRPr="00FB6272" w:rsidRDefault="000D6B5F" w:rsidP="00587B01">
            <w:pPr>
              <w:jc w:val="right"/>
              <w:rPr>
                <w:rFonts w:ascii="Arial" w:hAnsi="Arial" w:cs="Arial"/>
                <w:b/>
                <w:bCs/>
              </w:rPr>
            </w:pPr>
            <w:r w:rsidRPr="00FB6272">
              <w:rPr>
                <w:rFonts w:ascii="Arial" w:hAnsi="Arial" w:cs="Arial"/>
                <w:b/>
                <w:bCs/>
              </w:rPr>
              <w:t>-</w:t>
            </w:r>
          </w:p>
        </w:tc>
        <w:tc>
          <w:tcPr>
            <w:tcW w:w="990" w:type="dxa"/>
            <w:tcBorders>
              <w:top w:val="nil"/>
              <w:left w:val="nil"/>
              <w:bottom w:val="single" w:sz="8" w:space="0" w:color="auto"/>
              <w:right w:val="nil"/>
            </w:tcBorders>
            <w:tcMar>
              <w:top w:w="0" w:type="dxa"/>
              <w:left w:w="108" w:type="dxa"/>
              <w:bottom w:w="0" w:type="dxa"/>
              <w:right w:w="108" w:type="dxa"/>
            </w:tcMar>
            <w:hideMark/>
          </w:tcPr>
          <w:p w14:paraId="4F1832A3" w14:textId="11C3CFD2" w:rsidR="000D6B5F" w:rsidRPr="00FB6272" w:rsidRDefault="000D6B5F" w:rsidP="00587B01">
            <w:pPr>
              <w:jc w:val="right"/>
              <w:rPr>
                <w:rFonts w:ascii="Arial" w:hAnsi="Arial" w:cs="Arial"/>
                <w:b/>
              </w:rPr>
            </w:pPr>
            <w:r w:rsidRPr="00FB6272">
              <w:rPr>
                <w:rFonts w:ascii="Arial" w:hAnsi="Arial" w:cs="Arial"/>
                <w:b/>
              </w:rPr>
              <w:t>(</w:t>
            </w:r>
            <w:r>
              <w:rPr>
                <w:rFonts w:ascii="Arial" w:hAnsi="Arial" w:cs="Arial"/>
                <w:b/>
              </w:rPr>
              <w:t>1</w:t>
            </w:r>
            <w:r w:rsidR="00D735C2">
              <w:rPr>
                <w:rFonts w:ascii="Arial" w:hAnsi="Arial" w:cs="Arial"/>
                <w:b/>
              </w:rPr>
              <w:t>3</w:t>
            </w:r>
            <w:r w:rsidRPr="00FB6272">
              <w:rPr>
                <w:rFonts w:ascii="Arial" w:hAnsi="Arial" w:cs="Arial"/>
                <w:b/>
              </w:rPr>
              <w:t>)</w:t>
            </w:r>
          </w:p>
        </w:tc>
        <w:tc>
          <w:tcPr>
            <w:tcW w:w="1179" w:type="dxa"/>
            <w:tcBorders>
              <w:top w:val="nil"/>
              <w:left w:val="nil"/>
              <w:bottom w:val="single" w:sz="8" w:space="0" w:color="auto"/>
              <w:right w:val="nil"/>
            </w:tcBorders>
            <w:tcMar>
              <w:top w:w="0" w:type="dxa"/>
              <w:left w:w="108" w:type="dxa"/>
              <w:bottom w:w="0" w:type="dxa"/>
              <w:right w:w="108" w:type="dxa"/>
            </w:tcMar>
          </w:tcPr>
          <w:p w14:paraId="6E5B6E81" w14:textId="77777777" w:rsidR="000D6B5F" w:rsidRPr="00FB6272" w:rsidRDefault="000D6B5F" w:rsidP="00587B01">
            <w:pPr>
              <w:jc w:val="right"/>
              <w:rPr>
                <w:rFonts w:ascii="Arial" w:hAnsi="Arial" w:cs="Arial"/>
                <w:b/>
                <w:bCs/>
              </w:rPr>
            </w:pPr>
          </w:p>
        </w:tc>
        <w:tc>
          <w:tcPr>
            <w:tcW w:w="796" w:type="dxa"/>
            <w:tcBorders>
              <w:top w:val="nil"/>
              <w:left w:val="nil"/>
              <w:bottom w:val="single" w:sz="8" w:space="0" w:color="auto"/>
              <w:right w:val="nil"/>
            </w:tcBorders>
          </w:tcPr>
          <w:p w14:paraId="44AB3C28" w14:textId="77777777" w:rsidR="000D6B5F" w:rsidRPr="005A65ED" w:rsidRDefault="000D6B5F" w:rsidP="00587B01">
            <w:pPr>
              <w:jc w:val="right"/>
              <w:rPr>
                <w:rFonts w:ascii="Arial" w:hAnsi="Arial" w:cs="Arial"/>
              </w:rPr>
            </w:pPr>
            <w:r w:rsidRPr="00F95536">
              <w:rPr>
                <w:rFonts w:ascii="Arial" w:hAnsi="Arial" w:cs="Arial"/>
                <w:bCs/>
              </w:rPr>
              <w:t>-</w:t>
            </w:r>
          </w:p>
        </w:tc>
        <w:tc>
          <w:tcPr>
            <w:tcW w:w="996" w:type="dxa"/>
            <w:tcBorders>
              <w:top w:val="nil"/>
              <w:left w:val="nil"/>
              <w:bottom w:val="single" w:sz="8" w:space="0" w:color="auto"/>
              <w:right w:val="nil"/>
            </w:tcBorders>
          </w:tcPr>
          <w:p w14:paraId="782F9695" w14:textId="77777777" w:rsidR="000D6B5F" w:rsidRPr="005A65ED" w:rsidRDefault="000D6B5F" w:rsidP="00587B01">
            <w:pPr>
              <w:jc w:val="right"/>
              <w:rPr>
                <w:rFonts w:ascii="Arial" w:hAnsi="Arial" w:cs="Arial"/>
              </w:rPr>
            </w:pPr>
            <w:r w:rsidRPr="00F95536">
              <w:rPr>
                <w:rFonts w:ascii="Arial" w:hAnsi="Arial" w:cs="Arial"/>
              </w:rPr>
              <w:t>7</w:t>
            </w:r>
          </w:p>
        </w:tc>
        <w:tc>
          <w:tcPr>
            <w:tcW w:w="1182" w:type="dxa"/>
            <w:tcBorders>
              <w:top w:val="nil"/>
              <w:left w:val="nil"/>
              <w:bottom w:val="single" w:sz="8" w:space="0" w:color="auto"/>
              <w:right w:val="nil"/>
            </w:tcBorders>
            <w:tcMar>
              <w:top w:w="0" w:type="dxa"/>
              <w:left w:w="108" w:type="dxa"/>
              <w:bottom w:w="0" w:type="dxa"/>
              <w:right w:w="108" w:type="dxa"/>
            </w:tcMar>
          </w:tcPr>
          <w:p w14:paraId="54B0B9FB" w14:textId="77777777" w:rsidR="000D6B5F" w:rsidRPr="005A65ED" w:rsidRDefault="000D6B5F" w:rsidP="00587B01">
            <w:pPr>
              <w:jc w:val="right"/>
              <w:rPr>
                <w:rFonts w:ascii="Arial" w:hAnsi="Arial" w:cs="Arial"/>
              </w:rPr>
            </w:pPr>
          </w:p>
        </w:tc>
      </w:tr>
      <w:tr w:rsidR="000D6B5F" w:rsidRPr="00A845B7" w14:paraId="2ED3F82D" w14:textId="77777777" w:rsidTr="0035009E">
        <w:trPr>
          <w:trHeight w:val="329"/>
        </w:trPr>
        <w:tc>
          <w:tcPr>
            <w:tcW w:w="4536" w:type="dxa"/>
            <w:tcBorders>
              <w:top w:val="nil"/>
              <w:left w:val="nil"/>
              <w:bottom w:val="single" w:sz="8" w:space="0" w:color="auto"/>
              <w:right w:val="nil"/>
            </w:tcBorders>
            <w:tcMar>
              <w:top w:w="0" w:type="dxa"/>
              <w:left w:w="108" w:type="dxa"/>
              <w:bottom w:w="0" w:type="dxa"/>
              <w:right w:w="108" w:type="dxa"/>
            </w:tcMar>
            <w:hideMark/>
          </w:tcPr>
          <w:p w14:paraId="76FEC3E3" w14:textId="200876D2" w:rsidR="000D6B5F" w:rsidRPr="00C36E6F" w:rsidRDefault="00613DF2" w:rsidP="00587B01">
            <w:pPr>
              <w:rPr>
                <w:rFonts w:ascii="Arial" w:hAnsi="Arial" w:cs="Arial"/>
                <w:b/>
                <w:bCs/>
              </w:rPr>
            </w:pPr>
            <w:r>
              <w:rPr>
                <w:rFonts w:ascii="Arial" w:hAnsi="Arial" w:cs="Arial"/>
                <w:b/>
                <w:bCs/>
              </w:rPr>
              <w:t>Total - o</w:t>
            </w:r>
            <w:r w:rsidR="000D6B5F" w:rsidRPr="00C36E6F">
              <w:rPr>
                <w:rFonts w:ascii="Arial" w:hAnsi="Arial" w:cs="Arial"/>
                <w:b/>
                <w:bCs/>
              </w:rPr>
              <w:t>verall</w:t>
            </w:r>
            <w:r w:rsidR="000D6B5F">
              <w:rPr>
                <w:rFonts w:ascii="Arial" w:hAnsi="Arial" w:cs="Arial"/>
                <w:b/>
                <w:bCs/>
              </w:rPr>
              <w:t xml:space="preserve"> tax rate</w:t>
            </w:r>
          </w:p>
        </w:tc>
        <w:tc>
          <w:tcPr>
            <w:tcW w:w="236" w:type="dxa"/>
            <w:tcBorders>
              <w:top w:val="nil"/>
              <w:left w:val="nil"/>
              <w:bottom w:val="single" w:sz="8" w:space="0" w:color="auto"/>
              <w:right w:val="nil"/>
            </w:tcBorders>
            <w:tcMar>
              <w:top w:w="0" w:type="dxa"/>
              <w:left w:w="108" w:type="dxa"/>
              <w:bottom w:w="0" w:type="dxa"/>
              <w:right w:w="108" w:type="dxa"/>
            </w:tcMar>
            <w:hideMark/>
          </w:tcPr>
          <w:p w14:paraId="26ADC125" w14:textId="78E46FAA" w:rsidR="000D6B5F" w:rsidRPr="00FB6272" w:rsidRDefault="000D6B5F" w:rsidP="00587B01">
            <w:pPr>
              <w:jc w:val="right"/>
              <w:rPr>
                <w:rFonts w:ascii="Arial" w:hAnsi="Arial" w:cs="Arial"/>
                <w:b/>
                <w:bCs/>
              </w:rPr>
            </w:pPr>
            <w:r w:rsidRPr="00FB6272">
              <w:rPr>
                <w:rFonts w:ascii="Arial" w:hAnsi="Arial" w:cs="Arial"/>
                <w:b/>
                <w:bCs/>
              </w:rPr>
              <w:t>3</w:t>
            </w:r>
            <w:r w:rsidR="00D735C2">
              <w:rPr>
                <w:rFonts w:ascii="Arial" w:hAnsi="Arial" w:cs="Arial"/>
                <w:b/>
                <w:bCs/>
              </w:rPr>
              <w:t>22</w:t>
            </w:r>
          </w:p>
        </w:tc>
        <w:tc>
          <w:tcPr>
            <w:tcW w:w="990" w:type="dxa"/>
            <w:tcBorders>
              <w:top w:val="nil"/>
              <w:left w:val="nil"/>
              <w:bottom w:val="single" w:sz="8" w:space="0" w:color="auto"/>
              <w:right w:val="nil"/>
            </w:tcBorders>
            <w:tcMar>
              <w:top w:w="0" w:type="dxa"/>
              <w:left w:w="108" w:type="dxa"/>
              <w:bottom w:w="0" w:type="dxa"/>
              <w:right w:w="108" w:type="dxa"/>
            </w:tcMar>
            <w:hideMark/>
          </w:tcPr>
          <w:p w14:paraId="72D76EA5" w14:textId="0F7E55FB" w:rsidR="000D6B5F" w:rsidRPr="00FB6272" w:rsidRDefault="000D6B5F" w:rsidP="00587B01">
            <w:pPr>
              <w:jc w:val="right"/>
              <w:rPr>
                <w:rFonts w:ascii="Arial" w:hAnsi="Arial" w:cs="Arial"/>
                <w:b/>
                <w:bCs/>
              </w:rPr>
            </w:pPr>
            <w:r w:rsidRPr="00FB6272">
              <w:rPr>
                <w:rFonts w:ascii="Arial" w:hAnsi="Arial" w:cs="Arial"/>
                <w:b/>
                <w:bCs/>
              </w:rPr>
              <w:t>(1</w:t>
            </w:r>
            <w:r w:rsidR="00AA29FF">
              <w:rPr>
                <w:rFonts w:ascii="Arial" w:hAnsi="Arial" w:cs="Arial"/>
                <w:b/>
                <w:bCs/>
              </w:rPr>
              <w:t>04</w:t>
            </w:r>
            <w:r w:rsidRPr="00FB6272">
              <w:rPr>
                <w:rFonts w:ascii="Arial" w:hAnsi="Arial" w:cs="Arial"/>
                <w:b/>
                <w:bCs/>
              </w:rPr>
              <w:t>)</w:t>
            </w:r>
          </w:p>
        </w:tc>
        <w:tc>
          <w:tcPr>
            <w:tcW w:w="1179" w:type="dxa"/>
            <w:tcBorders>
              <w:top w:val="nil"/>
              <w:left w:val="nil"/>
              <w:bottom w:val="single" w:sz="8" w:space="0" w:color="auto"/>
              <w:right w:val="nil"/>
            </w:tcBorders>
            <w:tcMar>
              <w:top w:w="0" w:type="dxa"/>
              <w:left w:w="108" w:type="dxa"/>
              <w:bottom w:w="0" w:type="dxa"/>
              <w:right w:w="108" w:type="dxa"/>
            </w:tcMar>
            <w:hideMark/>
          </w:tcPr>
          <w:p w14:paraId="4DBCB7B6" w14:textId="7CB53926" w:rsidR="000D6B5F" w:rsidRPr="00FB6272" w:rsidRDefault="000D6B5F" w:rsidP="00587B01">
            <w:pPr>
              <w:jc w:val="right"/>
              <w:rPr>
                <w:rFonts w:ascii="Arial" w:hAnsi="Arial" w:cs="Arial"/>
                <w:b/>
                <w:bCs/>
              </w:rPr>
            </w:pPr>
            <w:r w:rsidRPr="00FB6272">
              <w:rPr>
                <w:rFonts w:ascii="Arial" w:hAnsi="Arial" w:cs="Arial"/>
                <w:b/>
                <w:bCs/>
              </w:rPr>
              <w:t>3</w:t>
            </w:r>
            <w:r w:rsidR="00AA29FF">
              <w:rPr>
                <w:rFonts w:ascii="Arial" w:hAnsi="Arial" w:cs="Arial"/>
                <w:b/>
                <w:bCs/>
              </w:rPr>
              <w:t>2</w:t>
            </w:r>
            <w:r w:rsidRPr="00FB6272">
              <w:rPr>
                <w:rFonts w:ascii="Arial" w:hAnsi="Arial" w:cs="Arial"/>
                <w:b/>
                <w:bCs/>
              </w:rPr>
              <w:t>%</w:t>
            </w:r>
          </w:p>
        </w:tc>
        <w:tc>
          <w:tcPr>
            <w:tcW w:w="796" w:type="dxa"/>
            <w:tcBorders>
              <w:top w:val="nil"/>
              <w:left w:val="nil"/>
              <w:bottom w:val="single" w:sz="8" w:space="0" w:color="auto"/>
              <w:right w:val="nil"/>
            </w:tcBorders>
          </w:tcPr>
          <w:p w14:paraId="5BE0A00D" w14:textId="77777777" w:rsidR="000D6B5F" w:rsidRPr="005A65ED" w:rsidRDefault="000D6B5F" w:rsidP="00587B01">
            <w:pPr>
              <w:jc w:val="right"/>
              <w:rPr>
                <w:rFonts w:ascii="Arial" w:hAnsi="Arial" w:cs="Arial"/>
                <w:bCs/>
              </w:rPr>
            </w:pPr>
            <w:r w:rsidRPr="00F95536">
              <w:rPr>
                <w:rFonts w:ascii="Arial" w:hAnsi="Arial" w:cs="Arial"/>
                <w:bCs/>
              </w:rPr>
              <w:t>682</w:t>
            </w:r>
          </w:p>
        </w:tc>
        <w:tc>
          <w:tcPr>
            <w:tcW w:w="996" w:type="dxa"/>
            <w:tcBorders>
              <w:top w:val="nil"/>
              <w:left w:val="nil"/>
              <w:bottom w:val="single" w:sz="8" w:space="0" w:color="auto"/>
              <w:right w:val="nil"/>
            </w:tcBorders>
          </w:tcPr>
          <w:p w14:paraId="5368F1E1" w14:textId="77777777" w:rsidR="000D6B5F" w:rsidRPr="005A65ED" w:rsidRDefault="000D6B5F" w:rsidP="00587B01">
            <w:pPr>
              <w:jc w:val="right"/>
              <w:rPr>
                <w:rFonts w:ascii="Arial" w:hAnsi="Arial" w:cs="Arial"/>
                <w:bCs/>
              </w:rPr>
            </w:pPr>
            <w:r w:rsidRPr="00F95536">
              <w:rPr>
                <w:rFonts w:ascii="Arial" w:hAnsi="Arial" w:cs="Arial"/>
                <w:bCs/>
              </w:rPr>
              <w:t>(197)</w:t>
            </w:r>
          </w:p>
        </w:tc>
        <w:tc>
          <w:tcPr>
            <w:tcW w:w="1182" w:type="dxa"/>
            <w:tcBorders>
              <w:top w:val="nil"/>
              <w:left w:val="nil"/>
              <w:bottom w:val="single" w:sz="8" w:space="0" w:color="auto"/>
              <w:right w:val="nil"/>
            </w:tcBorders>
            <w:tcMar>
              <w:top w:w="0" w:type="dxa"/>
              <w:left w:w="108" w:type="dxa"/>
              <w:bottom w:w="0" w:type="dxa"/>
              <w:right w:w="108" w:type="dxa"/>
            </w:tcMar>
            <w:hideMark/>
          </w:tcPr>
          <w:p w14:paraId="7C1438CD" w14:textId="77777777" w:rsidR="000D6B5F" w:rsidRPr="005A65ED" w:rsidRDefault="000D6B5F" w:rsidP="00587B01">
            <w:pPr>
              <w:jc w:val="right"/>
              <w:rPr>
                <w:rFonts w:ascii="Arial" w:hAnsi="Arial" w:cs="Arial"/>
                <w:bCs/>
              </w:rPr>
            </w:pPr>
            <w:r w:rsidRPr="00F95536">
              <w:rPr>
                <w:rFonts w:ascii="Arial" w:hAnsi="Arial" w:cs="Arial"/>
                <w:bCs/>
              </w:rPr>
              <w:t>29%</w:t>
            </w:r>
          </w:p>
        </w:tc>
      </w:tr>
    </w:tbl>
    <w:p w14:paraId="14E498D0" w14:textId="77777777" w:rsidR="000D6B5F" w:rsidRDefault="000D6B5F" w:rsidP="000D6B5F">
      <w:pPr>
        <w:rPr>
          <w:rFonts w:ascii="Arial" w:hAnsi="Arial" w:cs="Arial"/>
          <w:sz w:val="24"/>
          <w:szCs w:val="24"/>
        </w:rPr>
      </w:pPr>
    </w:p>
    <w:p w14:paraId="20C71B76" w14:textId="77777777" w:rsidR="000D6B5F" w:rsidRDefault="000D6B5F" w:rsidP="000D6B5F">
      <w:pPr>
        <w:spacing w:after="160" w:line="259" w:lineRule="auto"/>
        <w:jc w:val="left"/>
        <w:rPr>
          <w:rFonts w:ascii="Arial" w:hAnsi="Arial" w:cs="Arial"/>
        </w:rPr>
      </w:pPr>
      <w:r w:rsidRPr="009C52BD">
        <w:rPr>
          <w:rFonts w:ascii="Arial" w:hAnsi="Arial" w:cs="Arial"/>
        </w:rPr>
        <w:t xml:space="preserve">The Group </w:t>
      </w:r>
      <w:r>
        <w:rPr>
          <w:rFonts w:ascii="Arial" w:hAnsi="Arial" w:cs="Arial"/>
        </w:rPr>
        <w:t>continues to</w:t>
      </w:r>
      <w:r w:rsidRPr="009C52BD">
        <w:rPr>
          <w:rFonts w:ascii="Arial" w:hAnsi="Arial" w:cs="Arial"/>
        </w:rPr>
        <w:t xml:space="preserve"> monitor developments in relation to a European Commission state aid investigation opened in October 2017, which concerns the UK’s controlled foreign company rules. </w:t>
      </w:r>
      <w:r w:rsidRPr="001C7E42">
        <w:rPr>
          <w:rFonts w:ascii="Arial" w:hAnsi="Arial" w:cs="Arial"/>
        </w:rPr>
        <w:t>Furthe</w:t>
      </w:r>
      <w:r>
        <w:rPr>
          <w:rFonts w:ascii="Arial" w:hAnsi="Arial" w:cs="Arial"/>
        </w:rPr>
        <w:t xml:space="preserve">r details are provided in </w:t>
      </w:r>
      <w:r w:rsidRPr="00ED28D9">
        <w:rPr>
          <w:rFonts w:ascii="Arial" w:hAnsi="Arial" w:cs="Arial"/>
        </w:rPr>
        <w:t xml:space="preserve">note </w:t>
      </w:r>
      <w:r>
        <w:rPr>
          <w:rFonts w:ascii="Arial" w:hAnsi="Arial" w:cs="Arial"/>
        </w:rPr>
        <w:t>13</w:t>
      </w:r>
      <w:r w:rsidRPr="001C7E42">
        <w:rPr>
          <w:rFonts w:ascii="Arial" w:hAnsi="Arial" w:cs="Arial"/>
        </w:rPr>
        <w:t xml:space="preserve"> of the </w:t>
      </w:r>
      <w:r>
        <w:rPr>
          <w:rFonts w:ascii="Arial" w:hAnsi="Arial" w:cs="Arial"/>
        </w:rPr>
        <w:t>full</w:t>
      </w:r>
      <w:r w:rsidRPr="001C7E42">
        <w:rPr>
          <w:rFonts w:ascii="Arial" w:hAnsi="Arial" w:cs="Arial"/>
        </w:rPr>
        <w:t xml:space="preserve"> year condensed financial statements</w:t>
      </w:r>
      <w:r>
        <w:rPr>
          <w:rFonts w:ascii="Arial" w:hAnsi="Arial" w:cs="Arial"/>
        </w:rPr>
        <w:t xml:space="preserve"> </w:t>
      </w:r>
      <w:r w:rsidRPr="001C7E42">
        <w:rPr>
          <w:rFonts w:ascii="Arial" w:hAnsi="Arial" w:cs="Arial"/>
        </w:rPr>
        <w:t>(part 2 of this announcement).</w:t>
      </w:r>
    </w:p>
    <w:p w14:paraId="117544AD" w14:textId="77777777" w:rsidR="000D6B5F" w:rsidRPr="00D5261F" w:rsidRDefault="000D6B5F" w:rsidP="000D6B5F">
      <w:pPr>
        <w:spacing w:after="160" w:line="259" w:lineRule="auto"/>
        <w:jc w:val="left"/>
        <w:rPr>
          <w:rFonts w:ascii="Arial" w:hAnsi="Arial" w:cs="Arial"/>
          <w:sz w:val="24"/>
        </w:rPr>
      </w:pPr>
      <w:r w:rsidRPr="00D5261F">
        <w:rPr>
          <w:rFonts w:ascii="Arial" w:hAnsi="Arial" w:cs="Arial"/>
        </w:rPr>
        <w:t>The tax rates for this financial year and the expected rates for next year in our main jurisdictions are as follows: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2700"/>
        <w:gridCol w:w="2702"/>
      </w:tblGrid>
      <w:tr w:rsidR="000D6B5F" w:rsidRPr="00A845B7" w14:paraId="65FE01B0" w14:textId="77777777" w:rsidTr="00587B01">
        <w:trPr>
          <w:trHeight w:val="540"/>
        </w:trPr>
        <w:tc>
          <w:tcPr>
            <w:tcW w:w="3620" w:type="dxa"/>
            <w:tcBorders>
              <w:bottom w:val="single" w:sz="4" w:space="0" w:color="auto"/>
            </w:tcBorders>
            <w:vAlign w:val="bottom"/>
          </w:tcPr>
          <w:p w14:paraId="5AD86D46" w14:textId="77777777" w:rsidR="000D6B5F" w:rsidRPr="00A845B7" w:rsidRDefault="000D6B5F" w:rsidP="00587B01">
            <w:pPr>
              <w:jc w:val="left"/>
              <w:rPr>
                <w:rFonts w:ascii="Arial" w:hAnsi="Arial" w:cs="Arial"/>
                <w:b/>
              </w:rPr>
            </w:pPr>
          </w:p>
        </w:tc>
        <w:tc>
          <w:tcPr>
            <w:tcW w:w="2700" w:type="dxa"/>
            <w:tcBorders>
              <w:bottom w:val="single" w:sz="4" w:space="0" w:color="auto"/>
            </w:tcBorders>
          </w:tcPr>
          <w:p w14:paraId="3BE4FAC2" w14:textId="77777777" w:rsidR="000D6B5F" w:rsidRPr="00A845B7" w:rsidRDefault="000D6B5F" w:rsidP="00587B01">
            <w:pPr>
              <w:jc w:val="right"/>
              <w:rPr>
                <w:rFonts w:ascii="Arial" w:hAnsi="Arial" w:cs="Arial"/>
                <w:b/>
              </w:rPr>
            </w:pPr>
            <w:r w:rsidRPr="00A845B7">
              <w:rPr>
                <w:rFonts w:ascii="Arial" w:hAnsi="Arial" w:cs="Arial"/>
                <w:b/>
              </w:rPr>
              <w:t>Statutory tax rate</w:t>
            </w:r>
          </w:p>
          <w:p w14:paraId="5A74C6A2" w14:textId="77777777" w:rsidR="000D6B5F" w:rsidRPr="00A845B7" w:rsidRDefault="000D6B5F" w:rsidP="00587B01">
            <w:pPr>
              <w:jc w:val="right"/>
              <w:rPr>
                <w:rFonts w:ascii="Arial" w:hAnsi="Arial" w:cs="Arial"/>
                <w:b/>
              </w:rPr>
            </w:pPr>
            <w:r w:rsidRPr="00A845B7">
              <w:rPr>
                <w:rFonts w:ascii="Arial" w:hAnsi="Arial" w:cs="Arial"/>
                <w:b/>
              </w:rPr>
              <w:t>201</w:t>
            </w:r>
            <w:r>
              <w:rPr>
                <w:rFonts w:ascii="Arial" w:hAnsi="Arial" w:cs="Arial"/>
                <w:b/>
              </w:rPr>
              <w:t>9</w:t>
            </w:r>
            <w:r w:rsidRPr="00A845B7">
              <w:rPr>
                <w:rFonts w:ascii="Arial" w:hAnsi="Arial" w:cs="Arial"/>
                <w:b/>
              </w:rPr>
              <w:t>/</w:t>
            </w:r>
            <w:r>
              <w:rPr>
                <w:rFonts w:ascii="Arial" w:hAnsi="Arial" w:cs="Arial"/>
                <w:b/>
              </w:rPr>
              <w:t>20</w:t>
            </w:r>
          </w:p>
        </w:tc>
        <w:tc>
          <w:tcPr>
            <w:tcW w:w="2702" w:type="dxa"/>
            <w:tcBorders>
              <w:bottom w:val="single" w:sz="4" w:space="0" w:color="auto"/>
            </w:tcBorders>
          </w:tcPr>
          <w:p w14:paraId="4CF50CBE" w14:textId="77777777" w:rsidR="000D6B5F" w:rsidRPr="00A845B7" w:rsidRDefault="000D6B5F" w:rsidP="00587B01">
            <w:pPr>
              <w:jc w:val="right"/>
              <w:rPr>
                <w:rFonts w:ascii="Arial" w:hAnsi="Arial" w:cs="Arial"/>
              </w:rPr>
            </w:pPr>
            <w:r w:rsidRPr="00A845B7">
              <w:rPr>
                <w:rFonts w:ascii="Arial" w:hAnsi="Arial" w:cs="Arial"/>
              </w:rPr>
              <w:t>Statutory tax rate</w:t>
            </w:r>
          </w:p>
          <w:p w14:paraId="6FF6B155" w14:textId="77777777" w:rsidR="000D6B5F" w:rsidRPr="00A845B7" w:rsidRDefault="000D6B5F" w:rsidP="00587B01">
            <w:pPr>
              <w:jc w:val="right"/>
              <w:rPr>
                <w:rFonts w:ascii="Arial" w:hAnsi="Arial" w:cs="Arial"/>
              </w:rPr>
            </w:pPr>
            <w:r w:rsidRPr="00A845B7">
              <w:rPr>
                <w:rFonts w:ascii="Arial" w:hAnsi="Arial" w:cs="Arial"/>
              </w:rPr>
              <w:t>201</w:t>
            </w:r>
            <w:r>
              <w:rPr>
                <w:rFonts w:ascii="Arial" w:hAnsi="Arial" w:cs="Arial"/>
              </w:rPr>
              <w:t>8</w:t>
            </w:r>
            <w:r w:rsidRPr="00A845B7">
              <w:rPr>
                <w:rFonts w:ascii="Arial" w:hAnsi="Arial" w:cs="Arial"/>
              </w:rPr>
              <w:t>/1</w:t>
            </w:r>
            <w:r>
              <w:rPr>
                <w:rFonts w:ascii="Arial" w:hAnsi="Arial" w:cs="Arial"/>
              </w:rPr>
              <w:t>9</w:t>
            </w:r>
          </w:p>
        </w:tc>
      </w:tr>
      <w:tr w:rsidR="000D6B5F" w:rsidRPr="00A845B7" w14:paraId="7CD713B7" w14:textId="77777777" w:rsidTr="00587B01">
        <w:trPr>
          <w:trHeight w:val="193"/>
        </w:trPr>
        <w:tc>
          <w:tcPr>
            <w:tcW w:w="3620" w:type="dxa"/>
            <w:tcBorders>
              <w:top w:val="single" w:sz="4" w:space="0" w:color="auto"/>
            </w:tcBorders>
          </w:tcPr>
          <w:p w14:paraId="5C93A7DC" w14:textId="77777777" w:rsidR="000D6B5F" w:rsidRPr="00A845B7" w:rsidRDefault="000D6B5F" w:rsidP="00587B01">
            <w:pPr>
              <w:jc w:val="left"/>
              <w:rPr>
                <w:rFonts w:ascii="Arial" w:hAnsi="Arial" w:cs="Arial"/>
              </w:rPr>
            </w:pPr>
            <w:r w:rsidRPr="00A845B7">
              <w:rPr>
                <w:rFonts w:ascii="Arial" w:hAnsi="Arial" w:cs="Arial"/>
              </w:rPr>
              <w:t>UK</w:t>
            </w:r>
          </w:p>
        </w:tc>
        <w:tc>
          <w:tcPr>
            <w:tcW w:w="2700" w:type="dxa"/>
            <w:tcBorders>
              <w:top w:val="single" w:sz="4" w:space="0" w:color="auto"/>
            </w:tcBorders>
          </w:tcPr>
          <w:p w14:paraId="279B847B" w14:textId="77777777" w:rsidR="000D6B5F" w:rsidRPr="00FB6272" w:rsidRDefault="000D6B5F" w:rsidP="00587B01">
            <w:pPr>
              <w:jc w:val="right"/>
              <w:rPr>
                <w:rFonts w:ascii="Arial" w:hAnsi="Arial" w:cs="Arial"/>
                <w:b/>
              </w:rPr>
            </w:pPr>
            <w:r w:rsidRPr="00FB6272">
              <w:rPr>
                <w:rFonts w:ascii="Arial" w:hAnsi="Arial" w:cs="Arial"/>
                <w:b/>
              </w:rPr>
              <w:t>19%</w:t>
            </w:r>
          </w:p>
        </w:tc>
        <w:tc>
          <w:tcPr>
            <w:tcW w:w="2702" w:type="dxa"/>
            <w:tcBorders>
              <w:top w:val="single" w:sz="4" w:space="0" w:color="auto"/>
            </w:tcBorders>
          </w:tcPr>
          <w:p w14:paraId="14362932" w14:textId="77777777" w:rsidR="000D6B5F" w:rsidRPr="00A845B7" w:rsidRDefault="000D6B5F" w:rsidP="00587B01">
            <w:pPr>
              <w:jc w:val="right"/>
              <w:rPr>
                <w:rFonts w:ascii="Arial" w:hAnsi="Arial" w:cs="Arial"/>
              </w:rPr>
            </w:pPr>
            <w:r w:rsidRPr="00A01E40">
              <w:rPr>
                <w:rFonts w:ascii="Arial" w:hAnsi="Arial" w:cs="Arial"/>
              </w:rPr>
              <w:t>19%</w:t>
            </w:r>
          </w:p>
        </w:tc>
      </w:tr>
      <w:tr w:rsidR="000D6B5F" w:rsidRPr="00A845B7" w14:paraId="084F613E" w14:textId="77777777" w:rsidTr="0035009E">
        <w:trPr>
          <w:trHeight w:val="270"/>
        </w:trPr>
        <w:tc>
          <w:tcPr>
            <w:tcW w:w="3620" w:type="dxa"/>
          </w:tcPr>
          <w:p w14:paraId="621C484B" w14:textId="77777777" w:rsidR="000D6B5F" w:rsidRPr="00A845B7" w:rsidRDefault="000D6B5F" w:rsidP="00587B01">
            <w:pPr>
              <w:jc w:val="left"/>
              <w:rPr>
                <w:rFonts w:ascii="Arial" w:hAnsi="Arial" w:cs="Arial"/>
              </w:rPr>
            </w:pPr>
            <w:r w:rsidRPr="00A845B7">
              <w:rPr>
                <w:rFonts w:ascii="Arial" w:hAnsi="Arial" w:cs="Arial"/>
              </w:rPr>
              <w:t>France</w:t>
            </w:r>
          </w:p>
        </w:tc>
        <w:tc>
          <w:tcPr>
            <w:tcW w:w="2700" w:type="dxa"/>
          </w:tcPr>
          <w:p w14:paraId="720E45FA" w14:textId="77777777" w:rsidR="000D6B5F" w:rsidRPr="00FB6272" w:rsidRDefault="000D6B5F" w:rsidP="00587B01">
            <w:pPr>
              <w:jc w:val="right"/>
              <w:rPr>
                <w:rFonts w:ascii="Arial" w:hAnsi="Arial" w:cs="Arial"/>
                <w:b/>
              </w:rPr>
            </w:pPr>
            <w:r w:rsidRPr="00FB6272">
              <w:rPr>
                <w:rFonts w:ascii="Arial" w:hAnsi="Arial" w:cs="Arial"/>
                <w:b/>
              </w:rPr>
              <w:t>32%</w:t>
            </w:r>
          </w:p>
        </w:tc>
        <w:tc>
          <w:tcPr>
            <w:tcW w:w="2702" w:type="dxa"/>
          </w:tcPr>
          <w:p w14:paraId="289F74C5" w14:textId="77777777" w:rsidR="000D6B5F" w:rsidRPr="00A845B7" w:rsidRDefault="000D6B5F" w:rsidP="00587B01">
            <w:pPr>
              <w:jc w:val="right"/>
              <w:rPr>
                <w:rFonts w:ascii="Arial" w:hAnsi="Arial" w:cs="Arial"/>
              </w:rPr>
            </w:pPr>
            <w:r w:rsidRPr="00A01E40">
              <w:rPr>
                <w:rFonts w:ascii="Arial" w:hAnsi="Arial" w:cs="Arial"/>
              </w:rPr>
              <w:t>34%</w:t>
            </w:r>
          </w:p>
        </w:tc>
      </w:tr>
      <w:tr w:rsidR="000D6B5F" w:rsidRPr="00A845B7" w14:paraId="799DCE57" w14:textId="77777777" w:rsidTr="0035009E">
        <w:trPr>
          <w:trHeight w:val="270"/>
        </w:trPr>
        <w:tc>
          <w:tcPr>
            <w:tcW w:w="3620" w:type="dxa"/>
            <w:tcBorders>
              <w:bottom w:val="single" w:sz="4" w:space="0" w:color="auto"/>
            </w:tcBorders>
          </w:tcPr>
          <w:p w14:paraId="6852396C" w14:textId="77777777" w:rsidR="000D6B5F" w:rsidRPr="00A845B7" w:rsidRDefault="000D6B5F" w:rsidP="00587B01">
            <w:pPr>
              <w:jc w:val="left"/>
              <w:rPr>
                <w:rFonts w:ascii="Arial" w:hAnsi="Arial" w:cs="Arial"/>
              </w:rPr>
            </w:pPr>
            <w:r w:rsidRPr="00A845B7">
              <w:rPr>
                <w:rFonts w:ascii="Arial" w:hAnsi="Arial" w:cs="Arial"/>
              </w:rPr>
              <w:t>Poland</w:t>
            </w:r>
          </w:p>
        </w:tc>
        <w:tc>
          <w:tcPr>
            <w:tcW w:w="2700" w:type="dxa"/>
            <w:tcBorders>
              <w:bottom w:val="single" w:sz="4" w:space="0" w:color="auto"/>
            </w:tcBorders>
          </w:tcPr>
          <w:p w14:paraId="3571E363" w14:textId="77777777" w:rsidR="000D6B5F" w:rsidRPr="00FB6272" w:rsidRDefault="000D6B5F" w:rsidP="00587B01">
            <w:pPr>
              <w:jc w:val="right"/>
              <w:rPr>
                <w:rFonts w:ascii="Arial" w:hAnsi="Arial" w:cs="Arial"/>
                <w:b/>
              </w:rPr>
            </w:pPr>
            <w:r w:rsidRPr="00FB6272">
              <w:rPr>
                <w:rFonts w:ascii="Arial" w:hAnsi="Arial" w:cs="Arial"/>
                <w:b/>
              </w:rPr>
              <w:t>19%</w:t>
            </w:r>
          </w:p>
        </w:tc>
        <w:tc>
          <w:tcPr>
            <w:tcW w:w="2702" w:type="dxa"/>
            <w:tcBorders>
              <w:bottom w:val="single" w:sz="4" w:space="0" w:color="auto"/>
            </w:tcBorders>
          </w:tcPr>
          <w:p w14:paraId="6D2D302B" w14:textId="77777777" w:rsidR="000D6B5F" w:rsidRPr="00A845B7" w:rsidRDefault="000D6B5F" w:rsidP="00587B01">
            <w:pPr>
              <w:jc w:val="right"/>
              <w:rPr>
                <w:rFonts w:ascii="Arial" w:hAnsi="Arial" w:cs="Arial"/>
              </w:rPr>
            </w:pPr>
            <w:r w:rsidRPr="00A01E40">
              <w:rPr>
                <w:rFonts w:ascii="Arial" w:hAnsi="Arial" w:cs="Arial"/>
              </w:rPr>
              <w:t>19%</w:t>
            </w:r>
          </w:p>
        </w:tc>
      </w:tr>
    </w:tbl>
    <w:p w14:paraId="3601CF06" w14:textId="77777777" w:rsidR="000D6B5F" w:rsidRDefault="000D6B5F" w:rsidP="000D6B5F">
      <w:pPr>
        <w:jc w:val="left"/>
        <w:rPr>
          <w:rFonts w:ascii="Arial" w:hAnsi="Arial" w:cs="Arial"/>
          <w:b/>
        </w:rPr>
      </w:pPr>
    </w:p>
    <w:bookmarkEnd w:id="38"/>
    <w:p w14:paraId="697D1C3A" w14:textId="3CC1B37C" w:rsidR="00CD3D76" w:rsidRDefault="00CD3D76" w:rsidP="00997637">
      <w:pPr>
        <w:jc w:val="left"/>
        <w:rPr>
          <w:rFonts w:ascii="Arial" w:hAnsi="Arial" w:cs="Arial"/>
          <w:b/>
        </w:rPr>
      </w:pPr>
    </w:p>
    <w:p w14:paraId="5FDD0858" w14:textId="597F82C3" w:rsidR="00997637" w:rsidRDefault="00997637" w:rsidP="00997637">
      <w:pPr>
        <w:jc w:val="left"/>
        <w:rPr>
          <w:rFonts w:ascii="Arial" w:hAnsi="Arial" w:cs="Arial"/>
        </w:rPr>
      </w:pPr>
      <w:r w:rsidRPr="00FC41B5">
        <w:rPr>
          <w:rFonts w:ascii="Arial" w:hAnsi="Arial" w:cs="Arial"/>
          <w:b/>
        </w:rPr>
        <w:t>Underlying basic earnings</w:t>
      </w:r>
      <w:r w:rsidRPr="00FC41B5">
        <w:rPr>
          <w:rFonts w:ascii="Arial" w:hAnsi="Arial" w:cs="Arial"/>
        </w:rPr>
        <w:t xml:space="preserve"> </w:t>
      </w:r>
      <w:r w:rsidRPr="00FC41B5">
        <w:rPr>
          <w:rFonts w:ascii="Arial" w:hAnsi="Arial" w:cs="Arial"/>
          <w:b/>
        </w:rPr>
        <w:t xml:space="preserve">per share </w:t>
      </w:r>
      <w:r w:rsidR="00574124" w:rsidRPr="00FC41B5">
        <w:rPr>
          <w:rFonts w:ascii="Arial" w:hAnsi="Arial" w:cs="Arial"/>
        </w:rPr>
        <w:t xml:space="preserve">decreased </w:t>
      </w:r>
      <w:r w:rsidRPr="00FC41B5">
        <w:rPr>
          <w:rFonts w:ascii="Arial" w:hAnsi="Arial" w:cs="Arial"/>
        </w:rPr>
        <w:t xml:space="preserve">by </w:t>
      </w:r>
      <w:r w:rsidR="0014186D" w:rsidRPr="00C2187E">
        <w:rPr>
          <w:rFonts w:ascii="Arial" w:hAnsi="Arial" w:cs="Arial"/>
        </w:rPr>
        <w:t>6.3</w:t>
      </w:r>
      <w:r w:rsidRPr="00203EFD">
        <w:rPr>
          <w:rFonts w:ascii="Arial" w:hAnsi="Arial" w:cs="Arial"/>
        </w:rPr>
        <w:t xml:space="preserve">% to </w:t>
      </w:r>
      <w:r w:rsidR="0014186D" w:rsidRPr="00C2187E">
        <w:rPr>
          <w:rFonts w:ascii="Arial" w:hAnsi="Arial" w:cs="Arial"/>
        </w:rPr>
        <w:t>23.9</w:t>
      </w:r>
      <w:r w:rsidRPr="00C2187E">
        <w:rPr>
          <w:rFonts w:ascii="Arial" w:hAnsi="Arial" w:cs="Arial"/>
        </w:rPr>
        <w:t>p</w:t>
      </w:r>
      <w:r w:rsidRPr="00203EFD">
        <w:rPr>
          <w:rFonts w:ascii="Arial" w:hAnsi="Arial" w:cs="Arial"/>
        </w:rPr>
        <w:t>,</w:t>
      </w:r>
      <w:r w:rsidRPr="00FC41B5">
        <w:rPr>
          <w:rFonts w:ascii="Arial" w:hAnsi="Arial" w:cs="Arial"/>
        </w:rPr>
        <w:t xml:space="preserve"> which excludes the impact of transformation </w:t>
      </w:r>
      <w:r w:rsidR="00750E65">
        <w:rPr>
          <w:rFonts w:ascii="Arial" w:hAnsi="Arial" w:cs="Arial"/>
        </w:rPr>
        <w:t xml:space="preserve">P&amp;L </w:t>
      </w:r>
      <w:r w:rsidRPr="00FC41B5">
        <w:rPr>
          <w:rFonts w:ascii="Arial" w:hAnsi="Arial" w:cs="Arial"/>
        </w:rPr>
        <w:t>costs</w:t>
      </w:r>
      <w:r w:rsidR="00750E65">
        <w:rPr>
          <w:rFonts w:ascii="Arial" w:hAnsi="Arial" w:cs="Arial"/>
        </w:rPr>
        <w:t>,</w:t>
      </w:r>
      <w:r w:rsidRPr="00FC41B5">
        <w:rPr>
          <w:rFonts w:ascii="Arial" w:hAnsi="Arial" w:cs="Arial"/>
        </w:rPr>
        <w:t xml:space="preserve"> exceptional items and the effect of prior year tax items.</w:t>
      </w:r>
      <w:r w:rsidRPr="00FC41B5">
        <w:rPr>
          <w:rFonts w:ascii="Arial" w:hAnsi="Arial" w:cs="Arial"/>
          <w:b/>
        </w:rPr>
        <w:t xml:space="preserve"> Adjusted basic earnings per share</w:t>
      </w:r>
      <w:r w:rsidRPr="00FC41B5">
        <w:rPr>
          <w:rFonts w:ascii="Arial" w:hAnsi="Arial" w:cs="Arial"/>
        </w:rPr>
        <w:t xml:space="preserve"> </w:t>
      </w:r>
      <w:r w:rsidR="00574124" w:rsidRPr="00FC41B5">
        <w:rPr>
          <w:rFonts w:ascii="Arial" w:hAnsi="Arial" w:cs="Arial"/>
        </w:rPr>
        <w:t xml:space="preserve">decreased </w:t>
      </w:r>
      <w:r w:rsidRPr="00203EFD">
        <w:rPr>
          <w:rFonts w:ascii="Arial" w:hAnsi="Arial" w:cs="Arial"/>
        </w:rPr>
        <w:t xml:space="preserve">by </w:t>
      </w:r>
      <w:r w:rsidR="0014186D" w:rsidRPr="00C2187E">
        <w:rPr>
          <w:rFonts w:ascii="Arial" w:hAnsi="Arial" w:cs="Arial"/>
        </w:rPr>
        <w:t>9.2</w:t>
      </w:r>
      <w:r w:rsidRPr="00203EFD">
        <w:rPr>
          <w:rFonts w:ascii="Arial" w:hAnsi="Arial" w:cs="Arial"/>
        </w:rPr>
        <w:t xml:space="preserve">% to </w:t>
      </w:r>
      <w:r w:rsidR="0014186D" w:rsidRPr="00C2187E">
        <w:rPr>
          <w:rFonts w:ascii="Arial" w:hAnsi="Arial" w:cs="Arial"/>
        </w:rPr>
        <w:t>19.8</w:t>
      </w:r>
      <w:r w:rsidRPr="00203EFD">
        <w:rPr>
          <w:rFonts w:ascii="Arial" w:hAnsi="Arial" w:cs="Arial"/>
        </w:rPr>
        <w:t>p</w:t>
      </w:r>
      <w:r w:rsidRPr="00FC41B5">
        <w:rPr>
          <w:rFonts w:ascii="Arial" w:hAnsi="Arial" w:cs="Arial"/>
        </w:rPr>
        <w:t>, which excludes the impact of exceptional items</w:t>
      </w:r>
      <w:r w:rsidRPr="00203EFD">
        <w:rPr>
          <w:rFonts w:ascii="Arial" w:hAnsi="Arial" w:cs="Arial"/>
        </w:rPr>
        <w:t xml:space="preserve"> and prior year tax items. </w:t>
      </w:r>
      <w:r w:rsidRPr="00203EFD">
        <w:rPr>
          <w:rFonts w:ascii="Arial" w:hAnsi="Arial" w:cs="Arial"/>
          <w:b/>
        </w:rPr>
        <w:t>Basic earnings per share</w:t>
      </w:r>
      <w:r w:rsidR="009510E9" w:rsidRPr="00203EFD">
        <w:rPr>
          <w:rFonts w:ascii="Arial" w:hAnsi="Arial" w:cs="Arial"/>
        </w:rPr>
        <w:t xml:space="preserve"> </w:t>
      </w:r>
      <w:r w:rsidR="00574124" w:rsidRPr="00203EFD">
        <w:rPr>
          <w:rFonts w:ascii="Arial" w:hAnsi="Arial" w:cs="Arial"/>
        </w:rPr>
        <w:t xml:space="preserve">decreased </w:t>
      </w:r>
      <w:r w:rsidR="009510E9" w:rsidRPr="00203EFD">
        <w:rPr>
          <w:rFonts w:ascii="Arial" w:hAnsi="Arial" w:cs="Arial"/>
        </w:rPr>
        <w:t xml:space="preserve">by </w:t>
      </w:r>
      <w:r w:rsidR="00750E65">
        <w:rPr>
          <w:rFonts w:ascii="Arial" w:hAnsi="Arial" w:cs="Arial"/>
        </w:rPr>
        <w:t>53</w:t>
      </w:r>
      <w:r w:rsidR="0014186D" w:rsidRPr="00C2187E">
        <w:rPr>
          <w:rFonts w:ascii="Arial" w:hAnsi="Arial" w:cs="Arial"/>
        </w:rPr>
        <w:t>.</w:t>
      </w:r>
      <w:r w:rsidR="00750E65">
        <w:rPr>
          <w:rFonts w:ascii="Arial" w:hAnsi="Arial" w:cs="Arial"/>
        </w:rPr>
        <w:t>4</w:t>
      </w:r>
      <w:r w:rsidRPr="00203EFD">
        <w:rPr>
          <w:rFonts w:ascii="Arial" w:hAnsi="Arial" w:cs="Arial"/>
        </w:rPr>
        <w:t xml:space="preserve">% to </w:t>
      </w:r>
      <w:r w:rsidR="0014186D" w:rsidRPr="00C2187E">
        <w:rPr>
          <w:rFonts w:ascii="Arial" w:hAnsi="Arial" w:cs="Arial"/>
        </w:rPr>
        <w:t>1</w:t>
      </w:r>
      <w:r w:rsidR="00750E65">
        <w:rPr>
          <w:rFonts w:ascii="Arial" w:hAnsi="Arial" w:cs="Arial"/>
        </w:rPr>
        <w:t>0</w:t>
      </w:r>
      <w:r w:rsidR="0014186D" w:rsidRPr="00C2187E">
        <w:rPr>
          <w:rFonts w:ascii="Arial" w:hAnsi="Arial" w:cs="Arial"/>
        </w:rPr>
        <w:t>.</w:t>
      </w:r>
      <w:r w:rsidR="00750E65">
        <w:rPr>
          <w:rFonts w:ascii="Arial" w:hAnsi="Arial" w:cs="Arial"/>
        </w:rPr>
        <w:t>3</w:t>
      </w:r>
      <w:r w:rsidRPr="00C2187E">
        <w:rPr>
          <w:rFonts w:ascii="Arial" w:hAnsi="Arial" w:cs="Arial"/>
        </w:rPr>
        <w:t>p</w:t>
      </w:r>
      <w:r w:rsidRPr="00203EFD">
        <w:rPr>
          <w:rFonts w:ascii="Arial" w:hAnsi="Arial" w:cs="Arial"/>
        </w:rPr>
        <w:t xml:space="preserve"> as set out</w:t>
      </w:r>
      <w:r w:rsidRPr="00FC41B5">
        <w:rPr>
          <w:rFonts w:ascii="Arial" w:hAnsi="Arial" w:cs="Arial"/>
        </w:rPr>
        <w:t xml:space="preserve"> below:</w:t>
      </w:r>
    </w:p>
    <w:p w14:paraId="42425CF4" w14:textId="06F4C613" w:rsidR="00F12F4E" w:rsidRDefault="00F12F4E" w:rsidP="00997637">
      <w:pPr>
        <w:jc w:val="left"/>
        <w:rPr>
          <w:rFonts w:ascii="Arial" w:hAnsi="Arial" w:cs="Arial"/>
        </w:rPr>
      </w:pPr>
    </w:p>
    <w:p w14:paraId="775F7AAD" w14:textId="24F22C65" w:rsidR="00F12F4E" w:rsidRDefault="00F12F4E" w:rsidP="00997637">
      <w:pPr>
        <w:jc w:val="left"/>
        <w:rPr>
          <w:rFonts w:ascii="Arial" w:hAnsi="Arial" w:cs="Arial"/>
        </w:rPr>
      </w:pPr>
    </w:p>
    <w:p w14:paraId="799DE7BE" w14:textId="77777777" w:rsidR="00F12F4E" w:rsidRDefault="00F12F4E" w:rsidP="00997637">
      <w:pPr>
        <w:jc w:val="left"/>
        <w:rPr>
          <w:rFonts w:ascii="Arial" w:hAnsi="Arial" w:cs="Arial"/>
        </w:rPr>
      </w:pPr>
    </w:p>
    <w:p w14:paraId="2DA2CCDE" w14:textId="77777777" w:rsidR="00750E65" w:rsidRPr="00FC41B5" w:rsidRDefault="00750E65" w:rsidP="00997637">
      <w:pPr>
        <w:jc w:val="left"/>
        <w:rPr>
          <w:rFonts w:ascii="Arial" w:hAnsi="Arial" w:cs="Arial"/>
        </w:rPr>
      </w:pPr>
    </w:p>
    <w:tbl>
      <w:tblPr>
        <w:tblW w:w="5000" w:type="pct"/>
        <w:tblLook w:val="01E0" w:firstRow="1" w:lastRow="1" w:firstColumn="1" w:lastColumn="1" w:noHBand="0" w:noVBand="0"/>
      </w:tblPr>
      <w:tblGrid>
        <w:gridCol w:w="4523"/>
        <w:gridCol w:w="1391"/>
        <w:gridCol w:w="1391"/>
        <w:gridCol w:w="1277"/>
        <w:gridCol w:w="1285"/>
      </w:tblGrid>
      <w:tr w:rsidR="00997637" w:rsidRPr="00203EFD" w14:paraId="60F9F5F3" w14:textId="77777777" w:rsidTr="00D86819">
        <w:tc>
          <w:tcPr>
            <w:tcW w:w="2292" w:type="pct"/>
            <w:tcBorders>
              <w:top w:val="nil"/>
              <w:left w:val="nil"/>
              <w:bottom w:val="single" w:sz="4" w:space="0" w:color="auto"/>
              <w:right w:val="nil"/>
            </w:tcBorders>
          </w:tcPr>
          <w:p w14:paraId="3D960FA1" w14:textId="77777777" w:rsidR="00997637" w:rsidRPr="00A845B7" w:rsidRDefault="00997637" w:rsidP="00F24C8A">
            <w:pPr>
              <w:rPr>
                <w:rFonts w:ascii="Arial" w:hAnsi="Arial" w:cs="Arial"/>
              </w:rPr>
            </w:pPr>
          </w:p>
        </w:tc>
        <w:tc>
          <w:tcPr>
            <w:tcW w:w="705" w:type="pct"/>
            <w:tcBorders>
              <w:top w:val="nil"/>
              <w:left w:val="nil"/>
              <w:bottom w:val="single" w:sz="4" w:space="0" w:color="auto"/>
              <w:right w:val="nil"/>
            </w:tcBorders>
          </w:tcPr>
          <w:p w14:paraId="40E27066" w14:textId="77777777" w:rsidR="00997637" w:rsidRPr="00A845B7" w:rsidRDefault="00997637" w:rsidP="00F24C8A">
            <w:pPr>
              <w:jc w:val="right"/>
              <w:rPr>
                <w:rFonts w:ascii="Arial" w:hAnsi="Arial" w:cs="Arial"/>
                <w:b/>
              </w:rPr>
            </w:pPr>
          </w:p>
          <w:p w14:paraId="49FEDBE3" w14:textId="77777777" w:rsidR="00997637" w:rsidRPr="00203EFD" w:rsidRDefault="00997637" w:rsidP="00F24C8A">
            <w:pPr>
              <w:jc w:val="right"/>
              <w:rPr>
                <w:rFonts w:ascii="Arial" w:hAnsi="Arial" w:cs="Arial"/>
                <w:b/>
              </w:rPr>
            </w:pPr>
            <w:r w:rsidRPr="00203EFD">
              <w:rPr>
                <w:rFonts w:ascii="Arial" w:hAnsi="Arial" w:cs="Arial"/>
                <w:b/>
              </w:rPr>
              <w:t>Earnings</w:t>
            </w:r>
          </w:p>
          <w:p w14:paraId="51465D58" w14:textId="77777777" w:rsidR="00997637" w:rsidRPr="00203EFD" w:rsidRDefault="00997637" w:rsidP="00F24C8A">
            <w:pPr>
              <w:jc w:val="right"/>
              <w:rPr>
                <w:rFonts w:ascii="Arial" w:hAnsi="Arial" w:cs="Arial"/>
                <w:b/>
              </w:rPr>
            </w:pPr>
            <w:r w:rsidRPr="00203EFD">
              <w:rPr>
                <w:rFonts w:ascii="Arial" w:hAnsi="Arial" w:cs="Arial"/>
                <w:b/>
              </w:rPr>
              <w:t>£m</w:t>
            </w:r>
          </w:p>
        </w:tc>
        <w:tc>
          <w:tcPr>
            <w:tcW w:w="705" w:type="pct"/>
            <w:tcBorders>
              <w:top w:val="nil"/>
              <w:left w:val="nil"/>
              <w:bottom w:val="single" w:sz="4" w:space="0" w:color="auto"/>
              <w:right w:val="nil"/>
            </w:tcBorders>
            <w:hideMark/>
          </w:tcPr>
          <w:p w14:paraId="1377D68F" w14:textId="3B673F0E" w:rsidR="00997637" w:rsidRPr="00203EFD" w:rsidRDefault="00997637" w:rsidP="00F24C8A">
            <w:pPr>
              <w:jc w:val="right"/>
              <w:rPr>
                <w:rFonts w:ascii="Arial" w:hAnsi="Arial" w:cs="Arial"/>
                <w:b/>
              </w:rPr>
            </w:pPr>
            <w:r w:rsidRPr="00203EFD">
              <w:rPr>
                <w:rFonts w:ascii="Arial" w:hAnsi="Arial" w:cs="Arial"/>
                <w:b/>
              </w:rPr>
              <w:t>201</w:t>
            </w:r>
            <w:r w:rsidR="00CB1C89" w:rsidRPr="00203EFD">
              <w:rPr>
                <w:rFonts w:ascii="Arial" w:hAnsi="Arial" w:cs="Arial"/>
                <w:b/>
              </w:rPr>
              <w:t>8</w:t>
            </w:r>
            <w:r w:rsidRPr="00203EFD">
              <w:rPr>
                <w:rFonts w:ascii="Arial" w:hAnsi="Arial" w:cs="Arial"/>
                <w:b/>
              </w:rPr>
              <w:t>/1</w:t>
            </w:r>
            <w:r w:rsidR="00CB1C89" w:rsidRPr="00203EFD">
              <w:rPr>
                <w:rFonts w:ascii="Arial" w:hAnsi="Arial" w:cs="Arial"/>
                <w:b/>
              </w:rPr>
              <w:t>9</w:t>
            </w:r>
          </w:p>
          <w:p w14:paraId="776EDA67" w14:textId="77777777" w:rsidR="00997637" w:rsidRPr="00203EFD" w:rsidRDefault="00997637" w:rsidP="00F24C8A">
            <w:pPr>
              <w:jc w:val="right"/>
              <w:rPr>
                <w:rFonts w:ascii="Arial" w:hAnsi="Arial" w:cs="Arial"/>
                <w:b/>
              </w:rPr>
            </w:pPr>
            <w:r w:rsidRPr="00203EFD">
              <w:rPr>
                <w:rFonts w:ascii="Arial" w:hAnsi="Arial" w:cs="Arial"/>
                <w:b/>
              </w:rPr>
              <w:t>EPS</w:t>
            </w:r>
          </w:p>
          <w:p w14:paraId="72BD92EE" w14:textId="77777777" w:rsidR="00997637" w:rsidRPr="00203EFD" w:rsidRDefault="00997637" w:rsidP="00F24C8A">
            <w:pPr>
              <w:jc w:val="right"/>
              <w:rPr>
                <w:rFonts w:ascii="Arial" w:hAnsi="Arial" w:cs="Arial"/>
                <w:b/>
              </w:rPr>
            </w:pPr>
            <w:r w:rsidRPr="00203EFD">
              <w:rPr>
                <w:rFonts w:ascii="Arial" w:hAnsi="Arial" w:cs="Arial"/>
                <w:b/>
              </w:rPr>
              <w:t>pence</w:t>
            </w:r>
          </w:p>
        </w:tc>
        <w:tc>
          <w:tcPr>
            <w:tcW w:w="647" w:type="pct"/>
            <w:tcBorders>
              <w:top w:val="nil"/>
              <w:left w:val="nil"/>
              <w:bottom w:val="single" w:sz="4" w:space="0" w:color="auto"/>
              <w:right w:val="nil"/>
            </w:tcBorders>
          </w:tcPr>
          <w:p w14:paraId="6DBABBDB" w14:textId="77777777" w:rsidR="00997637" w:rsidRPr="00203EFD" w:rsidRDefault="00997637" w:rsidP="00F24C8A">
            <w:pPr>
              <w:jc w:val="right"/>
              <w:rPr>
                <w:rFonts w:ascii="Arial" w:hAnsi="Arial" w:cs="Arial"/>
              </w:rPr>
            </w:pPr>
          </w:p>
          <w:p w14:paraId="2FC5A317" w14:textId="77777777" w:rsidR="00997637" w:rsidRPr="00203EFD" w:rsidRDefault="00997637" w:rsidP="00F24C8A">
            <w:pPr>
              <w:jc w:val="right"/>
              <w:rPr>
                <w:rFonts w:ascii="Arial" w:hAnsi="Arial" w:cs="Arial"/>
              </w:rPr>
            </w:pPr>
            <w:r w:rsidRPr="00203EFD">
              <w:rPr>
                <w:rFonts w:ascii="Arial" w:hAnsi="Arial" w:cs="Arial"/>
              </w:rPr>
              <w:t>Earnings</w:t>
            </w:r>
          </w:p>
          <w:p w14:paraId="4C0E7DCD" w14:textId="77777777" w:rsidR="00997637" w:rsidRPr="00203EFD" w:rsidRDefault="00997637" w:rsidP="00F24C8A">
            <w:pPr>
              <w:jc w:val="right"/>
              <w:rPr>
                <w:rFonts w:ascii="Arial" w:hAnsi="Arial" w:cs="Arial"/>
              </w:rPr>
            </w:pPr>
            <w:r w:rsidRPr="00203EFD">
              <w:rPr>
                <w:rFonts w:ascii="Arial" w:hAnsi="Arial" w:cs="Arial"/>
              </w:rPr>
              <w:t>£m</w:t>
            </w:r>
          </w:p>
        </w:tc>
        <w:tc>
          <w:tcPr>
            <w:tcW w:w="651" w:type="pct"/>
            <w:tcBorders>
              <w:top w:val="nil"/>
              <w:left w:val="nil"/>
              <w:bottom w:val="single" w:sz="4" w:space="0" w:color="auto"/>
              <w:right w:val="nil"/>
            </w:tcBorders>
            <w:hideMark/>
          </w:tcPr>
          <w:p w14:paraId="62FCF025" w14:textId="07798720" w:rsidR="00997637" w:rsidRPr="00203EFD" w:rsidRDefault="00997637" w:rsidP="00F24C8A">
            <w:pPr>
              <w:jc w:val="right"/>
              <w:rPr>
                <w:rFonts w:ascii="Arial" w:hAnsi="Arial" w:cs="Arial"/>
              </w:rPr>
            </w:pPr>
            <w:r w:rsidRPr="00203EFD">
              <w:rPr>
                <w:rFonts w:ascii="Arial" w:hAnsi="Arial" w:cs="Arial"/>
              </w:rPr>
              <w:t>201</w:t>
            </w:r>
            <w:r w:rsidR="00CB1C89" w:rsidRPr="00203EFD">
              <w:rPr>
                <w:rFonts w:ascii="Arial" w:hAnsi="Arial" w:cs="Arial"/>
              </w:rPr>
              <w:t>7</w:t>
            </w:r>
            <w:r w:rsidRPr="00203EFD">
              <w:rPr>
                <w:rFonts w:ascii="Arial" w:hAnsi="Arial" w:cs="Arial"/>
              </w:rPr>
              <w:t>/1</w:t>
            </w:r>
            <w:r w:rsidR="00CB1C89" w:rsidRPr="00203EFD">
              <w:rPr>
                <w:rFonts w:ascii="Arial" w:hAnsi="Arial" w:cs="Arial"/>
              </w:rPr>
              <w:t>8</w:t>
            </w:r>
          </w:p>
          <w:p w14:paraId="1C95B102" w14:textId="77777777" w:rsidR="00997637" w:rsidRPr="00203EFD" w:rsidRDefault="00997637" w:rsidP="00F24C8A">
            <w:pPr>
              <w:jc w:val="right"/>
              <w:rPr>
                <w:rFonts w:ascii="Arial" w:hAnsi="Arial" w:cs="Arial"/>
              </w:rPr>
            </w:pPr>
            <w:r w:rsidRPr="00203EFD">
              <w:rPr>
                <w:rFonts w:ascii="Arial" w:hAnsi="Arial" w:cs="Arial"/>
              </w:rPr>
              <w:t>EPS</w:t>
            </w:r>
          </w:p>
          <w:p w14:paraId="35B44CFA" w14:textId="77777777" w:rsidR="00997637" w:rsidRPr="00203EFD" w:rsidRDefault="00997637" w:rsidP="00F24C8A">
            <w:pPr>
              <w:jc w:val="right"/>
              <w:rPr>
                <w:rFonts w:ascii="Arial" w:hAnsi="Arial" w:cs="Arial"/>
              </w:rPr>
            </w:pPr>
            <w:r w:rsidRPr="00203EFD">
              <w:rPr>
                <w:rFonts w:ascii="Arial" w:hAnsi="Arial" w:cs="Arial"/>
              </w:rPr>
              <w:t>pence</w:t>
            </w:r>
          </w:p>
        </w:tc>
      </w:tr>
      <w:tr w:rsidR="00CB1C89" w:rsidRPr="00203EFD" w14:paraId="75AAD81A" w14:textId="77777777" w:rsidTr="00D86819">
        <w:tc>
          <w:tcPr>
            <w:tcW w:w="2292" w:type="pct"/>
            <w:tcBorders>
              <w:top w:val="single" w:sz="4" w:space="0" w:color="auto"/>
              <w:left w:val="nil"/>
              <w:right w:val="nil"/>
            </w:tcBorders>
          </w:tcPr>
          <w:p w14:paraId="705D5107" w14:textId="77777777" w:rsidR="00CB1C89" w:rsidRPr="00203EFD" w:rsidRDefault="00CB1C89" w:rsidP="00CB1C89">
            <w:pPr>
              <w:rPr>
                <w:rFonts w:ascii="Arial" w:hAnsi="Arial" w:cs="Arial"/>
                <w:b/>
              </w:rPr>
            </w:pPr>
            <w:r w:rsidRPr="00203EFD">
              <w:rPr>
                <w:rFonts w:ascii="Arial" w:hAnsi="Arial" w:cs="Arial"/>
                <w:b/>
              </w:rPr>
              <w:t>Underlying basic earnings per share</w:t>
            </w:r>
          </w:p>
        </w:tc>
        <w:tc>
          <w:tcPr>
            <w:tcW w:w="705" w:type="pct"/>
            <w:tcBorders>
              <w:top w:val="single" w:sz="4" w:space="0" w:color="auto"/>
              <w:left w:val="nil"/>
              <w:right w:val="nil"/>
            </w:tcBorders>
            <w:vAlign w:val="center"/>
          </w:tcPr>
          <w:p w14:paraId="46FA6D02" w14:textId="17D91380" w:rsidR="00CB1C89" w:rsidRPr="00C2187E" w:rsidRDefault="00B30070" w:rsidP="00CB1C89">
            <w:pPr>
              <w:jc w:val="right"/>
              <w:rPr>
                <w:rFonts w:ascii="Arial" w:hAnsi="Arial" w:cs="Arial"/>
                <w:b/>
              </w:rPr>
            </w:pPr>
            <w:r w:rsidRPr="00C2187E">
              <w:rPr>
                <w:rFonts w:ascii="Arial" w:hAnsi="Arial" w:cs="Arial"/>
                <w:b/>
                <w:bCs/>
                <w:color w:val="000000"/>
              </w:rPr>
              <w:t>509</w:t>
            </w:r>
          </w:p>
        </w:tc>
        <w:tc>
          <w:tcPr>
            <w:tcW w:w="705" w:type="pct"/>
            <w:tcBorders>
              <w:top w:val="single" w:sz="4" w:space="0" w:color="auto"/>
              <w:left w:val="nil"/>
              <w:right w:val="nil"/>
            </w:tcBorders>
            <w:vAlign w:val="center"/>
          </w:tcPr>
          <w:p w14:paraId="1034BC1F" w14:textId="7DCDCEF7" w:rsidR="00CB1C89" w:rsidRPr="00C2187E" w:rsidRDefault="00013078" w:rsidP="00CB1C89">
            <w:pPr>
              <w:jc w:val="right"/>
              <w:rPr>
                <w:rFonts w:ascii="Arial" w:hAnsi="Arial" w:cs="Arial"/>
                <w:b/>
              </w:rPr>
            </w:pPr>
            <w:r w:rsidRPr="00C2187E">
              <w:rPr>
                <w:rFonts w:ascii="Arial" w:hAnsi="Arial" w:cs="Arial"/>
                <w:b/>
                <w:bCs/>
                <w:color w:val="000000"/>
              </w:rPr>
              <w:t>23.9</w:t>
            </w:r>
          </w:p>
        </w:tc>
        <w:tc>
          <w:tcPr>
            <w:tcW w:w="647" w:type="pct"/>
            <w:tcBorders>
              <w:top w:val="single" w:sz="4" w:space="0" w:color="auto"/>
              <w:left w:val="nil"/>
              <w:right w:val="nil"/>
            </w:tcBorders>
            <w:vAlign w:val="center"/>
          </w:tcPr>
          <w:p w14:paraId="5221B54C" w14:textId="5C4189BA" w:rsidR="00CB1C89" w:rsidRPr="00203EFD" w:rsidRDefault="00CB1C89" w:rsidP="00CB1C89">
            <w:pPr>
              <w:jc w:val="right"/>
              <w:rPr>
                <w:rFonts w:ascii="Arial" w:hAnsi="Arial" w:cs="Arial"/>
              </w:rPr>
            </w:pPr>
            <w:r w:rsidRPr="00203EFD">
              <w:rPr>
                <w:rFonts w:ascii="Arial" w:hAnsi="Arial" w:cs="Arial"/>
                <w:bCs/>
                <w:color w:val="000000"/>
              </w:rPr>
              <w:t>558</w:t>
            </w:r>
          </w:p>
        </w:tc>
        <w:tc>
          <w:tcPr>
            <w:tcW w:w="651" w:type="pct"/>
            <w:tcBorders>
              <w:top w:val="single" w:sz="4" w:space="0" w:color="auto"/>
              <w:left w:val="nil"/>
              <w:right w:val="nil"/>
            </w:tcBorders>
            <w:vAlign w:val="center"/>
          </w:tcPr>
          <w:p w14:paraId="7234FBC0" w14:textId="594D90C2" w:rsidR="00CB1C89" w:rsidRPr="00203EFD" w:rsidRDefault="00CB1C89" w:rsidP="00CB1C89">
            <w:pPr>
              <w:jc w:val="right"/>
              <w:rPr>
                <w:rFonts w:ascii="Arial" w:hAnsi="Arial" w:cs="Arial"/>
              </w:rPr>
            </w:pPr>
            <w:r w:rsidRPr="00203EFD">
              <w:rPr>
                <w:rFonts w:ascii="Arial" w:hAnsi="Arial" w:cs="Arial"/>
                <w:bCs/>
                <w:color w:val="000000"/>
              </w:rPr>
              <w:t>25.5</w:t>
            </w:r>
          </w:p>
        </w:tc>
      </w:tr>
      <w:tr w:rsidR="00CB1C89" w:rsidRPr="00203EFD" w14:paraId="408A75BC" w14:textId="77777777" w:rsidTr="00D86819">
        <w:tc>
          <w:tcPr>
            <w:tcW w:w="2292" w:type="pct"/>
            <w:tcBorders>
              <w:left w:val="nil"/>
              <w:bottom w:val="single" w:sz="4" w:space="0" w:color="auto"/>
              <w:right w:val="nil"/>
            </w:tcBorders>
          </w:tcPr>
          <w:p w14:paraId="36315841" w14:textId="77777777" w:rsidR="00CB1C89" w:rsidRPr="00203EFD" w:rsidRDefault="00CB1C89" w:rsidP="00CB1C89">
            <w:pPr>
              <w:rPr>
                <w:rFonts w:ascii="Arial" w:hAnsi="Arial" w:cs="Arial"/>
              </w:rPr>
            </w:pPr>
            <w:r w:rsidRPr="00203EFD">
              <w:rPr>
                <w:rFonts w:ascii="Arial" w:hAnsi="Arial" w:cs="Arial"/>
              </w:rPr>
              <w:t>Transformation P&amp;L costs (net of tax)</w:t>
            </w:r>
          </w:p>
        </w:tc>
        <w:tc>
          <w:tcPr>
            <w:tcW w:w="705" w:type="pct"/>
            <w:tcBorders>
              <w:left w:val="nil"/>
              <w:bottom w:val="single" w:sz="4" w:space="0" w:color="auto"/>
              <w:right w:val="nil"/>
            </w:tcBorders>
            <w:vAlign w:val="center"/>
          </w:tcPr>
          <w:p w14:paraId="1E13845E" w14:textId="5B89E625" w:rsidR="00CB1C89" w:rsidRPr="00C2187E" w:rsidRDefault="00CB1C89" w:rsidP="00CB1C89">
            <w:pPr>
              <w:jc w:val="right"/>
              <w:rPr>
                <w:rFonts w:ascii="Arial" w:hAnsi="Arial" w:cs="Arial"/>
                <w:b/>
              </w:rPr>
            </w:pPr>
            <w:r w:rsidRPr="00C2187E">
              <w:rPr>
                <w:rFonts w:ascii="Arial" w:hAnsi="Arial" w:cs="Arial"/>
                <w:b/>
                <w:color w:val="000000"/>
              </w:rPr>
              <w:t>(</w:t>
            </w:r>
            <w:r w:rsidR="00B30070" w:rsidRPr="00C2187E">
              <w:rPr>
                <w:rFonts w:ascii="Arial" w:hAnsi="Arial" w:cs="Arial"/>
                <w:b/>
                <w:color w:val="000000"/>
              </w:rPr>
              <w:t>88</w:t>
            </w:r>
            <w:r w:rsidRPr="00C2187E">
              <w:rPr>
                <w:rFonts w:ascii="Arial" w:hAnsi="Arial" w:cs="Arial"/>
                <w:b/>
                <w:color w:val="000000"/>
              </w:rPr>
              <w:t>)</w:t>
            </w:r>
          </w:p>
        </w:tc>
        <w:tc>
          <w:tcPr>
            <w:tcW w:w="705" w:type="pct"/>
            <w:tcBorders>
              <w:left w:val="nil"/>
              <w:bottom w:val="single" w:sz="4" w:space="0" w:color="auto"/>
              <w:right w:val="nil"/>
            </w:tcBorders>
            <w:vAlign w:val="center"/>
          </w:tcPr>
          <w:p w14:paraId="6DC9B9F3" w14:textId="1C421A1A" w:rsidR="00CB1C89" w:rsidRPr="00C2187E" w:rsidRDefault="00CB1C89" w:rsidP="00CB1C89">
            <w:pPr>
              <w:jc w:val="right"/>
              <w:rPr>
                <w:rFonts w:ascii="Arial" w:hAnsi="Arial" w:cs="Arial"/>
                <w:b/>
              </w:rPr>
            </w:pPr>
            <w:r w:rsidRPr="00C2187E">
              <w:rPr>
                <w:rFonts w:ascii="Arial" w:hAnsi="Arial" w:cs="Arial"/>
                <w:b/>
                <w:bCs/>
                <w:color w:val="000000"/>
              </w:rPr>
              <w:t>(</w:t>
            </w:r>
            <w:r w:rsidR="00013078" w:rsidRPr="00C2187E">
              <w:rPr>
                <w:rFonts w:ascii="Arial" w:hAnsi="Arial" w:cs="Arial"/>
                <w:b/>
                <w:bCs/>
                <w:color w:val="000000"/>
              </w:rPr>
              <w:t>4.1</w:t>
            </w:r>
            <w:r w:rsidRPr="00C2187E">
              <w:rPr>
                <w:rFonts w:ascii="Arial" w:hAnsi="Arial" w:cs="Arial"/>
                <w:b/>
                <w:bCs/>
                <w:color w:val="000000"/>
              </w:rPr>
              <w:t>)</w:t>
            </w:r>
          </w:p>
        </w:tc>
        <w:tc>
          <w:tcPr>
            <w:tcW w:w="647" w:type="pct"/>
            <w:tcBorders>
              <w:left w:val="nil"/>
              <w:bottom w:val="single" w:sz="4" w:space="0" w:color="auto"/>
              <w:right w:val="nil"/>
            </w:tcBorders>
            <w:vAlign w:val="center"/>
          </w:tcPr>
          <w:p w14:paraId="6EEF9B22" w14:textId="0FB7381F" w:rsidR="00CB1C89" w:rsidRPr="00203EFD" w:rsidRDefault="00CB1C89" w:rsidP="00CB1C89">
            <w:pPr>
              <w:jc w:val="right"/>
              <w:rPr>
                <w:rFonts w:ascii="Arial" w:hAnsi="Arial" w:cs="Arial"/>
              </w:rPr>
            </w:pPr>
            <w:r w:rsidRPr="00203EFD">
              <w:rPr>
                <w:rFonts w:ascii="Arial" w:hAnsi="Arial" w:cs="Arial"/>
                <w:color w:val="000000"/>
              </w:rPr>
              <w:t>(79)</w:t>
            </w:r>
          </w:p>
        </w:tc>
        <w:tc>
          <w:tcPr>
            <w:tcW w:w="651" w:type="pct"/>
            <w:tcBorders>
              <w:left w:val="nil"/>
              <w:bottom w:val="single" w:sz="4" w:space="0" w:color="auto"/>
              <w:right w:val="nil"/>
            </w:tcBorders>
            <w:vAlign w:val="center"/>
          </w:tcPr>
          <w:p w14:paraId="791F4AEE" w14:textId="02F0C858" w:rsidR="00CB1C89" w:rsidRPr="00203EFD" w:rsidRDefault="00CB1C89" w:rsidP="00CB1C89">
            <w:pPr>
              <w:jc w:val="right"/>
              <w:rPr>
                <w:rFonts w:ascii="Arial" w:hAnsi="Arial" w:cs="Arial"/>
              </w:rPr>
            </w:pPr>
            <w:r w:rsidRPr="00203EFD">
              <w:rPr>
                <w:rFonts w:ascii="Arial" w:hAnsi="Arial" w:cs="Arial"/>
                <w:bCs/>
                <w:color w:val="000000"/>
              </w:rPr>
              <w:t>(3.7)</w:t>
            </w:r>
          </w:p>
        </w:tc>
      </w:tr>
      <w:tr w:rsidR="00CB1C89" w:rsidRPr="00203EFD" w14:paraId="418F787E" w14:textId="77777777" w:rsidTr="00D86819">
        <w:tc>
          <w:tcPr>
            <w:tcW w:w="2292" w:type="pct"/>
            <w:tcBorders>
              <w:top w:val="single" w:sz="4" w:space="0" w:color="auto"/>
              <w:left w:val="nil"/>
              <w:bottom w:val="nil"/>
              <w:right w:val="nil"/>
            </w:tcBorders>
            <w:hideMark/>
          </w:tcPr>
          <w:p w14:paraId="1AD38F15" w14:textId="77777777" w:rsidR="00CB1C89" w:rsidRPr="00203EFD" w:rsidRDefault="00CB1C89" w:rsidP="00CB1C89">
            <w:pPr>
              <w:rPr>
                <w:rFonts w:ascii="Arial" w:hAnsi="Arial" w:cs="Arial"/>
              </w:rPr>
            </w:pPr>
            <w:r w:rsidRPr="00203EFD">
              <w:rPr>
                <w:rFonts w:ascii="Arial" w:hAnsi="Arial" w:cs="Arial"/>
                <w:b/>
              </w:rPr>
              <w:t>Adjusted basic earnings per share</w:t>
            </w:r>
          </w:p>
        </w:tc>
        <w:tc>
          <w:tcPr>
            <w:tcW w:w="705" w:type="pct"/>
            <w:tcBorders>
              <w:top w:val="single" w:sz="4" w:space="0" w:color="auto"/>
              <w:left w:val="nil"/>
              <w:bottom w:val="nil"/>
              <w:right w:val="nil"/>
            </w:tcBorders>
          </w:tcPr>
          <w:p w14:paraId="4124CDAE" w14:textId="2EF02572" w:rsidR="00CB1C89" w:rsidRPr="00C2187E" w:rsidRDefault="00B30070" w:rsidP="00CB1C89">
            <w:pPr>
              <w:jc w:val="right"/>
              <w:rPr>
                <w:rFonts w:ascii="Arial" w:hAnsi="Arial" w:cs="Arial"/>
                <w:b/>
              </w:rPr>
            </w:pPr>
            <w:r w:rsidRPr="00C2187E">
              <w:rPr>
                <w:rFonts w:ascii="Arial" w:hAnsi="Arial" w:cs="Arial"/>
                <w:b/>
              </w:rPr>
              <w:t>421</w:t>
            </w:r>
          </w:p>
        </w:tc>
        <w:tc>
          <w:tcPr>
            <w:tcW w:w="705" w:type="pct"/>
            <w:tcBorders>
              <w:top w:val="single" w:sz="4" w:space="0" w:color="auto"/>
              <w:left w:val="nil"/>
              <w:bottom w:val="nil"/>
              <w:right w:val="nil"/>
            </w:tcBorders>
          </w:tcPr>
          <w:p w14:paraId="3BF356C4" w14:textId="4DD963A0" w:rsidR="00CB1C89" w:rsidRPr="00C2187E" w:rsidRDefault="00013078" w:rsidP="00CB1C89">
            <w:pPr>
              <w:jc w:val="right"/>
              <w:rPr>
                <w:rFonts w:ascii="Arial" w:hAnsi="Arial" w:cs="Arial"/>
                <w:b/>
              </w:rPr>
            </w:pPr>
            <w:r w:rsidRPr="00C2187E">
              <w:rPr>
                <w:rFonts w:ascii="Arial" w:hAnsi="Arial" w:cs="Arial"/>
                <w:b/>
              </w:rPr>
              <w:t>19.8</w:t>
            </w:r>
          </w:p>
        </w:tc>
        <w:tc>
          <w:tcPr>
            <w:tcW w:w="647" w:type="pct"/>
            <w:tcBorders>
              <w:top w:val="single" w:sz="4" w:space="0" w:color="auto"/>
              <w:left w:val="nil"/>
              <w:bottom w:val="nil"/>
              <w:right w:val="nil"/>
            </w:tcBorders>
          </w:tcPr>
          <w:p w14:paraId="01546CC8" w14:textId="6A428B98" w:rsidR="00CB1C89" w:rsidRPr="00203EFD" w:rsidRDefault="00CB1C89" w:rsidP="00CB1C89">
            <w:pPr>
              <w:jc w:val="right"/>
              <w:rPr>
                <w:rFonts w:ascii="Arial" w:hAnsi="Arial" w:cs="Arial"/>
              </w:rPr>
            </w:pPr>
            <w:r w:rsidRPr="00203EFD">
              <w:rPr>
                <w:rFonts w:ascii="Arial" w:hAnsi="Arial" w:cs="Arial"/>
              </w:rPr>
              <w:t>479</w:t>
            </w:r>
          </w:p>
        </w:tc>
        <w:tc>
          <w:tcPr>
            <w:tcW w:w="651" w:type="pct"/>
            <w:tcBorders>
              <w:top w:val="single" w:sz="4" w:space="0" w:color="auto"/>
              <w:left w:val="nil"/>
              <w:bottom w:val="nil"/>
              <w:right w:val="nil"/>
            </w:tcBorders>
          </w:tcPr>
          <w:p w14:paraId="1EDDE463" w14:textId="15F225D5" w:rsidR="00CB1C89" w:rsidRPr="00203EFD" w:rsidRDefault="00CB1C89" w:rsidP="00CB1C89">
            <w:pPr>
              <w:jc w:val="right"/>
              <w:rPr>
                <w:rFonts w:ascii="Arial" w:hAnsi="Arial" w:cs="Arial"/>
              </w:rPr>
            </w:pPr>
            <w:r w:rsidRPr="00203EFD">
              <w:rPr>
                <w:rFonts w:ascii="Arial" w:hAnsi="Arial" w:cs="Arial"/>
              </w:rPr>
              <w:t>21.8</w:t>
            </w:r>
          </w:p>
        </w:tc>
      </w:tr>
      <w:tr w:rsidR="00CB1C89" w:rsidRPr="00203EFD" w14:paraId="7C43DEAE" w14:textId="77777777" w:rsidTr="00D86819">
        <w:tc>
          <w:tcPr>
            <w:tcW w:w="2292" w:type="pct"/>
            <w:hideMark/>
          </w:tcPr>
          <w:p w14:paraId="1447E915" w14:textId="77777777" w:rsidR="00CB1C89" w:rsidRPr="00203EFD" w:rsidRDefault="00CB1C89" w:rsidP="00CB1C89">
            <w:pPr>
              <w:rPr>
                <w:rFonts w:ascii="Arial" w:hAnsi="Arial" w:cs="Arial"/>
              </w:rPr>
            </w:pPr>
            <w:r w:rsidRPr="00203EFD">
              <w:rPr>
                <w:rFonts w:ascii="Arial" w:hAnsi="Arial" w:cs="Arial"/>
              </w:rPr>
              <w:t>Net exceptional items</w:t>
            </w:r>
          </w:p>
        </w:tc>
        <w:tc>
          <w:tcPr>
            <w:tcW w:w="705" w:type="pct"/>
            <w:shd w:val="clear" w:color="auto" w:fill="auto"/>
          </w:tcPr>
          <w:p w14:paraId="25C57D48" w14:textId="223A7275" w:rsidR="00CB1C89" w:rsidRPr="00C2187E" w:rsidRDefault="0014186D" w:rsidP="00CB1C89">
            <w:pPr>
              <w:jc w:val="right"/>
              <w:rPr>
                <w:rFonts w:ascii="Arial" w:hAnsi="Arial" w:cs="Arial"/>
                <w:b/>
              </w:rPr>
            </w:pPr>
            <w:r w:rsidRPr="00C2187E">
              <w:rPr>
                <w:rFonts w:ascii="Arial" w:hAnsi="Arial" w:cs="Arial"/>
                <w:b/>
              </w:rPr>
              <w:t>(</w:t>
            </w:r>
            <w:r w:rsidR="00F12F4E">
              <w:rPr>
                <w:rFonts w:ascii="Arial" w:hAnsi="Arial" w:cs="Arial"/>
                <w:b/>
              </w:rPr>
              <w:t>190</w:t>
            </w:r>
            <w:r w:rsidRPr="00C2187E">
              <w:rPr>
                <w:rFonts w:ascii="Arial" w:hAnsi="Arial" w:cs="Arial"/>
                <w:b/>
              </w:rPr>
              <w:t>)</w:t>
            </w:r>
          </w:p>
        </w:tc>
        <w:tc>
          <w:tcPr>
            <w:tcW w:w="705" w:type="pct"/>
            <w:shd w:val="clear" w:color="auto" w:fill="auto"/>
          </w:tcPr>
          <w:p w14:paraId="246404E8" w14:textId="5E02F038" w:rsidR="00CB1C89" w:rsidRPr="00C2187E" w:rsidRDefault="0014186D" w:rsidP="00CB1C89">
            <w:pPr>
              <w:jc w:val="right"/>
              <w:rPr>
                <w:rFonts w:ascii="Arial" w:hAnsi="Arial" w:cs="Arial"/>
                <w:b/>
              </w:rPr>
            </w:pPr>
            <w:r w:rsidRPr="00C2187E">
              <w:rPr>
                <w:rFonts w:ascii="Arial" w:hAnsi="Arial" w:cs="Arial"/>
                <w:b/>
              </w:rPr>
              <w:t>(</w:t>
            </w:r>
            <w:r w:rsidR="00F12F4E">
              <w:rPr>
                <w:rFonts w:ascii="Arial" w:hAnsi="Arial" w:cs="Arial"/>
                <w:b/>
              </w:rPr>
              <w:t>8</w:t>
            </w:r>
            <w:r w:rsidRPr="00C2187E">
              <w:rPr>
                <w:rFonts w:ascii="Arial" w:hAnsi="Arial" w:cs="Arial"/>
                <w:b/>
              </w:rPr>
              <w:t>.</w:t>
            </w:r>
            <w:r w:rsidR="00F12F4E">
              <w:rPr>
                <w:rFonts w:ascii="Arial" w:hAnsi="Arial" w:cs="Arial"/>
                <w:b/>
              </w:rPr>
              <w:t>9</w:t>
            </w:r>
            <w:r w:rsidRPr="00C2187E">
              <w:rPr>
                <w:rFonts w:ascii="Arial" w:hAnsi="Arial" w:cs="Arial"/>
                <w:b/>
              </w:rPr>
              <w:t>)</w:t>
            </w:r>
          </w:p>
        </w:tc>
        <w:tc>
          <w:tcPr>
            <w:tcW w:w="647" w:type="pct"/>
            <w:shd w:val="clear" w:color="auto" w:fill="auto"/>
          </w:tcPr>
          <w:p w14:paraId="2C1CF247" w14:textId="05A21E2B" w:rsidR="00CB1C89" w:rsidRPr="00203EFD" w:rsidRDefault="00CB1C89" w:rsidP="00CB1C89">
            <w:pPr>
              <w:jc w:val="right"/>
              <w:rPr>
                <w:rFonts w:ascii="Arial" w:hAnsi="Arial" w:cs="Arial"/>
              </w:rPr>
            </w:pPr>
            <w:r w:rsidRPr="00203EFD">
              <w:rPr>
                <w:rFonts w:ascii="Arial" w:hAnsi="Arial" w:cs="Arial"/>
              </w:rPr>
              <w:t>-</w:t>
            </w:r>
          </w:p>
        </w:tc>
        <w:tc>
          <w:tcPr>
            <w:tcW w:w="651" w:type="pct"/>
            <w:shd w:val="clear" w:color="auto" w:fill="auto"/>
          </w:tcPr>
          <w:p w14:paraId="6D8757E5" w14:textId="376C1D88" w:rsidR="00CB1C89" w:rsidRPr="00203EFD" w:rsidRDefault="00CB1C89" w:rsidP="00CB1C89">
            <w:pPr>
              <w:jc w:val="right"/>
              <w:rPr>
                <w:rFonts w:ascii="Arial" w:hAnsi="Arial" w:cs="Arial"/>
              </w:rPr>
            </w:pPr>
            <w:r w:rsidRPr="00203EFD">
              <w:rPr>
                <w:rFonts w:ascii="Arial" w:hAnsi="Arial" w:cs="Arial"/>
              </w:rPr>
              <w:t>-</w:t>
            </w:r>
          </w:p>
        </w:tc>
      </w:tr>
      <w:tr w:rsidR="00CB1C89" w:rsidRPr="00203EFD" w14:paraId="55CBA936" w14:textId="77777777" w:rsidTr="00D86819">
        <w:tc>
          <w:tcPr>
            <w:tcW w:w="2292" w:type="pct"/>
            <w:vAlign w:val="bottom"/>
            <w:hideMark/>
          </w:tcPr>
          <w:p w14:paraId="52C2A807" w14:textId="77777777" w:rsidR="00CB1C89" w:rsidRPr="00CF2935" w:rsidRDefault="00CB1C89" w:rsidP="00CB1C89">
            <w:pPr>
              <w:jc w:val="left"/>
              <w:rPr>
                <w:rFonts w:ascii="Arial" w:hAnsi="Arial" w:cs="Arial"/>
              </w:rPr>
            </w:pPr>
            <w:r w:rsidRPr="00CF2935">
              <w:rPr>
                <w:rFonts w:ascii="Arial" w:hAnsi="Arial" w:cs="Arial"/>
              </w:rPr>
              <w:t>Prior year tax items</w:t>
            </w:r>
          </w:p>
        </w:tc>
        <w:tc>
          <w:tcPr>
            <w:tcW w:w="705" w:type="pct"/>
          </w:tcPr>
          <w:p w14:paraId="10B50743" w14:textId="292F5CB1" w:rsidR="00CB1C89" w:rsidRPr="00CF2935" w:rsidRDefault="00F12F4E" w:rsidP="00CB1C89">
            <w:pPr>
              <w:jc w:val="right"/>
              <w:rPr>
                <w:rFonts w:ascii="Arial" w:hAnsi="Arial" w:cs="Arial"/>
                <w:b/>
              </w:rPr>
            </w:pPr>
            <w:r w:rsidRPr="0035009E">
              <w:rPr>
                <w:rFonts w:ascii="Arial" w:hAnsi="Arial" w:cs="Arial"/>
                <w:b/>
              </w:rPr>
              <w:t>(13)</w:t>
            </w:r>
          </w:p>
        </w:tc>
        <w:tc>
          <w:tcPr>
            <w:tcW w:w="705" w:type="pct"/>
            <w:vAlign w:val="bottom"/>
          </w:tcPr>
          <w:p w14:paraId="0BE44C57" w14:textId="3C7A0F46" w:rsidR="00CB1C89" w:rsidRPr="00CF2935" w:rsidRDefault="00F12F4E" w:rsidP="00CB1C89">
            <w:pPr>
              <w:jc w:val="right"/>
              <w:rPr>
                <w:rFonts w:ascii="Arial" w:hAnsi="Arial" w:cs="Arial"/>
                <w:b/>
              </w:rPr>
            </w:pPr>
            <w:r w:rsidRPr="0035009E">
              <w:rPr>
                <w:rFonts w:ascii="Arial" w:hAnsi="Arial" w:cs="Arial"/>
                <w:b/>
              </w:rPr>
              <w:t>(0.6)</w:t>
            </w:r>
          </w:p>
        </w:tc>
        <w:tc>
          <w:tcPr>
            <w:tcW w:w="647" w:type="pct"/>
          </w:tcPr>
          <w:p w14:paraId="50516585" w14:textId="49B5AFF0" w:rsidR="00CB1C89" w:rsidRPr="00CF2935" w:rsidRDefault="00CB1C89" w:rsidP="00CB1C89">
            <w:pPr>
              <w:jc w:val="right"/>
              <w:rPr>
                <w:rFonts w:ascii="Arial" w:hAnsi="Arial" w:cs="Arial"/>
              </w:rPr>
            </w:pPr>
            <w:r w:rsidRPr="00CF2935">
              <w:rPr>
                <w:rFonts w:ascii="Arial" w:hAnsi="Arial" w:cs="Arial"/>
              </w:rPr>
              <w:t>7</w:t>
            </w:r>
          </w:p>
        </w:tc>
        <w:tc>
          <w:tcPr>
            <w:tcW w:w="651" w:type="pct"/>
            <w:vAlign w:val="bottom"/>
          </w:tcPr>
          <w:p w14:paraId="5DB076D5" w14:textId="5A2B799B" w:rsidR="00CB1C89" w:rsidRPr="00203EFD" w:rsidRDefault="00CB1C89" w:rsidP="00CB1C89">
            <w:pPr>
              <w:jc w:val="right"/>
              <w:rPr>
                <w:rFonts w:ascii="Arial" w:hAnsi="Arial" w:cs="Arial"/>
              </w:rPr>
            </w:pPr>
            <w:r w:rsidRPr="00CF2935">
              <w:rPr>
                <w:rFonts w:ascii="Arial" w:hAnsi="Arial" w:cs="Arial"/>
              </w:rPr>
              <w:t>0.3</w:t>
            </w:r>
          </w:p>
        </w:tc>
      </w:tr>
      <w:tr w:rsidR="00CB1C89" w:rsidRPr="00203EFD" w14:paraId="4BFCCE6B" w14:textId="77777777" w:rsidTr="00D86819">
        <w:tc>
          <w:tcPr>
            <w:tcW w:w="2292" w:type="pct"/>
            <w:vAlign w:val="bottom"/>
            <w:hideMark/>
          </w:tcPr>
          <w:p w14:paraId="012762AC" w14:textId="77777777" w:rsidR="00CB1C89" w:rsidRPr="00203EFD" w:rsidRDefault="00CB1C89" w:rsidP="00CB1C89">
            <w:pPr>
              <w:jc w:val="left"/>
              <w:rPr>
                <w:rFonts w:ascii="Arial" w:hAnsi="Arial" w:cs="Arial"/>
              </w:rPr>
            </w:pPr>
            <w:r w:rsidRPr="00203EFD">
              <w:rPr>
                <w:rFonts w:ascii="Arial" w:hAnsi="Arial" w:cs="Arial"/>
              </w:rPr>
              <w:t>FFVR (net of tax)</w:t>
            </w:r>
          </w:p>
        </w:tc>
        <w:tc>
          <w:tcPr>
            <w:tcW w:w="705" w:type="pct"/>
          </w:tcPr>
          <w:p w14:paraId="5F012318" w14:textId="5C96DDCE" w:rsidR="00CB1C89" w:rsidRPr="00C2187E" w:rsidRDefault="00B30070" w:rsidP="00CB1C89">
            <w:pPr>
              <w:jc w:val="right"/>
              <w:rPr>
                <w:rFonts w:ascii="Arial" w:hAnsi="Arial" w:cs="Arial"/>
                <w:b/>
              </w:rPr>
            </w:pPr>
            <w:r w:rsidRPr="00C2187E">
              <w:rPr>
                <w:rFonts w:ascii="Arial" w:hAnsi="Arial" w:cs="Arial"/>
                <w:b/>
              </w:rPr>
              <w:t>-</w:t>
            </w:r>
          </w:p>
        </w:tc>
        <w:tc>
          <w:tcPr>
            <w:tcW w:w="705" w:type="pct"/>
            <w:vAlign w:val="bottom"/>
          </w:tcPr>
          <w:p w14:paraId="49AC3BEB" w14:textId="22C81DDA" w:rsidR="00CB1C89" w:rsidRPr="00C2187E" w:rsidRDefault="00B30070" w:rsidP="00CB1C89">
            <w:pPr>
              <w:jc w:val="right"/>
              <w:rPr>
                <w:rFonts w:ascii="Arial" w:hAnsi="Arial" w:cs="Arial"/>
                <w:b/>
              </w:rPr>
            </w:pPr>
            <w:r w:rsidRPr="00C2187E">
              <w:rPr>
                <w:rFonts w:ascii="Arial" w:hAnsi="Arial" w:cs="Arial"/>
                <w:b/>
              </w:rPr>
              <w:t>-</w:t>
            </w:r>
          </w:p>
        </w:tc>
        <w:tc>
          <w:tcPr>
            <w:tcW w:w="647" w:type="pct"/>
          </w:tcPr>
          <w:p w14:paraId="6F837066" w14:textId="50E50CF8" w:rsidR="00CB1C89" w:rsidRPr="00203EFD" w:rsidRDefault="00CB1C89" w:rsidP="00CB1C89">
            <w:pPr>
              <w:jc w:val="right"/>
              <w:rPr>
                <w:rFonts w:ascii="Arial" w:hAnsi="Arial" w:cs="Arial"/>
              </w:rPr>
            </w:pPr>
            <w:r w:rsidRPr="00203EFD">
              <w:rPr>
                <w:rFonts w:ascii="Arial" w:hAnsi="Arial" w:cs="Arial"/>
              </w:rPr>
              <w:t>(1)</w:t>
            </w:r>
          </w:p>
        </w:tc>
        <w:tc>
          <w:tcPr>
            <w:tcW w:w="651" w:type="pct"/>
            <w:vAlign w:val="bottom"/>
          </w:tcPr>
          <w:p w14:paraId="207BE494" w14:textId="7E2F61E1" w:rsidR="00CB1C89" w:rsidRPr="00203EFD" w:rsidRDefault="00CB1C89" w:rsidP="00CB1C89">
            <w:pPr>
              <w:jc w:val="right"/>
              <w:rPr>
                <w:rFonts w:ascii="Arial" w:hAnsi="Arial" w:cs="Arial"/>
              </w:rPr>
            </w:pPr>
            <w:r w:rsidRPr="00203EFD">
              <w:rPr>
                <w:rFonts w:ascii="Arial" w:hAnsi="Arial" w:cs="Arial"/>
              </w:rPr>
              <w:t>-</w:t>
            </w:r>
          </w:p>
        </w:tc>
      </w:tr>
      <w:tr w:rsidR="00CB1C89" w:rsidRPr="00A845B7" w14:paraId="07354F34" w14:textId="77777777" w:rsidTr="00D86819">
        <w:trPr>
          <w:trHeight w:val="70"/>
        </w:trPr>
        <w:tc>
          <w:tcPr>
            <w:tcW w:w="2292" w:type="pct"/>
            <w:tcBorders>
              <w:top w:val="single" w:sz="4" w:space="0" w:color="auto"/>
              <w:left w:val="nil"/>
              <w:bottom w:val="single" w:sz="4" w:space="0" w:color="auto"/>
              <w:right w:val="nil"/>
            </w:tcBorders>
            <w:hideMark/>
          </w:tcPr>
          <w:p w14:paraId="3C87B1BE" w14:textId="77777777" w:rsidR="00CB1C89" w:rsidRPr="00203EFD" w:rsidRDefault="00CB1C89" w:rsidP="00CB1C89">
            <w:pPr>
              <w:rPr>
                <w:rFonts w:ascii="Arial" w:hAnsi="Arial" w:cs="Arial"/>
                <w:b/>
              </w:rPr>
            </w:pPr>
            <w:r w:rsidRPr="00203EFD">
              <w:rPr>
                <w:rFonts w:ascii="Arial" w:hAnsi="Arial" w:cs="Arial"/>
                <w:b/>
              </w:rPr>
              <w:t>Basic earnings per share</w:t>
            </w:r>
          </w:p>
        </w:tc>
        <w:tc>
          <w:tcPr>
            <w:tcW w:w="705" w:type="pct"/>
            <w:tcBorders>
              <w:top w:val="single" w:sz="4" w:space="0" w:color="auto"/>
              <w:left w:val="nil"/>
              <w:bottom w:val="single" w:sz="4" w:space="0" w:color="auto"/>
              <w:right w:val="nil"/>
            </w:tcBorders>
          </w:tcPr>
          <w:p w14:paraId="3CBA9BD1" w14:textId="31A8D44F" w:rsidR="00CB1C89" w:rsidRPr="00C2187E" w:rsidRDefault="00B30070" w:rsidP="00CB1C89">
            <w:pPr>
              <w:jc w:val="right"/>
              <w:rPr>
                <w:rFonts w:ascii="Arial" w:hAnsi="Arial" w:cs="Arial"/>
                <w:b/>
              </w:rPr>
            </w:pPr>
            <w:r w:rsidRPr="00C2187E">
              <w:rPr>
                <w:rFonts w:ascii="Arial" w:hAnsi="Arial" w:cs="Arial"/>
                <w:b/>
              </w:rPr>
              <w:t>2</w:t>
            </w:r>
            <w:r w:rsidR="00750E65">
              <w:rPr>
                <w:rFonts w:ascii="Arial" w:hAnsi="Arial" w:cs="Arial"/>
                <w:b/>
              </w:rPr>
              <w:t>1</w:t>
            </w:r>
            <w:r w:rsidRPr="00C2187E">
              <w:rPr>
                <w:rFonts w:ascii="Arial" w:hAnsi="Arial" w:cs="Arial"/>
                <w:b/>
              </w:rPr>
              <w:t>8</w:t>
            </w:r>
          </w:p>
        </w:tc>
        <w:tc>
          <w:tcPr>
            <w:tcW w:w="705" w:type="pct"/>
            <w:tcBorders>
              <w:top w:val="single" w:sz="4" w:space="0" w:color="auto"/>
              <w:left w:val="nil"/>
              <w:bottom w:val="single" w:sz="4" w:space="0" w:color="auto"/>
              <w:right w:val="nil"/>
            </w:tcBorders>
          </w:tcPr>
          <w:p w14:paraId="5DF879F0" w14:textId="6C06BB65" w:rsidR="00CB1C89" w:rsidRPr="00C2187E" w:rsidRDefault="00013078" w:rsidP="00CB1C89">
            <w:pPr>
              <w:jc w:val="right"/>
              <w:rPr>
                <w:rFonts w:ascii="Arial" w:hAnsi="Arial" w:cs="Arial"/>
                <w:b/>
              </w:rPr>
            </w:pPr>
            <w:r w:rsidRPr="00C2187E">
              <w:rPr>
                <w:rFonts w:ascii="Arial" w:hAnsi="Arial" w:cs="Arial"/>
                <w:b/>
              </w:rPr>
              <w:t>1</w:t>
            </w:r>
            <w:r w:rsidR="00750E65">
              <w:rPr>
                <w:rFonts w:ascii="Arial" w:hAnsi="Arial" w:cs="Arial"/>
                <w:b/>
              </w:rPr>
              <w:t>0</w:t>
            </w:r>
            <w:r w:rsidRPr="00C2187E">
              <w:rPr>
                <w:rFonts w:ascii="Arial" w:hAnsi="Arial" w:cs="Arial"/>
                <w:b/>
              </w:rPr>
              <w:t>.</w:t>
            </w:r>
            <w:r w:rsidR="00750E65">
              <w:rPr>
                <w:rFonts w:ascii="Arial" w:hAnsi="Arial" w:cs="Arial"/>
                <w:b/>
              </w:rPr>
              <w:t>3</w:t>
            </w:r>
          </w:p>
        </w:tc>
        <w:tc>
          <w:tcPr>
            <w:tcW w:w="647" w:type="pct"/>
            <w:tcBorders>
              <w:top w:val="single" w:sz="4" w:space="0" w:color="auto"/>
              <w:left w:val="nil"/>
              <w:bottom w:val="single" w:sz="4" w:space="0" w:color="auto"/>
              <w:right w:val="nil"/>
            </w:tcBorders>
          </w:tcPr>
          <w:p w14:paraId="206AE44D" w14:textId="7ACAE221" w:rsidR="00CB1C89" w:rsidRPr="00203EFD" w:rsidRDefault="00CB1C89" w:rsidP="00CB1C89">
            <w:pPr>
              <w:jc w:val="right"/>
              <w:rPr>
                <w:rFonts w:ascii="Arial" w:hAnsi="Arial" w:cs="Arial"/>
              </w:rPr>
            </w:pPr>
            <w:r w:rsidRPr="00203EFD">
              <w:rPr>
                <w:rFonts w:ascii="Arial" w:hAnsi="Arial" w:cs="Arial"/>
              </w:rPr>
              <w:t>485</w:t>
            </w:r>
          </w:p>
        </w:tc>
        <w:tc>
          <w:tcPr>
            <w:tcW w:w="651" w:type="pct"/>
            <w:tcBorders>
              <w:top w:val="single" w:sz="4" w:space="0" w:color="auto"/>
              <w:left w:val="nil"/>
              <w:bottom w:val="single" w:sz="4" w:space="0" w:color="auto"/>
              <w:right w:val="nil"/>
            </w:tcBorders>
          </w:tcPr>
          <w:p w14:paraId="3FC517F8" w14:textId="545213AF" w:rsidR="00CB1C89" w:rsidRPr="00CB1C89" w:rsidRDefault="00CB1C89" w:rsidP="00CB1C89">
            <w:pPr>
              <w:jc w:val="right"/>
              <w:rPr>
                <w:rFonts w:ascii="Arial" w:hAnsi="Arial" w:cs="Arial"/>
              </w:rPr>
            </w:pPr>
            <w:r w:rsidRPr="00203EFD">
              <w:rPr>
                <w:rFonts w:ascii="Arial" w:hAnsi="Arial" w:cs="Arial"/>
              </w:rPr>
              <w:t>22.1</w:t>
            </w:r>
          </w:p>
        </w:tc>
      </w:tr>
    </w:tbl>
    <w:p w14:paraId="232C23A8" w14:textId="77777777" w:rsidR="00997637" w:rsidRPr="00A845B7" w:rsidRDefault="00997637" w:rsidP="00997637">
      <w:pPr>
        <w:jc w:val="left"/>
        <w:rPr>
          <w:rFonts w:ascii="Arial" w:hAnsi="Arial" w:cs="Arial"/>
          <w:b/>
          <w:bCs/>
          <w:highlight w:val="yellow"/>
        </w:rPr>
      </w:pPr>
    </w:p>
    <w:p w14:paraId="038CBE5E" w14:textId="4AFE2A8C" w:rsidR="00241E2E" w:rsidRDefault="00241E2E" w:rsidP="002146A2">
      <w:pPr>
        <w:jc w:val="left"/>
        <w:rPr>
          <w:rFonts w:ascii="Arial" w:hAnsi="Arial" w:cs="Arial"/>
        </w:rPr>
      </w:pPr>
      <w:bookmarkStart w:id="40" w:name="_Hlk507763526"/>
      <w:r w:rsidRPr="00686C6E">
        <w:rPr>
          <w:rFonts w:ascii="Arial" w:hAnsi="Arial" w:cs="Arial"/>
        </w:rPr>
        <w:t>During 201</w:t>
      </w:r>
      <w:r w:rsidR="00DD4AC8">
        <w:rPr>
          <w:rFonts w:ascii="Arial" w:hAnsi="Arial" w:cs="Arial"/>
        </w:rPr>
        <w:t>8</w:t>
      </w:r>
      <w:r>
        <w:rPr>
          <w:rFonts w:ascii="Arial" w:hAnsi="Arial" w:cs="Arial"/>
        </w:rPr>
        <w:t>/</w:t>
      </w:r>
      <w:r w:rsidRPr="00671789">
        <w:rPr>
          <w:rFonts w:ascii="Arial" w:hAnsi="Arial" w:cs="Arial"/>
        </w:rPr>
        <w:t>1</w:t>
      </w:r>
      <w:r w:rsidR="00DD4AC8" w:rsidRPr="00671789">
        <w:rPr>
          <w:rFonts w:ascii="Arial" w:hAnsi="Arial" w:cs="Arial"/>
        </w:rPr>
        <w:t>9</w:t>
      </w:r>
      <w:r w:rsidRPr="00671789">
        <w:rPr>
          <w:rFonts w:ascii="Arial" w:hAnsi="Arial" w:cs="Arial"/>
        </w:rPr>
        <w:t xml:space="preserve"> </w:t>
      </w:r>
      <w:r w:rsidR="00671789" w:rsidRPr="005D6FAA">
        <w:rPr>
          <w:rFonts w:ascii="Arial" w:hAnsi="Arial" w:cs="Arial"/>
        </w:rPr>
        <w:t>51</w:t>
      </w:r>
      <w:r w:rsidRPr="00686C6E">
        <w:rPr>
          <w:rFonts w:ascii="Arial" w:hAnsi="Arial" w:cs="Arial"/>
        </w:rPr>
        <w:t xml:space="preserve"> </w:t>
      </w:r>
      <w:r>
        <w:rPr>
          <w:rFonts w:ascii="Arial" w:hAnsi="Arial" w:cs="Arial"/>
        </w:rPr>
        <w:t>million shares were</w:t>
      </w:r>
      <w:r w:rsidRPr="00686C6E">
        <w:rPr>
          <w:rFonts w:ascii="Arial" w:hAnsi="Arial" w:cs="Arial"/>
        </w:rPr>
        <w:t xml:space="preserve"> returned to shareholders </w:t>
      </w:r>
      <w:r w:rsidRPr="00A845B7">
        <w:rPr>
          <w:rFonts w:ascii="Arial" w:hAnsi="Arial" w:cs="Arial"/>
        </w:rPr>
        <w:t>via share buyback</w:t>
      </w:r>
      <w:r w:rsidR="005E243F">
        <w:rPr>
          <w:rFonts w:ascii="Arial" w:hAnsi="Arial" w:cs="Arial"/>
        </w:rPr>
        <w:t>,</w:t>
      </w:r>
      <w:r w:rsidR="005E243F" w:rsidRPr="005E243F">
        <w:t xml:space="preserve"> </w:t>
      </w:r>
      <w:r w:rsidR="005E243F" w:rsidRPr="005E243F">
        <w:rPr>
          <w:rFonts w:ascii="Arial" w:hAnsi="Arial" w:cs="Arial"/>
        </w:rPr>
        <w:t xml:space="preserve">following a buyback of </w:t>
      </w:r>
      <w:r w:rsidR="00DD4AC8">
        <w:rPr>
          <w:rFonts w:ascii="Arial" w:hAnsi="Arial" w:cs="Arial"/>
        </w:rPr>
        <w:t>82</w:t>
      </w:r>
      <w:r w:rsidR="005E243F" w:rsidRPr="005E243F">
        <w:rPr>
          <w:rFonts w:ascii="Arial" w:hAnsi="Arial" w:cs="Arial"/>
        </w:rPr>
        <w:t xml:space="preserve"> million shares in the prior year. </w:t>
      </w:r>
    </w:p>
    <w:bookmarkEnd w:id="39"/>
    <w:bookmarkEnd w:id="40"/>
    <w:p w14:paraId="6388AC96" w14:textId="77777777" w:rsidR="00B0776C" w:rsidRDefault="00B0776C" w:rsidP="00997637">
      <w:pPr>
        <w:jc w:val="left"/>
        <w:rPr>
          <w:rFonts w:ascii="Arial" w:hAnsi="Arial" w:cs="Arial"/>
          <w:b/>
          <w:bCs/>
        </w:rPr>
      </w:pPr>
    </w:p>
    <w:p w14:paraId="6F60AC7C" w14:textId="713EB915" w:rsidR="00997637" w:rsidRPr="00A845B7" w:rsidRDefault="00997637" w:rsidP="00997637">
      <w:pPr>
        <w:jc w:val="left"/>
        <w:rPr>
          <w:rFonts w:ascii="Arial" w:hAnsi="Arial" w:cs="Arial"/>
          <w:b/>
          <w:bCs/>
        </w:rPr>
      </w:pPr>
      <w:bookmarkStart w:id="41" w:name="_Hlk536802504"/>
      <w:r w:rsidRPr="00A845B7">
        <w:rPr>
          <w:rFonts w:ascii="Arial" w:hAnsi="Arial" w:cs="Arial"/>
          <w:b/>
          <w:bCs/>
        </w:rPr>
        <w:t xml:space="preserve">Dividends and capital returns </w:t>
      </w:r>
    </w:p>
    <w:p w14:paraId="6AC603AF" w14:textId="77777777" w:rsidR="00997637" w:rsidRPr="005563A5" w:rsidRDefault="00997637" w:rsidP="00997637">
      <w:pPr>
        <w:jc w:val="left"/>
        <w:rPr>
          <w:rFonts w:ascii="Arial" w:hAnsi="Arial" w:cs="Arial"/>
          <w:b/>
          <w:bCs/>
          <w:sz w:val="24"/>
          <w:szCs w:val="24"/>
        </w:rPr>
      </w:pPr>
    </w:p>
    <w:p w14:paraId="6C84CEE2" w14:textId="67218601" w:rsidR="00671789" w:rsidRPr="00686C6E" w:rsidRDefault="00671789" w:rsidP="00671789">
      <w:pPr>
        <w:jc w:val="left"/>
        <w:rPr>
          <w:rFonts w:ascii="Arial" w:hAnsi="Arial" w:cs="Arial"/>
          <w:highlight w:val="yellow"/>
        </w:rPr>
      </w:pPr>
      <w:r w:rsidRPr="00E4534B">
        <w:rPr>
          <w:rFonts w:ascii="Arial" w:hAnsi="Arial" w:cs="Arial"/>
        </w:rPr>
        <w:t xml:space="preserve">The Board has proposed a final dividend </w:t>
      </w:r>
      <w:r w:rsidRPr="006B55FF">
        <w:rPr>
          <w:rFonts w:ascii="Arial" w:hAnsi="Arial" w:cs="Arial"/>
        </w:rPr>
        <w:t xml:space="preserve">of </w:t>
      </w:r>
      <w:r w:rsidR="000D2FB5" w:rsidRPr="0035009E">
        <w:rPr>
          <w:rFonts w:ascii="Arial" w:hAnsi="Arial" w:cs="Arial"/>
        </w:rPr>
        <w:t>7.49</w:t>
      </w:r>
      <w:r w:rsidRPr="0035009E">
        <w:rPr>
          <w:rFonts w:ascii="Arial" w:hAnsi="Arial" w:cs="Arial"/>
        </w:rPr>
        <w:t>p</w:t>
      </w:r>
      <w:r w:rsidRPr="00E4534B">
        <w:rPr>
          <w:rFonts w:ascii="Arial" w:hAnsi="Arial" w:cs="Arial"/>
        </w:rPr>
        <w:t xml:space="preserve"> which results in a full year dividend of </w:t>
      </w:r>
      <w:r w:rsidR="00203EFD" w:rsidRPr="0035009E">
        <w:rPr>
          <w:rFonts w:ascii="Arial" w:hAnsi="Arial" w:cs="Arial"/>
        </w:rPr>
        <w:t>10</w:t>
      </w:r>
      <w:r w:rsidRPr="0035009E">
        <w:rPr>
          <w:rFonts w:ascii="Arial" w:hAnsi="Arial" w:cs="Arial"/>
        </w:rPr>
        <w:t>.</w:t>
      </w:r>
      <w:r w:rsidR="00203EFD" w:rsidRPr="0035009E">
        <w:rPr>
          <w:rFonts w:ascii="Arial" w:hAnsi="Arial" w:cs="Arial"/>
        </w:rPr>
        <w:t>8</w:t>
      </w:r>
      <w:r w:rsidR="00206C94" w:rsidRPr="00FF40EA">
        <w:rPr>
          <w:rFonts w:ascii="Arial" w:hAnsi="Arial" w:cs="Arial"/>
        </w:rPr>
        <w:t>2</w:t>
      </w:r>
      <w:r w:rsidR="00203EFD" w:rsidRPr="00D86BB6">
        <w:rPr>
          <w:rFonts w:ascii="Arial" w:hAnsi="Arial" w:cs="Arial"/>
        </w:rPr>
        <w:t>p</w:t>
      </w:r>
      <w:r w:rsidRPr="00E4534B">
        <w:rPr>
          <w:rFonts w:ascii="Arial" w:hAnsi="Arial" w:cs="Arial"/>
        </w:rPr>
        <w:t xml:space="preserve"> (201</w:t>
      </w:r>
      <w:r>
        <w:rPr>
          <w:rFonts w:ascii="Arial" w:hAnsi="Arial" w:cs="Arial"/>
        </w:rPr>
        <w:t>7</w:t>
      </w:r>
      <w:r w:rsidRPr="00E4534B">
        <w:rPr>
          <w:rFonts w:ascii="Arial" w:hAnsi="Arial" w:cs="Arial"/>
        </w:rPr>
        <w:t>/1</w:t>
      </w:r>
      <w:r>
        <w:rPr>
          <w:rFonts w:ascii="Arial" w:hAnsi="Arial" w:cs="Arial"/>
        </w:rPr>
        <w:t>8</w:t>
      </w:r>
      <w:r w:rsidRPr="00E4534B">
        <w:rPr>
          <w:rFonts w:ascii="Arial" w:hAnsi="Arial" w:cs="Arial"/>
        </w:rPr>
        <w:t>: 10.</w:t>
      </w:r>
      <w:r>
        <w:rPr>
          <w:rFonts w:ascii="Arial" w:hAnsi="Arial" w:cs="Arial"/>
        </w:rPr>
        <w:t>82</w:t>
      </w:r>
      <w:r w:rsidRPr="00E4534B">
        <w:rPr>
          <w:rFonts w:ascii="Arial" w:hAnsi="Arial" w:cs="Arial"/>
        </w:rPr>
        <w:t xml:space="preserve">p). The full year dividend is </w:t>
      </w:r>
      <w:r w:rsidRPr="00F07AFB">
        <w:rPr>
          <w:rFonts w:ascii="Arial" w:hAnsi="Arial" w:cs="Arial"/>
        </w:rPr>
        <w:t xml:space="preserve">covered </w:t>
      </w:r>
      <w:r w:rsidR="000D2FB5" w:rsidRPr="0035009E">
        <w:rPr>
          <w:rFonts w:ascii="Arial" w:hAnsi="Arial" w:cs="Arial"/>
        </w:rPr>
        <w:t>1.8</w:t>
      </w:r>
      <w:r w:rsidRPr="00E4534B">
        <w:rPr>
          <w:rFonts w:ascii="Arial" w:hAnsi="Arial" w:cs="Arial"/>
        </w:rPr>
        <w:t xml:space="preserve"> times by adjusted earnings (201</w:t>
      </w:r>
      <w:r>
        <w:rPr>
          <w:rFonts w:ascii="Arial" w:hAnsi="Arial" w:cs="Arial"/>
        </w:rPr>
        <w:t>7</w:t>
      </w:r>
      <w:r w:rsidRPr="00E4534B">
        <w:rPr>
          <w:rFonts w:ascii="Arial" w:hAnsi="Arial" w:cs="Arial"/>
        </w:rPr>
        <w:t>/1</w:t>
      </w:r>
      <w:r>
        <w:rPr>
          <w:rFonts w:ascii="Arial" w:hAnsi="Arial" w:cs="Arial"/>
        </w:rPr>
        <w:t>8</w:t>
      </w:r>
      <w:r w:rsidRPr="00E4534B">
        <w:rPr>
          <w:rFonts w:ascii="Arial" w:hAnsi="Arial" w:cs="Arial"/>
        </w:rPr>
        <w:t>: 2.</w:t>
      </w:r>
      <w:r>
        <w:rPr>
          <w:rFonts w:ascii="Arial" w:hAnsi="Arial" w:cs="Arial"/>
        </w:rPr>
        <w:t>0</w:t>
      </w:r>
      <w:r w:rsidRPr="00E4534B">
        <w:rPr>
          <w:rFonts w:ascii="Arial" w:hAnsi="Arial" w:cs="Arial"/>
        </w:rPr>
        <w:t xml:space="preserve"> times).</w:t>
      </w:r>
      <w:r w:rsidRPr="0018703F">
        <w:rPr>
          <w:rFonts w:ascii="Arial" w:hAnsi="Arial" w:cs="Arial"/>
        </w:rPr>
        <w:t xml:space="preserve"> </w:t>
      </w:r>
      <w:r w:rsidRPr="00E4534B">
        <w:rPr>
          <w:rFonts w:ascii="Arial" w:hAnsi="Arial" w:cs="Arial"/>
        </w:rPr>
        <w:t xml:space="preserve">We continue to be comfortable with medium term dividend cover in the range of 2.0 to 2.5 </w:t>
      </w:r>
      <w:proofErr w:type="gramStart"/>
      <w:r w:rsidRPr="00E4534B">
        <w:rPr>
          <w:rFonts w:ascii="Arial" w:hAnsi="Arial" w:cs="Arial"/>
        </w:rPr>
        <w:t>times</w:t>
      </w:r>
      <w:r w:rsidR="001373C4" w:rsidRPr="0035009E">
        <w:rPr>
          <w:rFonts w:ascii="Arial" w:hAnsi="Arial" w:cs="Arial"/>
          <w:vertAlign w:val="superscript"/>
        </w:rPr>
        <w:t>(</w:t>
      </w:r>
      <w:proofErr w:type="gramEnd"/>
      <w:r w:rsidR="001373C4" w:rsidRPr="0035009E">
        <w:rPr>
          <w:rFonts w:ascii="Arial" w:hAnsi="Arial" w:cs="Arial"/>
          <w:vertAlign w:val="superscript"/>
        </w:rPr>
        <w:t>1)</w:t>
      </w:r>
      <w:r w:rsidRPr="00E4534B">
        <w:rPr>
          <w:rFonts w:ascii="Arial" w:hAnsi="Arial" w:cs="Arial"/>
        </w:rPr>
        <w:t xml:space="preserve"> based on adjusted basic earnings per share, a level the Board believes is consistent with the capital needs of the business.</w:t>
      </w:r>
      <w:r w:rsidR="00853643">
        <w:rPr>
          <w:rFonts w:ascii="Arial" w:hAnsi="Arial" w:cs="Arial"/>
        </w:rPr>
        <w:t xml:space="preserve"> </w:t>
      </w:r>
    </w:p>
    <w:p w14:paraId="3E01B774" w14:textId="77777777" w:rsidR="00671789" w:rsidRDefault="00671789" w:rsidP="00671789">
      <w:pPr>
        <w:jc w:val="left"/>
        <w:rPr>
          <w:rFonts w:ascii="Arial" w:hAnsi="Arial" w:cs="Arial"/>
        </w:rPr>
      </w:pPr>
    </w:p>
    <w:p w14:paraId="62E7A0A6" w14:textId="1AEC33CA" w:rsidR="00671789" w:rsidRPr="00C2187E" w:rsidRDefault="00671789" w:rsidP="00671789">
      <w:pPr>
        <w:jc w:val="left"/>
        <w:rPr>
          <w:rFonts w:ascii="Arial" w:hAnsi="Arial" w:cs="Arial"/>
        </w:rPr>
      </w:pPr>
      <w:bookmarkStart w:id="42" w:name="_Hlk781962"/>
      <w:r w:rsidRPr="00203EFD">
        <w:rPr>
          <w:rFonts w:ascii="Arial" w:hAnsi="Arial" w:cs="Arial"/>
        </w:rPr>
        <w:t xml:space="preserve">The final dividend will be paid on </w:t>
      </w:r>
      <w:r w:rsidRPr="00C2187E">
        <w:rPr>
          <w:rFonts w:ascii="Arial" w:hAnsi="Arial" w:cs="Arial"/>
        </w:rPr>
        <w:t>15 July 201</w:t>
      </w:r>
      <w:r w:rsidRPr="00203EFD">
        <w:rPr>
          <w:rFonts w:ascii="Arial" w:hAnsi="Arial" w:cs="Arial"/>
        </w:rPr>
        <w:t xml:space="preserve">9 to shareholders on the register at close of business on </w:t>
      </w:r>
      <w:r w:rsidRPr="00C2187E">
        <w:rPr>
          <w:rFonts w:ascii="Arial" w:hAnsi="Arial" w:cs="Arial"/>
        </w:rPr>
        <w:t>7</w:t>
      </w:r>
      <w:r w:rsidR="00F12F4E">
        <w:rPr>
          <w:rFonts w:ascii="Arial" w:hAnsi="Arial" w:cs="Arial"/>
        </w:rPr>
        <w:t xml:space="preserve"> </w:t>
      </w:r>
      <w:r w:rsidRPr="00C2187E">
        <w:rPr>
          <w:rFonts w:ascii="Arial" w:hAnsi="Arial" w:cs="Arial"/>
        </w:rPr>
        <w:t>June 2019</w:t>
      </w:r>
      <w:r w:rsidRPr="00203EFD">
        <w:rPr>
          <w:rFonts w:ascii="Arial" w:hAnsi="Arial" w:cs="Arial"/>
        </w:rPr>
        <w:t xml:space="preserve">. A dividend reinvestment plan (DRIP) is available to shareholders who would prefer to invest their dividends in the shares of the Company. The shares will go ex-dividend on </w:t>
      </w:r>
      <w:r w:rsidRPr="00C2187E">
        <w:rPr>
          <w:rFonts w:ascii="Arial" w:hAnsi="Arial" w:cs="Arial"/>
        </w:rPr>
        <w:t>6 June 201</w:t>
      </w:r>
      <w:r w:rsidRPr="00203EFD">
        <w:rPr>
          <w:rFonts w:ascii="Arial" w:hAnsi="Arial" w:cs="Arial"/>
        </w:rPr>
        <w:t xml:space="preserve">9. For those shareholders electing to receive the DRIP the last date for receipt of election is </w:t>
      </w:r>
      <w:r w:rsidRPr="00C2187E">
        <w:rPr>
          <w:rFonts w:ascii="Arial" w:hAnsi="Arial" w:cs="Arial"/>
        </w:rPr>
        <w:t>24 June 2019</w:t>
      </w:r>
      <w:r w:rsidRPr="00203EFD">
        <w:rPr>
          <w:rFonts w:ascii="Arial" w:hAnsi="Arial" w:cs="Arial"/>
        </w:rPr>
        <w:t xml:space="preserve">. </w:t>
      </w:r>
    </w:p>
    <w:bookmarkEnd w:id="42"/>
    <w:p w14:paraId="6B0AF364" w14:textId="77777777" w:rsidR="00671789" w:rsidRPr="00C2187E" w:rsidRDefault="00671789" w:rsidP="00671789">
      <w:pPr>
        <w:jc w:val="left"/>
        <w:rPr>
          <w:rFonts w:ascii="Arial" w:hAnsi="Arial" w:cs="Arial"/>
        </w:rPr>
      </w:pPr>
    </w:p>
    <w:p w14:paraId="1E284388" w14:textId="77777777" w:rsidR="00671789" w:rsidRPr="00A845B7" w:rsidRDefault="00671789" w:rsidP="00671789">
      <w:pPr>
        <w:jc w:val="left"/>
        <w:rPr>
          <w:rFonts w:ascii="Arial" w:hAnsi="Arial" w:cs="Arial"/>
        </w:rPr>
      </w:pPr>
      <w:r>
        <w:rPr>
          <w:rFonts w:ascii="Arial" w:hAnsi="Arial" w:cs="Arial"/>
        </w:rPr>
        <w:t>In</w:t>
      </w:r>
      <w:r w:rsidRPr="00686C6E">
        <w:rPr>
          <w:rFonts w:ascii="Arial" w:hAnsi="Arial" w:cs="Arial"/>
        </w:rPr>
        <w:t xml:space="preserve"> January 2016 Kingfisher announced its intention to return around a further £600 million of surplus capital to shareholders </w:t>
      </w:r>
      <w:r>
        <w:rPr>
          <w:rFonts w:ascii="Arial" w:hAnsi="Arial" w:cs="Arial"/>
        </w:rPr>
        <w:t xml:space="preserve">in </w:t>
      </w:r>
      <w:r w:rsidRPr="00686C6E">
        <w:rPr>
          <w:rFonts w:ascii="Arial" w:hAnsi="Arial" w:cs="Arial"/>
        </w:rPr>
        <w:t>the following t</w:t>
      </w:r>
      <w:r>
        <w:rPr>
          <w:rFonts w:ascii="Arial" w:hAnsi="Arial" w:cs="Arial"/>
        </w:rPr>
        <w:t>hree financial</w:t>
      </w:r>
      <w:r w:rsidRPr="00686C6E">
        <w:rPr>
          <w:rFonts w:ascii="Arial" w:hAnsi="Arial" w:cs="Arial"/>
        </w:rPr>
        <w:t xml:space="preserve"> years. </w:t>
      </w:r>
      <w:r w:rsidRPr="00641A20">
        <w:rPr>
          <w:rFonts w:ascii="Arial" w:hAnsi="Arial" w:cs="Arial"/>
        </w:rPr>
        <w:t>During 2018/19 £</w:t>
      </w:r>
      <w:r>
        <w:rPr>
          <w:rFonts w:ascii="Arial" w:hAnsi="Arial" w:cs="Arial"/>
        </w:rPr>
        <w:t>140</w:t>
      </w:r>
      <w:r w:rsidRPr="00641A20">
        <w:rPr>
          <w:rFonts w:ascii="Arial" w:hAnsi="Arial" w:cs="Arial"/>
        </w:rPr>
        <w:t xml:space="preserve"> million of shares</w:t>
      </w:r>
      <w:r>
        <w:rPr>
          <w:rFonts w:ascii="Arial" w:hAnsi="Arial" w:cs="Arial"/>
        </w:rPr>
        <w:t xml:space="preserve"> </w:t>
      </w:r>
      <w:r w:rsidRPr="00641A20">
        <w:rPr>
          <w:rFonts w:ascii="Arial" w:hAnsi="Arial" w:cs="Arial"/>
        </w:rPr>
        <w:t>(</w:t>
      </w:r>
      <w:r>
        <w:rPr>
          <w:rFonts w:ascii="Arial" w:hAnsi="Arial" w:cs="Arial"/>
        </w:rPr>
        <w:t>51</w:t>
      </w:r>
      <w:r w:rsidRPr="00641A20">
        <w:rPr>
          <w:rFonts w:ascii="Arial" w:hAnsi="Arial" w:cs="Arial"/>
        </w:rPr>
        <w:t xml:space="preserve"> million shares) were repurchased via share buyback. Cumulatively therefore, £</w:t>
      </w:r>
      <w:r>
        <w:rPr>
          <w:rFonts w:ascii="Arial" w:hAnsi="Arial" w:cs="Arial"/>
        </w:rPr>
        <w:t>60</w:t>
      </w:r>
      <w:r w:rsidRPr="00641A20">
        <w:rPr>
          <w:rFonts w:ascii="Arial" w:hAnsi="Arial" w:cs="Arial"/>
        </w:rPr>
        <w:t>0 million of</w:t>
      </w:r>
      <w:r>
        <w:rPr>
          <w:rFonts w:ascii="Arial" w:hAnsi="Arial" w:cs="Arial"/>
        </w:rPr>
        <w:t xml:space="preserve"> </w:t>
      </w:r>
      <w:r w:rsidRPr="00641A20">
        <w:rPr>
          <w:rFonts w:ascii="Arial" w:hAnsi="Arial" w:cs="Arial"/>
        </w:rPr>
        <w:t>shares (</w:t>
      </w:r>
      <w:r>
        <w:rPr>
          <w:rFonts w:ascii="Arial" w:hAnsi="Arial" w:cs="Arial"/>
        </w:rPr>
        <w:t>191</w:t>
      </w:r>
      <w:r w:rsidRPr="00641A20">
        <w:rPr>
          <w:rFonts w:ascii="Arial" w:hAnsi="Arial" w:cs="Arial"/>
        </w:rPr>
        <w:t xml:space="preserve"> million shares) have now been repurchased. </w:t>
      </w:r>
    </w:p>
    <w:bookmarkEnd w:id="41"/>
    <w:p w14:paraId="0F3038B9" w14:textId="6A7FEE7C" w:rsidR="00997637" w:rsidRDefault="00997637" w:rsidP="00997637">
      <w:pPr>
        <w:ind w:right="-368"/>
        <w:jc w:val="left"/>
        <w:rPr>
          <w:rFonts w:ascii="Arial" w:hAnsi="Arial" w:cs="Arial"/>
          <w:b/>
        </w:rPr>
      </w:pPr>
    </w:p>
    <w:p w14:paraId="59D67CAB" w14:textId="581D1821" w:rsidR="001373C4" w:rsidRPr="00C2187E" w:rsidRDefault="001373C4" w:rsidP="001373C4">
      <w:pPr>
        <w:rPr>
          <w:rFonts w:ascii="Arial" w:hAnsi="Arial" w:cs="Arial"/>
          <w:bCs/>
          <w:sz w:val="18"/>
        </w:rPr>
      </w:pPr>
      <w:r w:rsidRPr="00C2187E">
        <w:rPr>
          <w:rFonts w:ascii="Arial" w:hAnsi="Arial" w:cs="Arial"/>
          <w:bCs/>
          <w:sz w:val="18"/>
          <w:vertAlign w:val="superscript"/>
        </w:rPr>
        <w:t>(</w:t>
      </w:r>
      <w:r>
        <w:rPr>
          <w:rFonts w:ascii="Arial" w:hAnsi="Arial" w:cs="Arial"/>
          <w:bCs/>
          <w:sz w:val="18"/>
          <w:vertAlign w:val="superscript"/>
        </w:rPr>
        <w:t>1</w:t>
      </w:r>
      <w:r w:rsidRPr="00C2187E">
        <w:rPr>
          <w:rFonts w:ascii="Arial" w:hAnsi="Arial" w:cs="Arial"/>
          <w:bCs/>
          <w:sz w:val="18"/>
          <w:vertAlign w:val="superscript"/>
        </w:rPr>
        <w:t>)</w:t>
      </w:r>
      <w:r w:rsidRPr="00C2187E">
        <w:rPr>
          <w:rFonts w:ascii="Arial" w:hAnsi="Arial" w:cs="Arial"/>
          <w:bCs/>
          <w:sz w:val="18"/>
        </w:rPr>
        <w:t xml:space="preserve"> </w:t>
      </w:r>
      <w:r>
        <w:rPr>
          <w:rFonts w:ascii="Arial" w:hAnsi="Arial" w:cs="Arial"/>
          <w:bCs/>
          <w:sz w:val="18"/>
        </w:rPr>
        <w:t xml:space="preserve">Medium term dividend cover range </w:t>
      </w:r>
      <w:r w:rsidRPr="00C2187E">
        <w:rPr>
          <w:rFonts w:ascii="Arial" w:hAnsi="Arial" w:cs="Arial"/>
          <w:bCs/>
          <w:sz w:val="18"/>
        </w:rPr>
        <w:t>before the impact of the new lease accounting rules per IFRS 16</w:t>
      </w:r>
    </w:p>
    <w:p w14:paraId="30722B77" w14:textId="77777777" w:rsidR="001373C4" w:rsidRPr="00D7124C" w:rsidRDefault="001373C4" w:rsidP="00997637">
      <w:pPr>
        <w:ind w:right="-368"/>
        <w:jc w:val="left"/>
        <w:rPr>
          <w:rFonts w:ascii="Arial" w:hAnsi="Arial" w:cs="Arial"/>
          <w:b/>
        </w:rPr>
      </w:pPr>
    </w:p>
    <w:p w14:paraId="75B54E65" w14:textId="75B1B7CA" w:rsidR="00997637" w:rsidRPr="00A845B7" w:rsidRDefault="00997637" w:rsidP="00997637">
      <w:pPr>
        <w:tabs>
          <w:tab w:val="right" w:pos="9356"/>
        </w:tabs>
        <w:jc w:val="left"/>
        <w:rPr>
          <w:rFonts w:ascii="Arial" w:hAnsi="Arial" w:cs="Arial"/>
          <w:b/>
        </w:rPr>
      </w:pPr>
      <w:bookmarkStart w:id="43" w:name="_Hlk508959406"/>
      <w:r w:rsidRPr="00A845B7">
        <w:rPr>
          <w:rFonts w:ascii="Arial" w:hAnsi="Arial" w:cs="Arial"/>
          <w:b/>
        </w:rPr>
        <w:t>Lease adjusted return on capital employed (ROCE)</w:t>
      </w:r>
      <w:r w:rsidRPr="00A845B7">
        <w:rPr>
          <w:rFonts w:ascii="Arial" w:hAnsi="Arial" w:cs="Arial"/>
          <w:b/>
        </w:rPr>
        <w:tab/>
      </w:r>
    </w:p>
    <w:p w14:paraId="478D81BC" w14:textId="77777777" w:rsidR="00997637" w:rsidRDefault="00997637" w:rsidP="00997637">
      <w:pPr>
        <w:tabs>
          <w:tab w:val="left" w:pos="3823"/>
        </w:tabs>
        <w:jc w:val="left"/>
        <w:rPr>
          <w:rFonts w:ascii="Arial" w:hAnsi="Arial" w:cs="Arial"/>
          <w:b/>
          <w:sz w:val="24"/>
          <w:szCs w:val="24"/>
          <w:highlight w:val="yellow"/>
        </w:rPr>
      </w:pPr>
    </w:p>
    <w:p w14:paraId="1AB6EBAE" w14:textId="1D364A03" w:rsidR="00997637" w:rsidRPr="00A90810" w:rsidRDefault="0071504B" w:rsidP="00997637">
      <w:pPr>
        <w:jc w:val="left"/>
        <w:rPr>
          <w:rFonts w:ascii="Arial" w:hAnsi="Arial" w:cs="Arial"/>
        </w:rPr>
      </w:pPr>
      <w:r w:rsidRPr="00F74486">
        <w:rPr>
          <w:rFonts w:ascii="Arial" w:hAnsi="Arial" w:cs="Arial"/>
        </w:rPr>
        <w:t xml:space="preserve">Our key returns metric, leased adjusted ROCE </w:t>
      </w:r>
      <w:r w:rsidR="00E4534B" w:rsidRPr="00F74486">
        <w:rPr>
          <w:rFonts w:ascii="Arial" w:hAnsi="Arial" w:cs="Arial"/>
        </w:rPr>
        <w:t xml:space="preserve">declined </w:t>
      </w:r>
      <w:r w:rsidRPr="00F74486">
        <w:rPr>
          <w:rFonts w:ascii="Arial" w:hAnsi="Arial" w:cs="Arial"/>
        </w:rPr>
        <w:t xml:space="preserve">by </w:t>
      </w:r>
      <w:r w:rsidR="00AA29FF">
        <w:rPr>
          <w:rFonts w:ascii="Arial" w:hAnsi="Arial" w:cs="Arial"/>
        </w:rPr>
        <w:t>7</w:t>
      </w:r>
      <w:r w:rsidR="00203EFD">
        <w:rPr>
          <w:rFonts w:ascii="Arial" w:hAnsi="Arial" w:cs="Arial"/>
        </w:rPr>
        <w:t>0</w:t>
      </w:r>
      <w:r w:rsidR="00203EFD" w:rsidRPr="00F74486">
        <w:rPr>
          <w:rFonts w:ascii="Arial" w:hAnsi="Arial" w:cs="Arial"/>
        </w:rPr>
        <w:t xml:space="preserve"> </w:t>
      </w:r>
      <w:r w:rsidRPr="00F74486">
        <w:rPr>
          <w:rFonts w:ascii="Arial" w:hAnsi="Arial" w:cs="Arial"/>
        </w:rPr>
        <w:t xml:space="preserve">basis points from </w:t>
      </w:r>
      <w:r w:rsidR="00CE5A7A" w:rsidRPr="00C2187E">
        <w:rPr>
          <w:rFonts w:ascii="Arial" w:hAnsi="Arial" w:cs="Arial"/>
        </w:rPr>
        <w:t>10.</w:t>
      </w:r>
      <w:r w:rsidR="00CE5A7A" w:rsidRPr="0036421E">
        <w:rPr>
          <w:rFonts w:ascii="Arial" w:hAnsi="Arial" w:cs="Arial"/>
        </w:rPr>
        <w:t>4</w:t>
      </w:r>
      <w:r w:rsidRPr="00F74486">
        <w:rPr>
          <w:rFonts w:ascii="Arial" w:hAnsi="Arial" w:cs="Arial"/>
        </w:rPr>
        <w:t xml:space="preserve">% to </w:t>
      </w:r>
      <w:r w:rsidR="00203EFD">
        <w:rPr>
          <w:rFonts w:ascii="Arial" w:hAnsi="Arial" w:cs="Arial"/>
        </w:rPr>
        <w:t>9.</w:t>
      </w:r>
      <w:r w:rsidR="00AA29FF">
        <w:rPr>
          <w:rFonts w:ascii="Arial" w:hAnsi="Arial" w:cs="Arial"/>
        </w:rPr>
        <w:t>7</w:t>
      </w:r>
      <w:r w:rsidRPr="00E46E76">
        <w:rPr>
          <w:rFonts w:ascii="Arial" w:hAnsi="Arial" w:cs="Arial"/>
        </w:rPr>
        <w:t>%</w:t>
      </w:r>
      <w:r w:rsidRPr="00F74486">
        <w:rPr>
          <w:rFonts w:ascii="Arial" w:hAnsi="Arial" w:cs="Arial"/>
        </w:rPr>
        <w:t xml:space="preserve"> this year, reflecting our profit performance</w:t>
      </w:r>
      <w:r w:rsidR="00026E0C">
        <w:rPr>
          <w:rFonts w:ascii="Arial" w:hAnsi="Arial" w:cs="Arial"/>
        </w:rPr>
        <w:t xml:space="preserve"> including</w:t>
      </w:r>
      <w:r w:rsidR="00A90810">
        <w:rPr>
          <w:rFonts w:ascii="Arial" w:hAnsi="Arial" w:cs="Arial"/>
        </w:rPr>
        <w:t xml:space="preserve"> the </w:t>
      </w:r>
      <w:r w:rsidR="00E4534B" w:rsidRPr="00F74486">
        <w:rPr>
          <w:rFonts w:ascii="Arial" w:hAnsi="Arial" w:cs="Arial"/>
        </w:rPr>
        <w:t>increase in</w:t>
      </w:r>
      <w:r w:rsidRPr="00F74486">
        <w:rPr>
          <w:rFonts w:ascii="Arial" w:hAnsi="Arial" w:cs="Arial"/>
        </w:rPr>
        <w:t xml:space="preserve"> </w:t>
      </w:r>
      <w:r w:rsidR="0036421E">
        <w:rPr>
          <w:rFonts w:ascii="Arial" w:hAnsi="Arial" w:cs="Arial"/>
        </w:rPr>
        <w:t xml:space="preserve">P&amp;L </w:t>
      </w:r>
      <w:r w:rsidRPr="00F74486">
        <w:rPr>
          <w:rFonts w:ascii="Arial" w:hAnsi="Arial" w:cs="Arial"/>
        </w:rPr>
        <w:t>transformation costs</w:t>
      </w:r>
      <w:r w:rsidR="00026E0C">
        <w:rPr>
          <w:rFonts w:ascii="Arial" w:hAnsi="Arial" w:cs="Arial"/>
        </w:rPr>
        <w:t>.</w:t>
      </w:r>
      <w:r w:rsidR="00026E0C" w:rsidRPr="00F74486">
        <w:rPr>
          <w:rFonts w:ascii="Arial" w:hAnsi="Arial" w:cs="Arial"/>
        </w:rPr>
        <w:t xml:space="preserve"> </w:t>
      </w:r>
      <w:r w:rsidR="00997637" w:rsidRPr="00F74486">
        <w:rPr>
          <w:rFonts w:ascii="Arial" w:hAnsi="Arial" w:cs="Arial"/>
        </w:rPr>
        <w:t>ROCE by geographic division is analysed below:</w:t>
      </w:r>
      <w:r w:rsidR="00997637" w:rsidRPr="00A90810">
        <w:rPr>
          <w:rFonts w:ascii="Arial" w:hAnsi="Arial" w:cs="Arial"/>
        </w:rPr>
        <w:t xml:space="preserve"> </w:t>
      </w:r>
    </w:p>
    <w:p w14:paraId="767C38A4" w14:textId="77777777" w:rsidR="00997637" w:rsidRPr="00F74486" w:rsidRDefault="00997637" w:rsidP="00997637">
      <w:pPr>
        <w:jc w:val="left"/>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80"/>
        <w:gridCol w:w="912"/>
        <w:gridCol w:w="1362"/>
        <w:gridCol w:w="1523"/>
        <w:gridCol w:w="1366"/>
        <w:gridCol w:w="1212"/>
        <w:gridCol w:w="1212"/>
      </w:tblGrid>
      <w:tr w:rsidR="00C8535E" w:rsidRPr="00CF2935" w14:paraId="4CCA51A0" w14:textId="77777777" w:rsidTr="006F78D1">
        <w:trPr>
          <w:trHeight w:val="555"/>
        </w:trPr>
        <w:tc>
          <w:tcPr>
            <w:tcW w:w="1156" w:type="pct"/>
            <w:tcBorders>
              <w:bottom w:val="single" w:sz="4" w:space="0" w:color="auto"/>
            </w:tcBorders>
            <w:vAlign w:val="bottom"/>
          </w:tcPr>
          <w:p w14:paraId="1695E1E5" w14:textId="77777777" w:rsidR="00997637" w:rsidRPr="00862B1B" w:rsidRDefault="00997637" w:rsidP="00F24C8A">
            <w:pPr>
              <w:jc w:val="left"/>
              <w:rPr>
                <w:rFonts w:ascii="Arial" w:hAnsi="Arial" w:cs="Arial"/>
                <w:sz w:val="22"/>
                <w:szCs w:val="22"/>
              </w:rPr>
            </w:pPr>
          </w:p>
          <w:p w14:paraId="0F07BA7A" w14:textId="77777777" w:rsidR="00997637" w:rsidRPr="00862B1B" w:rsidRDefault="00997637" w:rsidP="00F24C8A">
            <w:pPr>
              <w:jc w:val="left"/>
              <w:rPr>
                <w:rFonts w:ascii="Arial" w:hAnsi="Arial" w:cs="Arial"/>
                <w:sz w:val="22"/>
                <w:szCs w:val="22"/>
              </w:rPr>
            </w:pPr>
          </w:p>
        </w:tc>
        <w:tc>
          <w:tcPr>
            <w:tcW w:w="462" w:type="pct"/>
            <w:tcBorders>
              <w:bottom w:val="single" w:sz="4" w:space="0" w:color="auto"/>
            </w:tcBorders>
            <w:vAlign w:val="bottom"/>
          </w:tcPr>
          <w:p w14:paraId="36899B36" w14:textId="77777777" w:rsidR="00997637" w:rsidRPr="00862B1B" w:rsidRDefault="00997637" w:rsidP="00F24C8A">
            <w:pPr>
              <w:jc w:val="right"/>
              <w:rPr>
                <w:rFonts w:ascii="Arial" w:hAnsi="Arial" w:cs="Arial"/>
                <w:sz w:val="22"/>
                <w:szCs w:val="22"/>
              </w:rPr>
            </w:pPr>
          </w:p>
          <w:p w14:paraId="581425A1" w14:textId="77777777" w:rsidR="00997637" w:rsidRPr="00862B1B" w:rsidRDefault="00997637" w:rsidP="00F24C8A">
            <w:pPr>
              <w:jc w:val="right"/>
              <w:rPr>
                <w:rFonts w:ascii="Arial" w:hAnsi="Arial" w:cs="Arial"/>
                <w:sz w:val="22"/>
                <w:szCs w:val="22"/>
              </w:rPr>
            </w:pPr>
            <w:r w:rsidRPr="00862B1B">
              <w:rPr>
                <w:rFonts w:ascii="Arial" w:hAnsi="Arial" w:cs="Arial"/>
              </w:rPr>
              <w:t>Sales £bn</w:t>
            </w:r>
          </w:p>
        </w:tc>
        <w:tc>
          <w:tcPr>
            <w:tcW w:w="690" w:type="pct"/>
            <w:tcBorders>
              <w:bottom w:val="single" w:sz="4" w:space="0" w:color="auto"/>
            </w:tcBorders>
            <w:vAlign w:val="bottom"/>
          </w:tcPr>
          <w:p w14:paraId="17F4887A" w14:textId="77777777" w:rsidR="00997637" w:rsidRPr="00862B1B" w:rsidRDefault="00997637" w:rsidP="00F24C8A">
            <w:pPr>
              <w:jc w:val="right"/>
              <w:rPr>
                <w:rFonts w:ascii="Arial" w:hAnsi="Arial" w:cs="Arial"/>
                <w:sz w:val="22"/>
                <w:szCs w:val="22"/>
              </w:rPr>
            </w:pPr>
            <w:r w:rsidRPr="00862B1B">
              <w:rPr>
                <w:rFonts w:ascii="Arial" w:hAnsi="Arial" w:cs="Arial"/>
              </w:rPr>
              <w:t xml:space="preserve">Proportion of Group sales </w:t>
            </w:r>
          </w:p>
        </w:tc>
        <w:tc>
          <w:tcPr>
            <w:tcW w:w="772" w:type="pct"/>
            <w:tcBorders>
              <w:bottom w:val="single" w:sz="4" w:space="0" w:color="auto"/>
            </w:tcBorders>
            <w:vAlign w:val="bottom"/>
          </w:tcPr>
          <w:p w14:paraId="1B2474E2" w14:textId="77777777" w:rsidR="00997637" w:rsidRPr="00862B1B" w:rsidRDefault="00997637" w:rsidP="00F24C8A">
            <w:pPr>
              <w:ind w:left="-12"/>
              <w:jc w:val="right"/>
              <w:rPr>
                <w:rFonts w:ascii="Arial" w:hAnsi="Arial" w:cs="Arial"/>
                <w:sz w:val="22"/>
                <w:szCs w:val="22"/>
              </w:rPr>
            </w:pPr>
            <w:r w:rsidRPr="00862B1B">
              <w:rPr>
                <w:rFonts w:ascii="Arial" w:hAnsi="Arial" w:cs="Arial"/>
              </w:rPr>
              <w:t>Capital Employed (CE) £bn</w:t>
            </w:r>
          </w:p>
        </w:tc>
        <w:tc>
          <w:tcPr>
            <w:tcW w:w="692" w:type="pct"/>
            <w:tcBorders>
              <w:bottom w:val="single" w:sz="4" w:space="0" w:color="auto"/>
            </w:tcBorders>
            <w:vAlign w:val="bottom"/>
          </w:tcPr>
          <w:p w14:paraId="60A4BD4B" w14:textId="77777777" w:rsidR="00997637" w:rsidRPr="00862B1B" w:rsidRDefault="00997637" w:rsidP="00F24C8A">
            <w:pPr>
              <w:jc w:val="right"/>
              <w:rPr>
                <w:rFonts w:ascii="Arial" w:hAnsi="Arial" w:cs="Arial"/>
                <w:sz w:val="22"/>
                <w:szCs w:val="22"/>
              </w:rPr>
            </w:pPr>
            <w:r w:rsidRPr="00862B1B">
              <w:rPr>
                <w:rFonts w:ascii="Arial" w:hAnsi="Arial" w:cs="Arial"/>
              </w:rPr>
              <w:t>Proportion of Group CE %</w:t>
            </w:r>
          </w:p>
        </w:tc>
        <w:tc>
          <w:tcPr>
            <w:tcW w:w="614" w:type="pct"/>
            <w:tcBorders>
              <w:bottom w:val="single" w:sz="4" w:space="0" w:color="auto"/>
            </w:tcBorders>
            <w:vAlign w:val="bottom"/>
          </w:tcPr>
          <w:p w14:paraId="2AFED31E" w14:textId="77777777" w:rsidR="00997637" w:rsidRPr="00862B1B" w:rsidRDefault="00997637" w:rsidP="00F24C8A">
            <w:pPr>
              <w:jc w:val="right"/>
              <w:rPr>
                <w:rFonts w:ascii="Arial" w:hAnsi="Arial" w:cs="Arial"/>
                <w:b/>
                <w:sz w:val="22"/>
                <w:szCs w:val="22"/>
              </w:rPr>
            </w:pPr>
          </w:p>
          <w:p w14:paraId="0CF5FCD2" w14:textId="77777777" w:rsidR="00997637" w:rsidRPr="00862B1B" w:rsidRDefault="00997637" w:rsidP="00F24C8A">
            <w:pPr>
              <w:jc w:val="right"/>
              <w:rPr>
                <w:rFonts w:ascii="Arial" w:hAnsi="Arial" w:cs="Arial"/>
                <w:b/>
                <w:sz w:val="22"/>
                <w:szCs w:val="22"/>
              </w:rPr>
            </w:pPr>
            <w:r w:rsidRPr="00862B1B">
              <w:rPr>
                <w:rFonts w:ascii="Arial" w:hAnsi="Arial" w:cs="Arial"/>
                <w:b/>
              </w:rPr>
              <w:t>ROCE</w:t>
            </w:r>
          </w:p>
          <w:p w14:paraId="53F0AC60" w14:textId="7D218F5F" w:rsidR="00997637" w:rsidRPr="00862B1B" w:rsidRDefault="00997637" w:rsidP="00F24C8A">
            <w:pPr>
              <w:jc w:val="right"/>
              <w:rPr>
                <w:rFonts w:ascii="Arial" w:hAnsi="Arial" w:cs="Arial"/>
                <w:b/>
                <w:sz w:val="22"/>
                <w:szCs w:val="22"/>
              </w:rPr>
            </w:pPr>
            <w:r w:rsidRPr="00862B1B">
              <w:rPr>
                <w:rFonts w:ascii="Arial" w:hAnsi="Arial" w:cs="Arial"/>
                <w:b/>
              </w:rPr>
              <w:t>201</w:t>
            </w:r>
            <w:r w:rsidR="00C4647B" w:rsidRPr="00862B1B">
              <w:rPr>
                <w:rFonts w:ascii="Arial" w:hAnsi="Arial" w:cs="Arial"/>
                <w:b/>
              </w:rPr>
              <w:t>8</w:t>
            </w:r>
            <w:r w:rsidRPr="00862B1B">
              <w:rPr>
                <w:rFonts w:ascii="Arial" w:hAnsi="Arial" w:cs="Arial"/>
                <w:b/>
              </w:rPr>
              <w:t>/1</w:t>
            </w:r>
            <w:r w:rsidR="00C4647B" w:rsidRPr="00862B1B">
              <w:rPr>
                <w:rFonts w:ascii="Arial" w:hAnsi="Arial" w:cs="Arial"/>
                <w:b/>
              </w:rPr>
              <w:t>9</w:t>
            </w:r>
          </w:p>
        </w:tc>
        <w:tc>
          <w:tcPr>
            <w:tcW w:w="614" w:type="pct"/>
            <w:tcBorders>
              <w:bottom w:val="single" w:sz="4" w:space="0" w:color="auto"/>
            </w:tcBorders>
            <w:vAlign w:val="bottom"/>
          </w:tcPr>
          <w:p w14:paraId="5311BF88" w14:textId="77777777" w:rsidR="00997637" w:rsidRPr="00862B1B" w:rsidRDefault="00997637" w:rsidP="00F24C8A">
            <w:pPr>
              <w:jc w:val="right"/>
              <w:rPr>
                <w:rFonts w:ascii="Arial" w:hAnsi="Arial" w:cs="Arial"/>
                <w:sz w:val="22"/>
                <w:szCs w:val="22"/>
              </w:rPr>
            </w:pPr>
          </w:p>
          <w:p w14:paraId="6AEDAA62" w14:textId="77777777" w:rsidR="00997637" w:rsidRPr="00862B1B" w:rsidRDefault="00997637" w:rsidP="00F24C8A">
            <w:pPr>
              <w:jc w:val="right"/>
              <w:rPr>
                <w:rFonts w:ascii="Arial" w:hAnsi="Arial" w:cs="Arial"/>
                <w:sz w:val="22"/>
                <w:szCs w:val="22"/>
              </w:rPr>
            </w:pPr>
            <w:r w:rsidRPr="00862B1B">
              <w:rPr>
                <w:rFonts w:ascii="Arial" w:hAnsi="Arial" w:cs="Arial"/>
              </w:rPr>
              <w:t>ROCE</w:t>
            </w:r>
          </w:p>
          <w:p w14:paraId="3AAE539C" w14:textId="362C0DDE" w:rsidR="00997637" w:rsidRPr="00862B1B" w:rsidRDefault="00997637" w:rsidP="00F24C8A">
            <w:pPr>
              <w:jc w:val="right"/>
              <w:rPr>
                <w:rFonts w:ascii="Arial" w:hAnsi="Arial" w:cs="Arial"/>
                <w:sz w:val="22"/>
                <w:szCs w:val="22"/>
              </w:rPr>
            </w:pPr>
            <w:r w:rsidRPr="00862B1B">
              <w:rPr>
                <w:rFonts w:ascii="Arial" w:hAnsi="Arial" w:cs="Arial"/>
              </w:rPr>
              <w:t>201</w:t>
            </w:r>
            <w:r w:rsidR="00C4647B" w:rsidRPr="00862B1B">
              <w:rPr>
                <w:rFonts w:ascii="Arial" w:hAnsi="Arial" w:cs="Arial"/>
              </w:rPr>
              <w:t>7</w:t>
            </w:r>
            <w:r w:rsidRPr="00862B1B">
              <w:rPr>
                <w:rFonts w:ascii="Arial" w:hAnsi="Arial" w:cs="Arial"/>
              </w:rPr>
              <w:t>/1</w:t>
            </w:r>
            <w:r w:rsidR="00C4647B" w:rsidRPr="00862B1B">
              <w:rPr>
                <w:rFonts w:ascii="Arial" w:hAnsi="Arial" w:cs="Arial"/>
              </w:rPr>
              <w:t>8</w:t>
            </w:r>
          </w:p>
        </w:tc>
      </w:tr>
      <w:tr w:rsidR="00C4647B" w:rsidRPr="00CF2935" w14:paraId="6EC22673" w14:textId="77777777" w:rsidTr="006F78D1">
        <w:tc>
          <w:tcPr>
            <w:tcW w:w="1156" w:type="pct"/>
          </w:tcPr>
          <w:p w14:paraId="08AA4BAF" w14:textId="77777777" w:rsidR="00C4647B" w:rsidRPr="00862B1B" w:rsidRDefault="00C4647B" w:rsidP="00C4647B">
            <w:pPr>
              <w:jc w:val="left"/>
              <w:rPr>
                <w:rFonts w:ascii="Arial" w:hAnsi="Arial" w:cs="Arial"/>
                <w:sz w:val="22"/>
                <w:szCs w:val="22"/>
              </w:rPr>
            </w:pPr>
            <w:r w:rsidRPr="00862B1B">
              <w:rPr>
                <w:rFonts w:ascii="Arial" w:hAnsi="Arial" w:cs="Arial"/>
              </w:rPr>
              <w:t>UK &amp; Ireland</w:t>
            </w:r>
          </w:p>
        </w:tc>
        <w:tc>
          <w:tcPr>
            <w:tcW w:w="462" w:type="pct"/>
            <w:shd w:val="clear" w:color="auto" w:fill="auto"/>
          </w:tcPr>
          <w:p w14:paraId="082622EA" w14:textId="32B8BB9A" w:rsidR="00C4647B" w:rsidRPr="00862B1B" w:rsidRDefault="000D2FB5" w:rsidP="00C4647B">
            <w:pPr>
              <w:jc w:val="right"/>
              <w:rPr>
                <w:rFonts w:ascii="Arial" w:hAnsi="Arial" w:cs="Arial"/>
                <w:sz w:val="22"/>
                <w:szCs w:val="22"/>
              </w:rPr>
            </w:pPr>
            <w:r w:rsidRPr="00862B1B">
              <w:rPr>
                <w:rFonts w:ascii="Arial" w:hAnsi="Arial" w:cs="Arial"/>
              </w:rPr>
              <w:t>5.1</w:t>
            </w:r>
          </w:p>
        </w:tc>
        <w:tc>
          <w:tcPr>
            <w:tcW w:w="690" w:type="pct"/>
            <w:shd w:val="clear" w:color="auto" w:fill="auto"/>
          </w:tcPr>
          <w:p w14:paraId="3A16102C" w14:textId="7401E15A" w:rsidR="00C4647B" w:rsidRPr="00862B1B" w:rsidRDefault="000D2FB5" w:rsidP="00C4647B">
            <w:pPr>
              <w:jc w:val="right"/>
              <w:rPr>
                <w:rFonts w:ascii="Arial" w:hAnsi="Arial" w:cs="Arial"/>
                <w:sz w:val="22"/>
                <w:szCs w:val="22"/>
              </w:rPr>
            </w:pPr>
            <w:r w:rsidRPr="00862B1B">
              <w:rPr>
                <w:rFonts w:ascii="Arial" w:hAnsi="Arial" w:cs="Arial"/>
              </w:rPr>
              <w:t>43.3</w:t>
            </w:r>
            <w:r w:rsidR="00C4647B" w:rsidRPr="00862B1B">
              <w:rPr>
                <w:rFonts w:ascii="Arial" w:hAnsi="Arial" w:cs="Arial"/>
              </w:rPr>
              <w:t>%</w:t>
            </w:r>
          </w:p>
        </w:tc>
        <w:tc>
          <w:tcPr>
            <w:tcW w:w="772" w:type="pct"/>
            <w:shd w:val="clear" w:color="auto" w:fill="auto"/>
          </w:tcPr>
          <w:p w14:paraId="7B77456B" w14:textId="072F34CE" w:rsidR="00C4647B" w:rsidRPr="00862B1B" w:rsidRDefault="000D2FB5" w:rsidP="00C4647B">
            <w:pPr>
              <w:jc w:val="right"/>
              <w:rPr>
                <w:rFonts w:ascii="Arial" w:hAnsi="Arial" w:cs="Arial"/>
                <w:sz w:val="22"/>
                <w:szCs w:val="22"/>
              </w:rPr>
            </w:pPr>
            <w:r w:rsidRPr="00862B1B">
              <w:rPr>
                <w:rFonts w:ascii="Arial" w:hAnsi="Arial" w:cs="Arial"/>
              </w:rPr>
              <w:t>3.8</w:t>
            </w:r>
          </w:p>
        </w:tc>
        <w:tc>
          <w:tcPr>
            <w:tcW w:w="692" w:type="pct"/>
            <w:shd w:val="clear" w:color="auto" w:fill="auto"/>
          </w:tcPr>
          <w:p w14:paraId="29AF071E" w14:textId="46C20B30" w:rsidR="00C4647B" w:rsidRPr="00862B1B" w:rsidRDefault="000D2FB5" w:rsidP="00C4647B">
            <w:pPr>
              <w:jc w:val="right"/>
              <w:rPr>
                <w:rFonts w:ascii="Arial" w:hAnsi="Arial" w:cs="Arial"/>
                <w:sz w:val="22"/>
                <w:szCs w:val="22"/>
              </w:rPr>
            </w:pPr>
            <w:r w:rsidRPr="00862B1B">
              <w:rPr>
                <w:rFonts w:ascii="Arial" w:hAnsi="Arial" w:cs="Arial"/>
              </w:rPr>
              <w:t>49.</w:t>
            </w:r>
            <w:r w:rsidR="00AA29FF" w:rsidRPr="00862B1B">
              <w:rPr>
                <w:rFonts w:ascii="Arial" w:hAnsi="Arial" w:cs="Arial"/>
              </w:rPr>
              <w:t>5</w:t>
            </w:r>
            <w:r w:rsidR="00C4647B" w:rsidRPr="00862B1B">
              <w:rPr>
                <w:rFonts w:ascii="Arial" w:hAnsi="Arial" w:cs="Arial"/>
              </w:rPr>
              <w:t>%</w:t>
            </w:r>
          </w:p>
        </w:tc>
        <w:tc>
          <w:tcPr>
            <w:tcW w:w="614" w:type="pct"/>
            <w:shd w:val="clear" w:color="auto" w:fill="auto"/>
          </w:tcPr>
          <w:p w14:paraId="3AB0DD72" w14:textId="7E813894" w:rsidR="00C4647B" w:rsidRPr="00862B1B" w:rsidRDefault="000D2FB5" w:rsidP="00C4647B">
            <w:pPr>
              <w:jc w:val="right"/>
              <w:rPr>
                <w:rFonts w:ascii="Arial" w:hAnsi="Arial" w:cs="Arial"/>
                <w:b/>
                <w:sz w:val="22"/>
                <w:szCs w:val="22"/>
              </w:rPr>
            </w:pPr>
            <w:r w:rsidRPr="00862B1B">
              <w:rPr>
                <w:rFonts w:ascii="Arial" w:hAnsi="Arial" w:cs="Arial"/>
                <w:b/>
              </w:rPr>
              <w:t>14.0</w:t>
            </w:r>
            <w:r w:rsidR="00C4647B" w:rsidRPr="00862B1B">
              <w:rPr>
                <w:rFonts w:ascii="Arial" w:hAnsi="Arial" w:cs="Arial"/>
                <w:b/>
              </w:rPr>
              <w:t>%</w:t>
            </w:r>
          </w:p>
        </w:tc>
        <w:tc>
          <w:tcPr>
            <w:tcW w:w="614" w:type="pct"/>
          </w:tcPr>
          <w:p w14:paraId="2E2C2632" w14:textId="531CBF96" w:rsidR="00C4647B" w:rsidRPr="00862B1B" w:rsidRDefault="00C4647B" w:rsidP="00C4647B">
            <w:pPr>
              <w:jc w:val="right"/>
              <w:rPr>
                <w:rFonts w:ascii="Arial" w:hAnsi="Arial" w:cs="Arial"/>
                <w:sz w:val="22"/>
                <w:szCs w:val="22"/>
              </w:rPr>
            </w:pPr>
            <w:r w:rsidRPr="00862B1B">
              <w:rPr>
                <w:rFonts w:ascii="Arial" w:hAnsi="Arial" w:cs="Arial"/>
              </w:rPr>
              <w:t>13.5%</w:t>
            </w:r>
          </w:p>
        </w:tc>
      </w:tr>
      <w:tr w:rsidR="00C4647B" w:rsidRPr="00CF2935" w14:paraId="4DBBE5D7" w14:textId="77777777" w:rsidTr="006F78D1">
        <w:tc>
          <w:tcPr>
            <w:tcW w:w="1156" w:type="pct"/>
          </w:tcPr>
          <w:p w14:paraId="294A0543" w14:textId="77777777" w:rsidR="00C4647B" w:rsidRPr="00862B1B" w:rsidRDefault="00C4647B" w:rsidP="00C4647B">
            <w:pPr>
              <w:jc w:val="left"/>
              <w:rPr>
                <w:rFonts w:ascii="Arial" w:hAnsi="Arial" w:cs="Arial"/>
                <w:sz w:val="22"/>
                <w:szCs w:val="22"/>
              </w:rPr>
            </w:pPr>
            <w:r w:rsidRPr="00862B1B">
              <w:rPr>
                <w:rFonts w:ascii="Arial" w:hAnsi="Arial" w:cs="Arial"/>
              </w:rPr>
              <w:t xml:space="preserve">France </w:t>
            </w:r>
          </w:p>
        </w:tc>
        <w:tc>
          <w:tcPr>
            <w:tcW w:w="462" w:type="pct"/>
            <w:shd w:val="clear" w:color="auto" w:fill="auto"/>
          </w:tcPr>
          <w:p w14:paraId="17B89C01" w14:textId="3E6488AA" w:rsidR="00C4647B" w:rsidRPr="00862B1B" w:rsidRDefault="000D2FB5" w:rsidP="00C4647B">
            <w:pPr>
              <w:jc w:val="right"/>
              <w:rPr>
                <w:rFonts w:ascii="Arial" w:hAnsi="Arial" w:cs="Arial"/>
                <w:sz w:val="22"/>
                <w:szCs w:val="22"/>
              </w:rPr>
            </w:pPr>
            <w:r w:rsidRPr="00862B1B">
              <w:rPr>
                <w:rFonts w:ascii="Arial" w:hAnsi="Arial" w:cs="Arial"/>
              </w:rPr>
              <w:t>4.3</w:t>
            </w:r>
          </w:p>
        </w:tc>
        <w:tc>
          <w:tcPr>
            <w:tcW w:w="690" w:type="pct"/>
            <w:shd w:val="clear" w:color="auto" w:fill="auto"/>
          </w:tcPr>
          <w:p w14:paraId="2045A2D7" w14:textId="31DBC830" w:rsidR="00C4647B" w:rsidRPr="00862B1B" w:rsidRDefault="000D2FB5" w:rsidP="00C4647B">
            <w:pPr>
              <w:jc w:val="right"/>
              <w:rPr>
                <w:rFonts w:ascii="Arial" w:hAnsi="Arial" w:cs="Arial"/>
                <w:sz w:val="22"/>
                <w:szCs w:val="22"/>
              </w:rPr>
            </w:pPr>
            <w:r w:rsidRPr="00862B1B">
              <w:rPr>
                <w:rFonts w:ascii="Arial" w:hAnsi="Arial" w:cs="Arial"/>
              </w:rPr>
              <w:t>36.6</w:t>
            </w:r>
            <w:r w:rsidR="00C4647B" w:rsidRPr="00862B1B">
              <w:rPr>
                <w:rFonts w:ascii="Arial" w:hAnsi="Arial" w:cs="Arial"/>
              </w:rPr>
              <w:t>%</w:t>
            </w:r>
          </w:p>
        </w:tc>
        <w:tc>
          <w:tcPr>
            <w:tcW w:w="772" w:type="pct"/>
            <w:shd w:val="clear" w:color="auto" w:fill="auto"/>
          </w:tcPr>
          <w:p w14:paraId="2A84C8BB" w14:textId="579B9887" w:rsidR="00C4647B" w:rsidRPr="00862B1B" w:rsidRDefault="000D2FB5" w:rsidP="00C4647B">
            <w:pPr>
              <w:jc w:val="right"/>
              <w:rPr>
                <w:rFonts w:ascii="Arial" w:hAnsi="Arial" w:cs="Arial"/>
                <w:sz w:val="22"/>
                <w:szCs w:val="22"/>
              </w:rPr>
            </w:pPr>
            <w:r w:rsidRPr="00862B1B">
              <w:rPr>
                <w:rFonts w:ascii="Arial" w:hAnsi="Arial" w:cs="Arial"/>
              </w:rPr>
              <w:t>2.2</w:t>
            </w:r>
          </w:p>
        </w:tc>
        <w:tc>
          <w:tcPr>
            <w:tcW w:w="692" w:type="pct"/>
            <w:shd w:val="clear" w:color="auto" w:fill="auto"/>
          </w:tcPr>
          <w:p w14:paraId="4315715F" w14:textId="1D340FD3" w:rsidR="00C4647B" w:rsidRPr="00862B1B" w:rsidRDefault="000D2FB5" w:rsidP="00C4647B">
            <w:pPr>
              <w:jc w:val="right"/>
              <w:rPr>
                <w:rFonts w:ascii="Arial" w:hAnsi="Arial" w:cs="Arial"/>
                <w:sz w:val="22"/>
                <w:szCs w:val="22"/>
              </w:rPr>
            </w:pPr>
            <w:r w:rsidRPr="00862B1B">
              <w:rPr>
                <w:rFonts w:ascii="Arial" w:hAnsi="Arial" w:cs="Arial"/>
              </w:rPr>
              <w:t>28.</w:t>
            </w:r>
            <w:r w:rsidR="00AA29FF" w:rsidRPr="00862B1B">
              <w:rPr>
                <w:rFonts w:ascii="Arial" w:hAnsi="Arial" w:cs="Arial"/>
              </w:rPr>
              <w:t>8</w:t>
            </w:r>
            <w:r w:rsidR="00C4647B" w:rsidRPr="00862B1B">
              <w:rPr>
                <w:rFonts w:ascii="Arial" w:hAnsi="Arial" w:cs="Arial"/>
              </w:rPr>
              <w:t>%</w:t>
            </w:r>
          </w:p>
        </w:tc>
        <w:tc>
          <w:tcPr>
            <w:tcW w:w="614" w:type="pct"/>
            <w:shd w:val="clear" w:color="auto" w:fill="auto"/>
          </w:tcPr>
          <w:p w14:paraId="28AB0F46" w14:textId="41A6E602" w:rsidR="00C4647B" w:rsidRPr="00862B1B" w:rsidDel="00E00BDF" w:rsidRDefault="000D2FB5" w:rsidP="00C4647B">
            <w:pPr>
              <w:jc w:val="right"/>
              <w:rPr>
                <w:rFonts w:ascii="Arial" w:hAnsi="Arial" w:cs="Arial"/>
                <w:b/>
                <w:sz w:val="22"/>
                <w:szCs w:val="22"/>
              </w:rPr>
            </w:pPr>
            <w:r w:rsidRPr="00862B1B">
              <w:rPr>
                <w:rFonts w:ascii="Arial" w:hAnsi="Arial" w:cs="Arial"/>
                <w:b/>
              </w:rPr>
              <w:t>8.0</w:t>
            </w:r>
            <w:r w:rsidR="00C4647B" w:rsidRPr="00862B1B">
              <w:rPr>
                <w:rFonts w:ascii="Arial" w:hAnsi="Arial" w:cs="Arial"/>
                <w:b/>
              </w:rPr>
              <w:t>%</w:t>
            </w:r>
          </w:p>
        </w:tc>
        <w:tc>
          <w:tcPr>
            <w:tcW w:w="614" w:type="pct"/>
          </w:tcPr>
          <w:p w14:paraId="4575A807" w14:textId="10EEB157" w:rsidR="00C4647B" w:rsidRPr="00862B1B" w:rsidRDefault="00C4647B" w:rsidP="00C4647B">
            <w:pPr>
              <w:jc w:val="right"/>
              <w:rPr>
                <w:rFonts w:ascii="Arial" w:hAnsi="Arial" w:cs="Arial"/>
                <w:sz w:val="22"/>
                <w:szCs w:val="22"/>
              </w:rPr>
            </w:pPr>
            <w:r w:rsidRPr="00862B1B">
              <w:rPr>
                <w:rFonts w:ascii="Arial" w:hAnsi="Arial" w:cs="Arial"/>
              </w:rPr>
              <w:t>10.1%</w:t>
            </w:r>
          </w:p>
        </w:tc>
      </w:tr>
      <w:tr w:rsidR="00C4647B" w:rsidRPr="00CF2935" w14:paraId="4712221C" w14:textId="77777777" w:rsidTr="006F78D1">
        <w:tc>
          <w:tcPr>
            <w:tcW w:w="1156" w:type="pct"/>
          </w:tcPr>
          <w:p w14:paraId="3C6D4604" w14:textId="77777777" w:rsidR="00C4647B" w:rsidRPr="00862B1B" w:rsidRDefault="00C4647B" w:rsidP="00C4647B">
            <w:pPr>
              <w:jc w:val="left"/>
              <w:rPr>
                <w:rFonts w:ascii="Arial" w:hAnsi="Arial" w:cs="Arial"/>
                <w:sz w:val="22"/>
                <w:szCs w:val="22"/>
              </w:rPr>
            </w:pPr>
            <w:r w:rsidRPr="00862B1B">
              <w:rPr>
                <w:rFonts w:ascii="Arial" w:hAnsi="Arial" w:cs="Arial"/>
              </w:rPr>
              <w:t>Other International</w:t>
            </w:r>
          </w:p>
        </w:tc>
        <w:tc>
          <w:tcPr>
            <w:tcW w:w="462" w:type="pct"/>
            <w:shd w:val="clear" w:color="auto" w:fill="auto"/>
          </w:tcPr>
          <w:p w14:paraId="4723EA49" w14:textId="3AD2A402" w:rsidR="00C4647B" w:rsidRPr="00862B1B" w:rsidRDefault="000D2FB5" w:rsidP="00C4647B">
            <w:pPr>
              <w:jc w:val="right"/>
              <w:rPr>
                <w:rFonts w:ascii="Arial" w:hAnsi="Arial" w:cs="Arial"/>
                <w:sz w:val="22"/>
                <w:szCs w:val="22"/>
              </w:rPr>
            </w:pPr>
            <w:r w:rsidRPr="00862B1B">
              <w:rPr>
                <w:rFonts w:ascii="Arial" w:hAnsi="Arial" w:cs="Arial"/>
              </w:rPr>
              <w:t>2.4</w:t>
            </w:r>
          </w:p>
        </w:tc>
        <w:tc>
          <w:tcPr>
            <w:tcW w:w="690" w:type="pct"/>
            <w:shd w:val="clear" w:color="auto" w:fill="auto"/>
          </w:tcPr>
          <w:p w14:paraId="47DFBC66" w14:textId="3DEAACEE" w:rsidR="00C4647B" w:rsidRPr="00862B1B" w:rsidRDefault="000D2FB5" w:rsidP="00C4647B">
            <w:pPr>
              <w:jc w:val="right"/>
              <w:rPr>
                <w:rFonts w:ascii="Arial" w:hAnsi="Arial" w:cs="Arial"/>
                <w:sz w:val="22"/>
                <w:szCs w:val="22"/>
              </w:rPr>
            </w:pPr>
            <w:r w:rsidRPr="00862B1B">
              <w:rPr>
                <w:rFonts w:ascii="Arial" w:hAnsi="Arial" w:cs="Arial"/>
              </w:rPr>
              <w:t>20.1</w:t>
            </w:r>
            <w:r w:rsidR="00C4647B" w:rsidRPr="00862B1B">
              <w:rPr>
                <w:rFonts w:ascii="Arial" w:hAnsi="Arial" w:cs="Arial"/>
              </w:rPr>
              <w:t>%</w:t>
            </w:r>
          </w:p>
        </w:tc>
        <w:tc>
          <w:tcPr>
            <w:tcW w:w="772" w:type="pct"/>
            <w:shd w:val="clear" w:color="auto" w:fill="auto"/>
          </w:tcPr>
          <w:p w14:paraId="6D4B72A3" w14:textId="6EF8F5E2" w:rsidR="00C4647B" w:rsidRPr="00862B1B" w:rsidRDefault="000D2FB5" w:rsidP="00C4647B">
            <w:pPr>
              <w:jc w:val="right"/>
              <w:rPr>
                <w:rFonts w:ascii="Arial" w:hAnsi="Arial" w:cs="Arial"/>
                <w:sz w:val="22"/>
                <w:szCs w:val="22"/>
              </w:rPr>
            </w:pPr>
            <w:r w:rsidRPr="00862B1B">
              <w:rPr>
                <w:rFonts w:ascii="Arial" w:hAnsi="Arial" w:cs="Arial"/>
              </w:rPr>
              <w:t>1.6</w:t>
            </w:r>
          </w:p>
        </w:tc>
        <w:tc>
          <w:tcPr>
            <w:tcW w:w="692" w:type="pct"/>
            <w:shd w:val="clear" w:color="auto" w:fill="auto"/>
          </w:tcPr>
          <w:p w14:paraId="0279D267" w14:textId="714FCDE4" w:rsidR="00C4647B" w:rsidRPr="00862B1B" w:rsidRDefault="000D2FB5" w:rsidP="00C4647B">
            <w:pPr>
              <w:jc w:val="right"/>
              <w:rPr>
                <w:rFonts w:ascii="Arial" w:hAnsi="Arial" w:cs="Arial"/>
                <w:sz w:val="22"/>
                <w:szCs w:val="22"/>
              </w:rPr>
            </w:pPr>
            <w:r w:rsidRPr="00862B1B">
              <w:rPr>
                <w:rFonts w:ascii="Arial" w:hAnsi="Arial" w:cs="Arial"/>
              </w:rPr>
              <w:t>20.</w:t>
            </w:r>
            <w:r w:rsidR="00AA29FF" w:rsidRPr="00862B1B">
              <w:rPr>
                <w:rFonts w:ascii="Arial" w:hAnsi="Arial" w:cs="Arial"/>
              </w:rPr>
              <w:t>6</w:t>
            </w:r>
            <w:r w:rsidR="00C4647B" w:rsidRPr="00862B1B">
              <w:rPr>
                <w:rFonts w:ascii="Arial" w:hAnsi="Arial" w:cs="Arial"/>
              </w:rPr>
              <w:t>%</w:t>
            </w:r>
          </w:p>
        </w:tc>
        <w:tc>
          <w:tcPr>
            <w:tcW w:w="614" w:type="pct"/>
            <w:shd w:val="clear" w:color="auto" w:fill="auto"/>
          </w:tcPr>
          <w:p w14:paraId="16895E36" w14:textId="25CE022A" w:rsidR="00C4647B" w:rsidRPr="00862B1B" w:rsidRDefault="000D2FB5" w:rsidP="00C4647B">
            <w:pPr>
              <w:jc w:val="right"/>
              <w:rPr>
                <w:rFonts w:ascii="Arial" w:hAnsi="Arial" w:cs="Arial"/>
                <w:b/>
                <w:sz w:val="22"/>
                <w:szCs w:val="22"/>
              </w:rPr>
            </w:pPr>
            <w:r w:rsidRPr="00862B1B">
              <w:rPr>
                <w:rFonts w:ascii="Arial" w:hAnsi="Arial" w:cs="Arial"/>
                <w:b/>
              </w:rPr>
              <w:t>9.3</w:t>
            </w:r>
            <w:r w:rsidR="00C4647B" w:rsidRPr="00862B1B">
              <w:rPr>
                <w:rFonts w:ascii="Arial" w:hAnsi="Arial" w:cs="Arial"/>
                <w:b/>
              </w:rPr>
              <w:t>%</w:t>
            </w:r>
          </w:p>
        </w:tc>
        <w:tc>
          <w:tcPr>
            <w:tcW w:w="614" w:type="pct"/>
          </w:tcPr>
          <w:p w14:paraId="2EEFF837" w14:textId="301613E6" w:rsidR="00C4647B" w:rsidRPr="00862B1B" w:rsidRDefault="00C4647B" w:rsidP="00C4647B">
            <w:pPr>
              <w:jc w:val="right"/>
              <w:rPr>
                <w:rFonts w:ascii="Arial" w:hAnsi="Arial" w:cs="Arial"/>
                <w:sz w:val="22"/>
                <w:szCs w:val="22"/>
              </w:rPr>
            </w:pPr>
            <w:r w:rsidRPr="00862B1B">
              <w:rPr>
                <w:rFonts w:ascii="Arial" w:hAnsi="Arial" w:cs="Arial"/>
              </w:rPr>
              <w:t>10.4%</w:t>
            </w:r>
          </w:p>
        </w:tc>
      </w:tr>
      <w:tr w:rsidR="000D2FB5" w:rsidRPr="00CF2935" w14:paraId="4747E7A4" w14:textId="77777777" w:rsidTr="006F78D1">
        <w:tc>
          <w:tcPr>
            <w:tcW w:w="1156" w:type="pct"/>
          </w:tcPr>
          <w:p w14:paraId="61B06176" w14:textId="2FF9C604" w:rsidR="000D2FB5" w:rsidRPr="00862B1B" w:rsidRDefault="000D2FB5" w:rsidP="00C4647B">
            <w:pPr>
              <w:jc w:val="left"/>
              <w:rPr>
                <w:rFonts w:ascii="Arial" w:hAnsi="Arial" w:cs="Arial"/>
                <w:sz w:val="22"/>
                <w:szCs w:val="22"/>
              </w:rPr>
            </w:pPr>
            <w:r w:rsidRPr="00862B1B">
              <w:rPr>
                <w:rFonts w:ascii="Arial" w:hAnsi="Arial" w:cs="Arial"/>
              </w:rPr>
              <w:t>Central</w:t>
            </w:r>
          </w:p>
        </w:tc>
        <w:tc>
          <w:tcPr>
            <w:tcW w:w="462" w:type="pct"/>
            <w:shd w:val="clear" w:color="auto" w:fill="auto"/>
          </w:tcPr>
          <w:p w14:paraId="4697E51A" w14:textId="77777777" w:rsidR="000D2FB5" w:rsidRPr="00862B1B" w:rsidRDefault="000D2FB5" w:rsidP="00C4647B">
            <w:pPr>
              <w:jc w:val="right"/>
              <w:rPr>
                <w:rFonts w:ascii="Arial" w:hAnsi="Arial" w:cs="Arial"/>
                <w:sz w:val="22"/>
                <w:szCs w:val="22"/>
              </w:rPr>
            </w:pPr>
          </w:p>
        </w:tc>
        <w:tc>
          <w:tcPr>
            <w:tcW w:w="690" w:type="pct"/>
            <w:shd w:val="clear" w:color="auto" w:fill="auto"/>
          </w:tcPr>
          <w:p w14:paraId="4C3CEC3D" w14:textId="77777777" w:rsidR="000D2FB5" w:rsidRPr="00862B1B" w:rsidDel="00203EFD" w:rsidRDefault="000D2FB5" w:rsidP="00C4647B">
            <w:pPr>
              <w:jc w:val="right"/>
              <w:rPr>
                <w:rFonts w:ascii="Arial" w:hAnsi="Arial" w:cs="Arial"/>
                <w:sz w:val="22"/>
                <w:szCs w:val="22"/>
              </w:rPr>
            </w:pPr>
          </w:p>
        </w:tc>
        <w:tc>
          <w:tcPr>
            <w:tcW w:w="772" w:type="pct"/>
            <w:shd w:val="clear" w:color="auto" w:fill="auto"/>
          </w:tcPr>
          <w:p w14:paraId="583FB92C" w14:textId="1D9AA588" w:rsidR="000D2FB5" w:rsidRPr="00862B1B" w:rsidDel="00203EFD" w:rsidRDefault="000D2FB5" w:rsidP="00C4647B">
            <w:pPr>
              <w:jc w:val="right"/>
              <w:rPr>
                <w:rFonts w:ascii="Arial" w:hAnsi="Arial" w:cs="Arial"/>
                <w:sz w:val="22"/>
                <w:szCs w:val="22"/>
              </w:rPr>
            </w:pPr>
            <w:r w:rsidRPr="00862B1B">
              <w:rPr>
                <w:rFonts w:ascii="Arial" w:hAnsi="Arial" w:cs="Arial"/>
              </w:rPr>
              <w:t>0.</w:t>
            </w:r>
            <w:r w:rsidR="00AA29FF" w:rsidRPr="00862B1B">
              <w:rPr>
                <w:rFonts w:ascii="Arial" w:hAnsi="Arial" w:cs="Arial"/>
              </w:rPr>
              <w:t>1</w:t>
            </w:r>
          </w:p>
        </w:tc>
        <w:tc>
          <w:tcPr>
            <w:tcW w:w="692" w:type="pct"/>
            <w:shd w:val="clear" w:color="auto" w:fill="auto"/>
          </w:tcPr>
          <w:p w14:paraId="1FAFC519" w14:textId="50CD1611" w:rsidR="000D2FB5" w:rsidRPr="00862B1B" w:rsidRDefault="00AA29FF" w:rsidP="00C4647B">
            <w:pPr>
              <w:jc w:val="right"/>
              <w:rPr>
                <w:rFonts w:ascii="Arial" w:hAnsi="Arial" w:cs="Arial"/>
                <w:sz w:val="22"/>
                <w:szCs w:val="22"/>
              </w:rPr>
            </w:pPr>
            <w:r w:rsidRPr="00862B1B">
              <w:rPr>
                <w:rFonts w:ascii="Arial" w:hAnsi="Arial" w:cs="Arial"/>
              </w:rPr>
              <w:t>1</w:t>
            </w:r>
            <w:r w:rsidR="000D2FB5" w:rsidRPr="00862B1B">
              <w:rPr>
                <w:rFonts w:ascii="Arial" w:hAnsi="Arial" w:cs="Arial"/>
              </w:rPr>
              <w:t>.1%</w:t>
            </w:r>
          </w:p>
        </w:tc>
        <w:tc>
          <w:tcPr>
            <w:tcW w:w="614" w:type="pct"/>
            <w:shd w:val="clear" w:color="auto" w:fill="auto"/>
          </w:tcPr>
          <w:p w14:paraId="35290A14" w14:textId="77777777" w:rsidR="000D2FB5" w:rsidRPr="00862B1B" w:rsidDel="00203EFD" w:rsidRDefault="000D2FB5" w:rsidP="00C4647B">
            <w:pPr>
              <w:jc w:val="right"/>
              <w:rPr>
                <w:rFonts w:ascii="Arial" w:hAnsi="Arial" w:cs="Arial"/>
                <w:b/>
                <w:sz w:val="22"/>
                <w:szCs w:val="22"/>
              </w:rPr>
            </w:pPr>
          </w:p>
        </w:tc>
        <w:tc>
          <w:tcPr>
            <w:tcW w:w="614" w:type="pct"/>
          </w:tcPr>
          <w:p w14:paraId="02746B60" w14:textId="77777777" w:rsidR="000D2FB5" w:rsidRPr="00862B1B" w:rsidRDefault="000D2FB5" w:rsidP="00C4647B">
            <w:pPr>
              <w:jc w:val="right"/>
              <w:rPr>
                <w:rFonts w:ascii="Arial" w:hAnsi="Arial" w:cs="Arial"/>
                <w:sz w:val="22"/>
                <w:szCs w:val="22"/>
              </w:rPr>
            </w:pPr>
          </w:p>
        </w:tc>
      </w:tr>
      <w:tr w:rsidR="00C4647B" w:rsidRPr="00CF2935" w14:paraId="1C6DC27F" w14:textId="77777777" w:rsidTr="006F78D1">
        <w:tc>
          <w:tcPr>
            <w:tcW w:w="1156" w:type="pct"/>
            <w:tcBorders>
              <w:top w:val="single" w:sz="4" w:space="0" w:color="auto"/>
              <w:bottom w:val="single" w:sz="4" w:space="0" w:color="auto"/>
            </w:tcBorders>
          </w:tcPr>
          <w:p w14:paraId="1DB354A1" w14:textId="77777777" w:rsidR="00C4647B" w:rsidRPr="00862B1B" w:rsidRDefault="00C4647B" w:rsidP="00C4647B">
            <w:pPr>
              <w:jc w:val="left"/>
              <w:rPr>
                <w:rFonts w:ascii="Arial" w:hAnsi="Arial" w:cs="Arial"/>
                <w:sz w:val="22"/>
                <w:szCs w:val="22"/>
              </w:rPr>
            </w:pPr>
            <w:r w:rsidRPr="00862B1B">
              <w:rPr>
                <w:rFonts w:ascii="Arial" w:hAnsi="Arial" w:cs="Arial"/>
                <w:b/>
              </w:rPr>
              <w:t>Total</w:t>
            </w:r>
          </w:p>
        </w:tc>
        <w:tc>
          <w:tcPr>
            <w:tcW w:w="462" w:type="pct"/>
            <w:tcBorders>
              <w:top w:val="single" w:sz="4" w:space="0" w:color="auto"/>
              <w:bottom w:val="single" w:sz="4" w:space="0" w:color="auto"/>
            </w:tcBorders>
            <w:shd w:val="clear" w:color="auto" w:fill="auto"/>
          </w:tcPr>
          <w:p w14:paraId="03C270C5" w14:textId="4DD85564" w:rsidR="00C4647B" w:rsidRPr="00862B1B" w:rsidRDefault="000D2FB5" w:rsidP="00C4647B">
            <w:pPr>
              <w:jc w:val="right"/>
              <w:rPr>
                <w:rFonts w:ascii="Arial" w:hAnsi="Arial" w:cs="Arial"/>
                <w:b/>
                <w:sz w:val="22"/>
                <w:szCs w:val="22"/>
              </w:rPr>
            </w:pPr>
            <w:r w:rsidRPr="00862B1B">
              <w:rPr>
                <w:rFonts w:ascii="Arial" w:hAnsi="Arial" w:cs="Arial"/>
                <w:b/>
              </w:rPr>
              <w:t>11.7</w:t>
            </w:r>
          </w:p>
        </w:tc>
        <w:tc>
          <w:tcPr>
            <w:tcW w:w="690" w:type="pct"/>
            <w:tcBorders>
              <w:top w:val="single" w:sz="4" w:space="0" w:color="auto"/>
              <w:bottom w:val="single" w:sz="4" w:space="0" w:color="auto"/>
            </w:tcBorders>
            <w:shd w:val="clear" w:color="auto" w:fill="auto"/>
          </w:tcPr>
          <w:p w14:paraId="556CE598" w14:textId="77777777" w:rsidR="00C4647B" w:rsidRPr="00862B1B" w:rsidRDefault="00C4647B" w:rsidP="00C4647B">
            <w:pPr>
              <w:jc w:val="right"/>
              <w:rPr>
                <w:rFonts w:ascii="Arial" w:hAnsi="Arial" w:cs="Arial"/>
                <w:b/>
                <w:sz w:val="22"/>
                <w:szCs w:val="22"/>
              </w:rPr>
            </w:pPr>
          </w:p>
        </w:tc>
        <w:tc>
          <w:tcPr>
            <w:tcW w:w="772" w:type="pct"/>
            <w:tcBorders>
              <w:top w:val="single" w:sz="4" w:space="0" w:color="auto"/>
              <w:bottom w:val="single" w:sz="4" w:space="0" w:color="auto"/>
            </w:tcBorders>
            <w:shd w:val="clear" w:color="auto" w:fill="auto"/>
          </w:tcPr>
          <w:p w14:paraId="4DB0E29E" w14:textId="66D464D6" w:rsidR="00C4647B" w:rsidRPr="00862B1B" w:rsidRDefault="000D2FB5" w:rsidP="00C4647B">
            <w:pPr>
              <w:jc w:val="right"/>
              <w:rPr>
                <w:rFonts w:ascii="Arial" w:hAnsi="Arial" w:cs="Arial"/>
                <w:b/>
                <w:sz w:val="22"/>
                <w:szCs w:val="22"/>
              </w:rPr>
            </w:pPr>
            <w:r w:rsidRPr="00862B1B">
              <w:rPr>
                <w:rFonts w:ascii="Arial" w:hAnsi="Arial" w:cs="Arial"/>
                <w:b/>
              </w:rPr>
              <w:t>7.</w:t>
            </w:r>
            <w:r w:rsidR="00AA29FF" w:rsidRPr="00862B1B">
              <w:rPr>
                <w:rFonts w:ascii="Arial" w:hAnsi="Arial" w:cs="Arial"/>
                <w:b/>
              </w:rPr>
              <w:t>7</w:t>
            </w:r>
          </w:p>
        </w:tc>
        <w:tc>
          <w:tcPr>
            <w:tcW w:w="692" w:type="pct"/>
            <w:tcBorders>
              <w:top w:val="single" w:sz="4" w:space="0" w:color="auto"/>
              <w:bottom w:val="single" w:sz="4" w:space="0" w:color="auto"/>
            </w:tcBorders>
            <w:shd w:val="clear" w:color="auto" w:fill="auto"/>
          </w:tcPr>
          <w:p w14:paraId="15F29E8B" w14:textId="77777777" w:rsidR="00C4647B" w:rsidRPr="00862B1B" w:rsidRDefault="00C4647B" w:rsidP="00C4647B">
            <w:pPr>
              <w:jc w:val="right"/>
              <w:rPr>
                <w:rFonts w:ascii="Arial" w:hAnsi="Arial" w:cs="Arial"/>
                <w:b/>
                <w:sz w:val="22"/>
                <w:szCs w:val="22"/>
              </w:rPr>
            </w:pPr>
          </w:p>
        </w:tc>
        <w:tc>
          <w:tcPr>
            <w:tcW w:w="614" w:type="pct"/>
            <w:tcBorders>
              <w:top w:val="single" w:sz="4" w:space="0" w:color="auto"/>
              <w:bottom w:val="single" w:sz="4" w:space="0" w:color="auto"/>
            </w:tcBorders>
            <w:shd w:val="clear" w:color="auto" w:fill="auto"/>
          </w:tcPr>
          <w:p w14:paraId="17B8F77E" w14:textId="7D2D5DB3" w:rsidR="00C4647B" w:rsidRPr="00862B1B" w:rsidRDefault="00203EFD" w:rsidP="00C4647B">
            <w:pPr>
              <w:jc w:val="right"/>
              <w:rPr>
                <w:rFonts w:ascii="Arial" w:hAnsi="Arial" w:cs="Arial"/>
                <w:b/>
                <w:sz w:val="22"/>
                <w:szCs w:val="22"/>
              </w:rPr>
            </w:pPr>
            <w:r w:rsidRPr="00862B1B">
              <w:rPr>
                <w:rFonts w:ascii="Arial" w:hAnsi="Arial" w:cs="Arial"/>
                <w:b/>
              </w:rPr>
              <w:t>9</w:t>
            </w:r>
            <w:r w:rsidR="00C4647B" w:rsidRPr="00862B1B">
              <w:rPr>
                <w:rFonts w:ascii="Arial" w:hAnsi="Arial" w:cs="Arial"/>
                <w:b/>
              </w:rPr>
              <w:t>.</w:t>
            </w:r>
            <w:r w:rsidR="00AA29FF" w:rsidRPr="00862B1B">
              <w:rPr>
                <w:rFonts w:ascii="Arial" w:hAnsi="Arial" w:cs="Arial"/>
                <w:b/>
              </w:rPr>
              <w:t>7</w:t>
            </w:r>
            <w:r w:rsidR="00C4647B" w:rsidRPr="00862B1B">
              <w:rPr>
                <w:rFonts w:ascii="Arial" w:hAnsi="Arial" w:cs="Arial"/>
                <w:b/>
              </w:rPr>
              <w:t>%</w:t>
            </w:r>
          </w:p>
        </w:tc>
        <w:tc>
          <w:tcPr>
            <w:tcW w:w="614" w:type="pct"/>
            <w:tcBorders>
              <w:top w:val="single" w:sz="4" w:space="0" w:color="auto"/>
              <w:bottom w:val="single" w:sz="4" w:space="0" w:color="auto"/>
            </w:tcBorders>
          </w:tcPr>
          <w:p w14:paraId="2DFB4AB5" w14:textId="5A06285C" w:rsidR="00C4647B" w:rsidRPr="00862B1B" w:rsidRDefault="00C4647B" w:rsidP="00C4647B">
            <w:pPr>
              <w:jc w:val="right"/>
              <w:rPr>
                <w:rFonts w:ascii="Arial" w:hAnsi="Arial" w:cs="Arial"/>
                <w:sz w:val="22"/>
                <w:szCs w:val="22"/>
              </w:rPr>
            </w:pPr>
            <w:r w:rsidRPr="00862B1B">
              <w:rPr>
                <w:rFonts w:ascii="Arial" w:hAnsi="Arial" w:cs="Arial"/>
              </w:rPr>
              <w:t>10.4%</w:t>
            </w:r>
          </w:p>
        </w:tc>
      </w:tr>
      <w:bookmarkEnd w:id="43"/>
    </w:tbl>
    <w:p w14:paraId="39CB3337" w14:textId="6E2619F1" w:rsidR="00A93D96" w:rsidRDefault="00A93D96">
      <w:pPr>
        <w:jc w:val="left"/>
        <w:rPr>
          <w:rFonts w:ascii="Arial" w:hAnsi="Arial" w:cs="Arial"/>
          <w:b/>
        </w:rPr>
      </w:pPr>
    </w:p>
    <w:p w14:paraId="58414503" w14:textId="77777777" w:rsidR="007E196C" w:rsidRDefault="007E196C" w:rsidP="00997637">
      <w:pPr>
        <w:jc w:val="left"/>
        <w:rPr>
          <w:rFonts w:ascii="Arial" w:hAnsi="Arial" w:cs="Arial"/>
          <w:b/>
        </w:rPr>
      </w:pPr>
    </w:p>
    <w:p w14:paraId="61549B6A" w14:textId="77777777" w:rsidR="007E196C" w:rsidRDefault="007E196C" w:rsidP="00997637">
      <w:pPr>
        <w:jc w:val="left"/>
        <w:rPr>
          <w:rFonts w:ascii="Arial" w:hAnsi="Arial" w:cs="Arial"/>
          <w:b/>
        </w:rPr>
      </w:pPr>
    </w:p>
    <w:p w14:paraId="429C40FB" w14:textId="7CD30E0F" w:rsidR="007E196C" w:rsidRDefault="007E196C" w:rsidP="00997637">
      <w:pPr>
        <w:jc w:val="left"/>
        <w:rPr>
          <w:rFonts w:ascii="Arial" w:hAnsi="Arial" w:cs="Arial"/>
          <w:b/>
        </w:rPr>
      </w:pPr>
    </w:p>
    <w:p w14:paraId="47CF568D" w14:textId="783837DC" w:rsidR="00750E65" w:rsidRDefault="00750E65" w:rsidP="00997637">
      <w:pPr>
        <w:jc w:val="left"/>
        <w:rPr>
          <w:rFonts w:ascii="Arial" w:hAnsi="Arial" w:cs="Arial"/>
          <w:b/>
        </w:rPr>
      </w:pPr>
    </w:p>
    <w:p w14:paraId="1FC3EE8E" w14:textId="77777777" w:rsidR="00750E65" w:rsidRDefault="00750E65" w:rsidP="00997637">
      <w:pPr>
        <w:jc w:val="left"/>
        <w:rPr>
          <w:rFonts w:ascii="Arial" w:hAnsi="Arial" w:cs="Arial"/>
          <w:b/>
        </w:rPr>
      </w:pPr>
    </w:p>
    <w:p w14:paraId="645117F3" w14:textId="77777777" w:rsidR="007E196C" w:rsidRDefault="007E196C" w:rsidP="00997637">
      <w:pPr>
        <w:jc w:val="left"/>
        <w:rPr>
          <w:rFonts w:ascii="Arial" w:hAnsi="Arial" w:cs="Arial"/>
          <w:b/>
        </w:rPr>
      </w:pPr>
    </w:p>
    <w:p w14:paraId="1581CA82" w14:textId="47BBF77A" w:rsidR="007E196C" w:rsidRDefault="007E196C" w:rsidP="00997637">
      <w:pPr>
        <w:jc w:val="left"/>
        <w:rPr>
          <w:rFonts w:ascii="Arial" w:hAnsi="Arial" w:cs="Arial"/>
          <w:b/>
        </w:rPr>
      </w:pPr>
    </w:p>
    <w:p w14:paraId="1111D85E" w14:textId="74A647D7" w:rsidR="00BC48C8" w:rsidRDefault="00BC48C8" w:rsidP="00997637">
      <w:pPr>
        <w:jc w:val="left"/>
        <w:rPr>
          <w:rFonts w:ascii="Arial" w:hAnsi="Arial" w:cs="Arial"/>
          <w:b/>
        </w:rPr>
      </w:pPr>
    </w:p>
    <w:p w14:paraId="2A1EFE11" w14:textId="02058881" w:rsidR="00BC48C8" w:rsidRDefault="00BC48C8" w:rsidP="00997637">
      <w:pPr>
        <w:jc w:val="left"/>
        <w:rPr>
          <w:rFonts w:ascii="Arial" w:hAnsi="Arial" w:cs="Arial"/>
          <w:b/>
        </w:rPr>
      </w:pPr>
    </w:p>
    <w:p w14:paraId="43789DD8" w14:textId="3F0DF521" w:rsidR="00997637" w:rsidRPr="00A845B7" w:rsidRDefault="00997637" w:rsidP="00997637">
      <w:pPr>
        <w:jc w:val="left"/>
        <w:rPr>
          <w:rFonts w:ascii="Arial" w:hAnsi="Arial" w:cs="Arial"/>
          <w:b/>
        </w:rPr>
      </w:pPr>
      <w:r w:rsidRPr="00A845B7">
        <w:rPr>
          <w:rFonts w:ascii="Arial" w:hAnsi="Arial" w:cs="Arial"/>
          <w:b/>
        </w:rPr>
        <w:t xml:space="preserve">Free cash flow* </w:t>
      </w:r>
    </w:p>
    <w:p w14:paraId="5D06CF00" w14:textId="77777777" w:rsidR="0038098D" w:rsidRPr="00A845B7" w:rsidRDefault="0038098D" w:rsidP="00997637">
      <w:pPr>
        <w:jc w:val="left"/>
        <w:rPr>
          <w:rFonts w:ascii="Arial" w:hAnsi="Arial" w:cs="Arial"/>
          <w:b/>
        </w:rPr>
      </w:pPr>
    </w:p>
    <w:p w14:paraId="5BE4E92D" w14:textId="77777777" w:rsidR="00997637" w:rsidRPr="00A845B7" w:rsidRDefault="00997637" w:rsidP="00997637">
      <w:pPr>
        <w:jc w:val="left"/>
        <w:rPr>
          <w:rFonts w:ascii="Arial" w:hAnsi="Arial" w:cs="Arial"/>
        </w:rPr>
      </w:pPr>
      <w:r w:rsidRPr="00F4631D">
        <w:rPr>
          <w:rFonts w:ascii="Arial" w:hAnsi="Arial" w:cs="Arial"/>
        </w:rPr>
        <w:t>A reconciliation of free cash flow is set out below:</w:t>
      </w:r>
    </w:p>
    <w:tbl>
      <w:tblPr>
        <w:tblW w:w="5000" w:type="pct"/>
        <w:tblInd w:w="98" w:type="dxa"/>
        <w:tblLayout w:type="fixed"/>
        <w:tblLook w:val="0000" w:firstRow="0" w:lastRow="0" w:firstColumn="0" w:lastColumn="0" w:noHBand="0" w:noVBand="0"/>
      </w:tblPr>
      <w:tblGrid>
        <w:gridCol w:w="6777"/>
        <w:gridCol w:w="329"/>
        <w:gridCol w:w="1289"/>
        <w:gridCol w:w="1472"/>
      </w:tblGrid>
      <w:tr w:rsidR="00997637" w:rsidRPr="00A845B7" w14:paraId="11CAD9EB" w14:textId="77777777" w:rsidTr="00E40B17">
        <w:trPr>
          <w:trHeight w:val="555"/>
        </w:trPr>
        <w:tc>
          <w:tcPr>
            <w:tcW w:w="6623" w:type="dxa"/>
            <w:shd w:val="clear" w:color="auto" w:fill="auto"/>
            <w:vAlign w:val="bottom"/>
          </w:tcPr>
          <w:p w14:paraId="77D25310" w14:textId="77777777" w:rsidR="00997637" w:rsidRPr="00A845B7" w:rsidRDefault="00997637" w:rsidP="00F24C8A">
            <w:pPr>
              <w:jc w:val="left"/>
              <w:rPr>
                <w:rFonts w:ascii="Arial" w:hAnsi="Arial" w:cs="Arial"/>
                <w:bCs/>
              </w:rPr>
            </w:pPr>
          </w:p>
        </w:tc>
        <w:tc>
          <w:tcPr>
            <w:tcW w:w="1580" w:type="dxa"/>
            <w:gridSpan w:val="2"/>
          </w:tcPr>
          <w:p w14:paraId="5AC98658" w14:textId="4CC4F357" w:rsidR="00997637" w:rsidRPr="00A845B7" w:rsidRDefault="00997637" w:rsidP="00F24C8A">
            <w:pPr>
              <w:jc w:val="right"/>
              <w:rPr>
                <w:rFonts w:ascii="Arial" w:hAnsi="Arial" w:cs="Arial"/>
                <w:b/>
                <w:bCs/>
              </w:rPr>
            </w:pPr>
            <w:r w:rsidRPr="00A845B7">
              <w:rPr>
                <w:rFonts w:ascii="Arial" w:hAnsi="Arial" w:cs="Arial"/>
                <w:b/>
                <w:bCs/>
              </w:rPr>
              <w:t>201</w:t>
            </w:r>
            <w:r w:rsidR="0089005D">
              <w:rPr>
                <w:rFonts w:ascii="Arial" w:hAnsi="Arial" w:cs="Arial"/>
                <w:b/>
                <w:bCs/>
              </w:rPr>
              <w:t>8</w:t>
            </w:r>
            <w:r w:rsidRPr="00A845B7">
              <w:rPr>
                <w:rFonts w:ascii="Arial" w:hAnsi="Arial" w:cs="Arial"/>
                <w:b/>
                <w:bCs/>
              </w:rPr>
              <w:t>/1</w:t>
            </w:r>
            <w:r w:rsidR="0089005D">
              <w:rPr>
                <w:rFonts w:ascii="Arial" w:hAnsi="Arial" w:cs="Arial"/>
                <w:b/>
                <w:bCs/>
              </w:rPr>
              <w:t>9</w:t>
            </w:r>
          </w:p>
          <w:p w14:paraId="0033CFCA" w14:textId="77777777" w:rsidR="00997637" w:rsidRPr="00A845B7" w:rsidRDefault="00997637" w:rsidP="00F24C8A">
            <w:pPr>
              <w:jc w:val="right"/>
              <w:rPr>
                <w:rFonts w:ascii="Arial" w:hAnsi="Arial" w:cs="Arial"/>
                <w:b/>
                <w:bCs/>
              </w:rPr>
            </w:pPr>
            <w:r w:rsidRPr="00A845B7">
              <w:rPr>
                <w:rFonts w:ascii="Arial" w:hAnsi="Arial" w:cs="Arial"/>
                <w:b/>
                <w:bCs/>
              </w:rPr>
              <w:t>£m</w:t>
            </w:r>
          </w:p>
        </w:tc>
        <w:tc>
          <w:tcPr>
            <w:tcW w:w="1438" w:type="dxa"/>
          </w:tcPr>
          <w:p w14:paraId="5EB7287C" w14:textId="45EDCCD6" w:rsidR="00997637" w:rsidRPr="00A845B7" w:rsidRDefault="00997637" w:rsidP="00F24C8A">
            <w:pPr>
              <w:jc w:val="right"/>
              <w:rPr>
                <w:rFonts w:ascii="Arial" w:hAnsi="Arial" w:cs="Arial"/>
                <w:bCs/>
              </w:rPr>
            </w:pPr>
            <w:r w:rsidRPr="00A845B7">
              <w:rPr>
                <w:rFonts w:ascii="Arial" w:hAnsi="Arial" w:cs="Arial"/>
                <w:bCs/>
              </w:rPr>
              <w:t>201</w:t>
            </w:r>
            <w:r w:rsidR="0089005D">
              <w:rPr>
                <w:rFonts w:ascii="Arial" w:hAnsi="Arial" w:cs="Arial"/>
                <w:bCs/>
              </w:rPr>
              <w:t>7</w:t>
            </w:r>
            <w:r w:rsidRPr="00A845B7">
              <w:rPr>
                <w:rFonts w:ascii="Arial" w:hAnsi="Arial" w:cs="Arial"/>
                <w:bCs/>
              </w:rPr>
              <w:t>/1</w:t>
            </w:r>
            <w:r w:rsidR="0089005D">
              <w:rPr>
                <w:rFonts w:ascii="Arial" w:hAnsi="Arial" w:cs="Arial"/>
                <w:bCs/>
              </w:rPr>
              <w:t>8</w:t>
            </w:r>
          </w:p>
          <w:p w14:paraId="33990E6A" w14:textId="77777777" w:rsidR="00997637" w:rsidRPr="00A845B7" w:rsidRDefault="00997637" w:rsidP="00F24C8A">
            <w:pPr>
              <w:jc w:val="right"/>
              <w:rPr>
                <w:rFonts w:ascii="Arial" w:hAnsi="Arial" w:cs="Arial"/>
                <w:bCs/>
              </w:rPr>
            </w:pPr>
            <w:r w:rsidRPr="00A845B7">
              <w:rPr>
                <w:rFonts w:ascii="Arial" w:hAnsi="Arial" w:cs="Arial"/>
                <w:bCs/>
              </w:rPr>
              <w:t xml:space="preserve">£m </w:t>
            </w:r>
          </w:p>
        </w:tc>
      </w:tr>
      <w:tr w:rsidR="0089005D" w:rsidRPr="00A845B7" w14:paraId="2EA0D0A1" w14:textId="77777777" w:rsidTr="00E40B17">
        <w:trPr>
          <w:trHeight w:val="255"/>
        </w:trPr>
        <w:tc>
          <w:tcPr>
            <w:tcW w:w="6944" w:type="dxa"/>
            <w:gridSpan w:val="2"/>
            <w:tcBorders>
              <w:top w:val="single" w:sz="4" w:space="0" w:color="auto"/>
            </w:tcBorders>
            <w:shd w:val="clear" w:color="auto" w:fill="auto"/>
            <w:vAlign w:val="bottom"/>
          </w:tcPr>
          <w:p w14:paraId="2E16C4F2" w14:textId="1F729F2F" w:rsidR="0089005D" w:rsidRPr="00A845B7" w:rsidRDefault="0089005D" w:rsidP="0089005D">
            <w:pPr>
              <w:rPr>
                <w:rFonts w:ascii="Arial" w:hAnsi="Arial" w:cs="Arial"/>
                <w:b/>
              </w:rPr>
            </w:pPr>
            <w:r w:rsidRPr="00A845B7">
              <w:rPr>
                <w:rFonts w:ascii="Arial" w:hAnsi="Arial" w:cs="Arial"/>
                <w:b/>
              </w:rPr>
              <w:t xml:space="preserve">Operating profit </w:t>
            </w:r>
          </w:p>
        </w:tc>
        <w:tc>
          <w:tcPr>
            <w:tcW w:w="1259" w:type="dxa"/>
            <w:tcBorders>
              <w:top w:val="single" w:sz="4" w:space="0" w:color="auto"/>
            </w:tcBorders>
            <w:vAlign w:val="bottom"/>
          </w:tcPr>
          <w:p w14:paraId="3A8E30B6" w14:textId="3360D306" w:rsidR="0089005D" w:rsidRPr="00C2187E" w:rsidRDefault="004D62D4" w:rsidP="0089005D">
            <w:pPr>
              <w:jc w:val="right"/>
              <w:rPr>
                <w:rFonts w:ascii="Arial" w:hAnsi="Arial" w:cs="Arial"/>
                <w:b/>
              </w:rPr>
            </w:pPr>
            <w:r w:rsidRPr="00C2187E">
              <w:rPr>
                <w:rFonts w:ascii="Arial" w:hAnsi="Arial" w:cs="Arial"/>
                <w:b/>
              </w:rPr>
              <w:t>3</w:t>
            </w:r>
            <w:r w:rsidR="00750E65">
              <w:rPr>
                <w:rFonts w:ascii="Arial" w:hAnsi="Arial" w:cs="Arial"/>
                <w:b/>
              </w:rPr>
              <w:t>29</w:t>
            </w:r>
          </w:p>
        </w:tc>
        <w:tc>
          <w:tcPr>
            <w:tcW w:w="1438" w:type="dxa"/>
            <w:tcBorders>
              <w:top w:val="single" w:sz="4" w:space="0" w:color="auto"/>
            </w:tcBorders>
            <w:vAlign w:val="bottom"/>
          </w:tcPr>
          <w:p w14:paraId="7BEF83D1" w14:textId="4ED80B8D" w:rsidR="0089005D" w:rsidRPr="0089005D" w:rsidRDefault="0089005D" w:rsidP="0089005D">
            <w:pPr>
              <w:jc w:val="right"/>
              <w:rPr>
                <w:rFonts w:ascii="Arial" w:hAnsi="Arial" w:cs="Arial"/>
              </w:rPr>
            </w:pPr>
            <w:r w:rsidRPr="005D6FAA">
              <w:rPr>
                <w:rFonts w:ascii="Arial" w:hAnsi="Arial" w:cs="Arial"/>
              </w:rPr>
              <w:t>685</w:t>
            </w:r>
          </w:p>
        </w:tc>
      </w:tr>
      <w:tr w:rsidR="0089005D" w:rsidRPr="00A845B7" w14:paraId="44ABD00D" w14:textId="77777777" w:rsidTr="00E40B17">
        <w:trPr>
          <w:trHeight w:val="270"/>
        </w:trPr>
        <w:tc>
          <w:tcPr>
            <w:tcW w:w="6944" w:type="dxa"/>
            <w:gridSpan w:val="2"/>
            <w:shd w:val="clear" w:color="auto" w:fill="auto"/>
            <w:vAlign w:val="bottom"/>
          </w:tcPr>
          <w:p w14:paraId="6A7072F3" w14:textId="77777777" w:rsidR="0089005D" w:rsidRPr="00A845B7" w:rsidRDefault="0089005D" w:rsidP="0089005D">
            <w:pPr>
              <w:rPr>
                <w:rFonts w:ascii="Arial" w:hAnsi="Arial" w:cs="Arial"/>
              </w:rPr>
            </w:pPr>
            <w:r>
              <w:rPr>
                <w:rFonts w:ascii="Arial" w:hAnsi="Arial" w:cs="Arial"/>
              </w:rPr>
              <w:t>Exceptional items</w:t>
            </w:r>
          </w:p>
        </w:tc>
        <w:tc>
          <w:tcPr>
            <w:tcW w:w="1259" w:type="dxa"/>
            <w:vAlign w:val="bottom"/>
          </w:tcPr>
          <w:p w14:paraId="76F6B289" w14:textId="33E60BE4" w:rsidR="0089005D" w:rsidRPr="00C2187E" w:rsidRDefault="00203EFD" w:rsidP="0089005D">
            <w:pPr>
              <w:jc w:val="right"/>
              <w:rPr>
                <w:rFonts w:ascii="Arial" w:hAnsi="Arial" w:cs="Arial"/>
                <w:b/>
              </w:rPr>
            </w:pPr>
            <w:r w:rsidRPr="00C2187E">
              <w:rPr>
                <w:rFonts w:ascii="Arial" w:hAnsi="Arial" w:cs="Arial"/>
                <w:b/>
              </w:rPr>
              <w:t>2</w:t>
            </w:r>
            <w:r w:rsidR="00750E65">
              <w:rPr>
                <w:rFonts w:ascii="Arial" w:hAnsi="Arial" w:cs="Arial"/>
                <w:b/>
              </w:rPr>
              <w:t>51</w:t>
            </w:r>
          </w:p>
        </w:tc>
        <w:tc>
          <w:tcPr>
            <w:tcW w:w="1438" w:type="dxa"/>
            <w:vAlign w:val="bottom"/>
          </w:tcPr>
          <w:p w14:paraId="712C1EF0" w14:textId="514009F2" w:rsidR="0089005D" w:rsidRPr="0089005D" w:rsidRDefault="0089005D" w:rsidP="0089005D">
            <w:pPr>
              <w:jc w:val="right"/>
              <w:rPr>
                <w:rFonts w:ascii="Arial" w:hAnsi="Arial" w:cs="Arial"/>
              </w:rPr>
            </w:pPr>
            <w:r w:rsidRPr="005D6FAA">
              <w:rPr>
                <w:rFonts w:ascii="Arial" w:hAnsi="Arial" w:cs="Arial"/>
              </w:rPr>
              <w:t>-</w:t>
            </w:r>
          </w:p>
        </w:tc>
      </w:tr>
      <w:tr w:rsidR="0089005D" w:rsidRPr="00A845B7" w14:paraId="7CADD9DB" w14:textId="77777777" w:rsidTr="00E40B17">
        <w:trPr>
          <w:trHeight w:val="247"/>
        </w:trPr>
        <w:tc>
          <w:tcPr>
            <w:tcW w:w="6944" w:type="dxa"/>
            <w:gridSpan w:val="2"/>
            <w:tcBorders>
              <w:top w:val="single" w:sz="4" w:space="0" w:color="auto"/>
            </w:tcBorders>
            <w:shd w:val="clear" w:color="auto" w:fill="auto"/>
            <w:vAlign w:val="bottom"/>
          </w:tcPr>
          <w:p w14:paraId="0E596E19" w14:textId="30013154" w:rsidR="0089005D" w:rsidRPr="00A845B7" w:rsidRDefault="0089005D" w:rsidP="0089005D">
            <w:pPr>
              <w:rPr>
                <w:rFonts w:ascii="Arial" w:hAnsi="Arial" w:cs="Arial"/>
              </w:rPr>
            </w:pPr>
            <w:r>
              <w:rPr>
                <w:rFonts w:ascii="Arial" w:hAnsi="Arial" w:cs="Arial"/>
                <w:b/>
              </w:rPr>
              <w:t>Operating profit (before exceptional items)</w:t>
            </w:r>
          </w:p>
        </w:tc>
        <w:tc>
          <w:tcPr>
            <w:tcW w:w="1259" w:type="dxa"/>
            <w:tcBorders>
              <w:top w:val="single" w:sz="4" w:space="0" w:color="auto"/>
            </w:tcBorders>
            <w:vAlign w:val="bottom"/>
          </w:tcPr>
          <w:p w14:paraId="17E173BA" w14:textId="1B62EAB8" w:rsidR="0089005D" w:rsidRPr="00C2187E" w:rsidRDefault="00460AD6" w:rsidP="0089005D">
            <w:pPr>
              <w:jc w:val="right"/>
              <w:rPr>
                <w:rFonts w:ascii="Arial" w:hAnsi="Arial" w:cs="Arial"/>
                <w:b/>
              </w:rPr>
            </w:pPr>
            <w:r w:rsidRPr="00C2187E">
              <w:rPr>
                <w:rFonts w:ascii="Arial" w:hAnsi="Arial" w:cs="Arial"/>
                <w:b/>
              </w:rPr>
              <w:t>5</w:t>
            </w:r>
            <w:r w:rsidR="00203EFD" w:rsidRPr="00C2187E">
              <w:rPr>
                <w:rFonts w:ascii="Arial" w:hAnsi="Arial" w:cs="Arial"/>
                <w:b/>
              </w:rPr>
              <w:t>8</w:t>
            </w:r>
            <w:r w:rsidR="000254CF">
              <w:rPr>
                <w:rFonts w:ascii="Arial" w:hAnsi="Arial" w:cs="Arial"/>
                <w:b/>
              </w:rPr>
              <w:t>0</w:t>
            </w:r>
          </w:p>
        </w:tc>
        <w:tc>
          <w:tcPr>
            <w:tcW w:w="1438" w:type="dxa"/>
            <w:tcBorders>
              <w:top w:val="single" w:sz="4" w:space="0" w:color="auto"/>
            </w:tcBorders>
            <w:vAlign w:val="bottom"/>
          </w:tcPr>
          <w:p w14:paraId="3F21545A" w14:textId="20CA6E12" w:rsidR="0089005D" w:rsidRPr="0089005D" w:rsidRDefault="0089005D" w:rsidP="0089005D">
            <w:pPr>
              <w:jc w:val="right"/>
              <w:rPr>
                <w:rFonts w:ascii="Arial" w:hAnsi="Arial" w:cs="Arial"/>
              </w:rPr>
            </w:pPr>
            <w:r w:rsidRPr="005D6FAA">
              <w:rPr>
                <w:rFonts w:ascii="Arial" w:hAnsi="Arial" w:cs="Arial"/>
              </w:rPr>
              <w:t>685</w:t>
            </w:r>
          </w:p>
        </w:tc>
      </w:tr>
      <w:tr w:rsidR="0089005D" w:rsidRPr="00A845B7" w14:paraId="7D6FAF1D" w14:textId="77777777" w:rsidTr="00E40B17">
        <w:trPr>
          <w:trHeight w:val="247"/>
        </w:trPr>
        <w:tc>
          <w:tcPr>
            <w:tcW w:w="6944" w:type="dxa"/>
            <w:gridSpan w:val="2"/>
            <w:shd w:val="clear" w:color="auto" w:fill="auto"/>
            <w:vAlign w:val="bottom"/>
          </w:tcPr>
          <w:p w14:paraId="348BAC9B" w14:textId="77777777" w:rsidR="0089005D" w:rsidRPr="00A845B7" w:rsidRDefault="0089005D" w:rsidP="0089005D">
            <w:pPr>
              <w:rPr>
                <w:rFonts w:ascii="Arial" w:hAnsi="Arial" w:cs="Arial"/>
              </w:rPr>
            </w:pPr>
            <w:r w:rsidRPr="00A845B7">
              <w:rPr>
                <w:rFonts w:ascii="Arial" w:hAnsi="Arial" w:cs="Arial"/>
              </w:rPr>
              <w:t>Other non-cash items</w:t>
            </w:r>
            <w:r>
              <w:rPr>
                <w:rFonts w:ascii="Arial" w:hAnsi="Arial" w:cs="Arial"/>
                <w:vertAlign w:val="superscript"/>
              </w:rPr>
              <w:t xml:space="preserve"> </w:t>
            </w:r>
            <w:r w:rsidRPr="00A845B7">
              <w:rPr>
                <w:rFonts w:ascii="Arial" w:hAnsi="Arial" w:cs="Arial"/>
                <w:vertAlign w:val="superscript"/>
              </w:rPr>
              <w:t>(1)</w:t>
            </w:r>
          </w:p>
        </w:tc>
        <w:tc>
          <w:tcPr>
            <w:tcW w:w="1259" w:type="dxa"/>
            <w:vAlign w:val="bottom"/>
          </w:tcPr>
          <w:p w14:paraId="6D698E7F" w14:textId="3CD353DC" w:rsidR="0089005D" w:rsidRPr="00C2187E" w:rsidRDefault="00203EFD" w:rsidP="0089005D">
            <w:pPr>
              <w:jc w:val="right"/>
              <w:rPr>
                <w:rFonts w:ascii="Arial" w:hAnsi="Arial" w:cs="Arial"/>
                <w:b/>
              </w:rPr>
            </w:pPr>
            <w:r w:rsidRPr="00C2187E">
              <w:rPr>
                <w:rFonts w:ascii="Arial" w:hAnsi="Arial" w:cs="Arial"/>
                <w:b/>
              </w:rPr>
              <w:t>30</w:t>
            </w:r>
            <w:r w:rsidR="00F12F4E">
              <w:rPr>
                <w:rFonts w:ascii="Arial" w:hAnsi="Arial" w:cs="Arial"/>
                <w:b/>
              </w:rPr>
              <w:t>5</w:t>
            </w:r>
          </w:p>
        </w:tc>
        <w:tc>
          <w:tcPr>
            <w:tcW w:w="1438" w:type="dxa"/>
            <w:vAlign w:val="bottom"/>
          </w:tcPr>
          <w:p w14:paraId="058C9653" w14:textId="10ED6443" w:rsidR="0089005D" w:rsidRPr="0089005D" w:rsidRDefault="0089005D" w:rsidP="0089005D">
            <w:pPr>
              <w:jc w:val="right"/>
              <w:rPr>
                <w:rFonts w:ascii="Arial" w:hAnsi="Arial" w:cs="Arial"/>
              </w:rPr>
            </w:pPr>
            <w:r w:rsidRPr="005D6FAA">
              <w:rPr>
                <w:rFonts w:ascii="Arial" w:hAnsi="Arial" w:cs="Arial"/>
              </w:rPr>
              <w:t>285</w:t>
            </w:r>
          </w:p>
        </w:tc>
      </w:tr>
      <w:tr w:rsidR="0089005D" w:rsidRPr="00A845B7" w14:paraId="14C34C58" w14:textId="77777777" w:rsidTr="00E40B17">
        <w:trPr>
          <w:trHeight w:val="247"/>
        </w:trPr>
        <w:tc>
          <w:tcPr>
            <w:tcW w:w="6944" w:type="dxa"/>
            <w:gridSpan w:val="2"/>
            <w:shd w:val="clear" w:color="auto" w:fill="auto"/>
            <w:vAlign w:val="bottom"/>
          </w:tcPr>
          <w:p w14:paraId="409DD7E2" w14:textId="77777777" w:rsidR="0089005D" w:rsidRPr="00A845B7" w:rsidRDefault="0089005D" w:rsidP="0089005D">
            <w:pPr>
              <w:rPr>
                <w:rFonts w:ascii="Arial" w:hAnsi="Arial" w:cs="Arial"/>
              </w:rPr>
            </w:pPr>
            <w:r w:rsidRPr="00A845B7">
              <w:rPr>
                <w:rFonts w:ascii="Arial" w:hAnsi="Arial" w:cs="Arial"/>
              </w:rPr>
              <w:t>Change in working capital</w:t>
            </w:r>
          </w:p>
        </w:tc>
        <w:tc>
          <w:tcPr>
            <w:tcW w:w="1259" w:type="dxa"/>
            <w:vAlign w:val="bottom"/>
          </w:tcPr>
          <w:p w14:paraId="026FC5C2" w14:textId="79A6926A" w:rsidR="0089005D" w:rsidRPr="00C2187E" w:rsidRDefault="000254CF" w:rsidP="0089005D">
            <w:pPr>
              <w:jc w:val="right"/>
              <w:rPr>
                <w:rFonts w:ascii="Arial" w:hAnsi="Arial" w:cs="Arial"/>
                <w:b/>
              </w:rPr>
            </w:pPr>
            <w:r w:rsidRPr="00C2187E">
              <w:rPr>
                <w:rFonts w:ascii="Arial" w:hAnsi="Arial" w:cs="Arial"/>
                <w:b/>
              </w:rPr>
              <w:t>2</w:t>
            </w:r>
            <w:r>
              <w:rPr>
                <w:rFonts w:ascii="Arial" w:hAnsi="Arial" w:cs="Arial"/>
                <w:b/>
              </w:rPr>
              <w:t>4</w:t>
            </w:r>
          </w:p>
        </w:tc>
        <w:tc>
          <w:tcPr>
            <w:tcW w:w="1438" w:type="dxa"/>
            <w:vAlign w:val="bottom"/>
          </w:tcPr>
          <w:p w14:paraId="15024FFD" w14:textId="7E2C08E5" w:rsidR="0089005D" w:rsidRPr="0089005D" w:rsidRDefault="0089005D" w:rsidP="0089005D">
            <w:pPr>
              <w:jc w:val="right"/>
              <w:rPr>
                <w:rFonts w:ascii="Arial" w:hAnsi="Arial" w:cs="Arial"/>
              </w:rPr>
            </w:pPr>
            <w:r w:rsidRPr="005D6FAA">
              <w:rPr>
                <w:rFonts w:ascii="Arial" w:hAnsi="Arial" w:cs="Arial"/>
              </w:rPr>
              <w:t>(372)</w:t>
            </w:r>
          </w:p>
        </w:tc>
      </w:tr>
      <w:tr w:rsidR="0089005D" w:rsidRPr="00A845B7" w14:paraId="3D9784EC" w14:textId="77777777" w:rsidTr="00E40B17">
        <w:trPr>
          <w:trHeight w:val="255"/>
        </w:trPr>
        <w:tc>
          <w:tcPr>
            <w:tcW w:w="6944" w:type="dxa"/>
            <w:gridSpan w:val="2"/>
            <w:tcBorders>
              <w:bottom w:val="single" w:sz="4" w:space="0" w:color="auto"/>
            </w:tcBorders>
            <w:shd w:val="clear" w:color="auto" w:fill="auto"/>
            <w:vAlign w:val="bottom"/>
          </w:tcPr>
          <w:p w14:paraId="235495A0" w14:textId="77777777" w:rsidR="0089005D" w:rsidRPr="00A845B7" w:rsidRDefault="0089005D" w:rsidP="0089005D">
            <w:pPr>
              <w:rPr>
                <w:rFonts w:ascii="Arial" w:hAnsi="Arial" w:cs="Arial"/>
              </w:rPr>
            </w:pPr>
            <w:r w:rsidRPr="00A845B7">
              <w:rPr>
                <w:rFonts w:ascii="Arial" w:hAnsi="Arial" w:cs="Arial"/>
              </w:rPr>
              <w:t>Pensions and provisions</w:t>
            </w:r>
          </w:p>
        </w:tc>
        <w:tc>
          <w:tcPr>
            <w:tcW w:w="1259" w:type="dxa"/>
            <w:tcBorders>
              <w:bottom w:val="single" w:sz="4" w:space="0" w:color="auto"/>
            </w:tcBorders>
            <w:vAlign w:val="bottom"/>
          </w:tcPr>
          <w:p w14:paraId="7EFCE3CD" w14:textId="064BF46E" w:rsidR="0089005D" w:rsidRPr="00C2187E" w:rsidRDefault="0089005D" w:rsidP="0089005D">
            <w:pPr>
              <w:jc w:val="right"/>
              <w:rPr>
                <w:rFonts w:ascii="Arial" w:hAnsi="Arial" w:cs="Arial"/>
                <w:b/>
              </w:rPr>
            </w:pPr>
            <w:r w:rsidRPr="00C2187E">
              <w:rPr>
                <w:rFonts w:ascii="Arial" w:hAnsi="Arial" w:cs="Arial"/>
                <w:b/>
              </w:rPr>
              <w:t>(</w:t>
            </w:r>
            <w:r w:rsidR="00203EFD" w:rsidRPr="00C2187E">
              <w:rPr>
                <w:rFonts w:ascii="Arial" w:hAnsi="Arial" w:cs="Arial"/>
                <w:b/>
              </w:rPr>
              <w:t>4</w:t>
            </w:r>
            <w:r w:rsidR="00F12F4E">
              <w:rPr>
                <w:rFonts w:ascii="Arial" w:hAnsi="Arial" w:cs="Arial"/>
                <w:b/>
              </w:rPr>
              <w:t>6</w:t>
            </w:r>
            <w:r w:rsidRPr="00C2187E">
              <w:rPr>
                <w:rFonts w:ascii="Arial" w:hAnsi="Arial" w:cs="Arial"/>
                <w:b/>
              </w:rPr>
              <w:t>)</w:t>
            </w:r>
          </w:p>
        </w:tc>
        <w:tc>
          <w:tcPr>
            <w:tcW w:w="1438" w:type="dxa"/>
            <w:tcBorders>
              <w:bottom w:val="single" w:sz="4" w:space="0" w:color="auto"/>
            </w:tcBorders>
            <w:vAlign w:val="bottom"/>
          </w:tcPr>
          <w:p w14:paraId="46BC3705" w14:textId="7A5E3FFC" w:rsidR="0089005D" w:rsidRPr="0089005D" w:rsidRDefault="0089005D" w:rsidP="0089005D">
            <w:pPr>
              <w:jc w:val="right"/>
              <w:rPr>
                <w:rFonts w:ascii="Arial" w:hAnsi="Arial" w:cs="Arial"/>
              </w:rPr>
            </w:pPr>
            <w:r w:rsidRPr="005D6FAA">
              <w:rPr>
                <w:rFonts w:ascii="Arial" w:hAnsi="Arial" w:cs="Arial"/>
              </w:rPr>
              <w:t>(41)</w:t>
            </w:r>
          </w:p>
        </w:tc>
      </w:tr>
      <w:tr w:rsidR="0089005D" w:rsidRPr="00A845B7" w14:paraId="1EF6783D" w14:textId="77777777" w:rsidTr="00E40B17">
        <w:trPr>
          <w:trHeight w:val="255"/>
        </w:trPr>
        <w:tc>
          <w:tcPr>
            <w:tcW w:w="6944" w:type="dxa"/>
            <w:gridSpan w:val="2"/>
            <w:tcBorders>
              <w:top w:val="single" w:sz="4" w:space="0" w:color="auto"/>
            </w:tcBorders>
            <w:shd w:val="clear" w:color="auto" w:fill="auto"/>
            <w:vAlign w:val="bottom"/>
          </w:tcPr>
          <w:p w14:paraId="78D31DDC" w14:textId="77777777" w:rsidR="0089005D" w:rsidRPr="00A845B7" w:rsidRDefault="0089005D" w:rsidP="0089005D">
            <w:pPr>
              <w:rPr>
                <w:rFonts w:ascii="Arial" w:hAnsi="Arial" w:cs="Arial"/>
              </w:rPr>
            </w:pPr>
            <w:r w:rsidRPr="00A845B7">
              <w:rPr>
                <w:rFonts w:ascii="Arial" w:hAnsi="Arial" w:cs="Arial"/>
              </w:rPr>
              <w:t>Operating cash flow</w:t>
            </w:r>
          </w:p>
        </w:tc>
        <w:tc>
          <w:tcPr>
            <w:tcW w:w="1259" w:type="dxa"/>
            <w:tcBorders>
              <w:top w:val="single" w:sz="4" w:space="0" w:color="auto"/>
            </w:tcBorders>
            <w:vAlign w:val="bottom"/>
          </w:tcPr>
          <w:p w14:paraId="562D6FBD" w14:textId="15280846" w:rsidR="0089005D" w:rsidRPr="00C2187E" w:rsidRDefault="00203EFD" w:rsidP="0089005D">
            <w:pPr>
              <w:jc w:val="right"/>
              <w:rPr>
                <w:rFonts w:ascii="Arial" w:hAnsi="Arial" w:cs="Arial"/>
                <w:b/>
              </w:rPr>
            </w:pPr>
            <w:r w:rsidRPr="00C2187E">
              <w:rPr>
                <w:rFonts w:ascii="Arial" w:hAnsi="Arial" w:cs="Arial"/>
                <w:b/>
              </w:rPr>
              <w:t>863</w:t>
            </w:r>
          </w:p>
        </w:tc>
        <w:tc>
          <w:tcPr>
            <w:tcW w:w="1438" w:type="dxa"/>
            <w:tcBorders>
              <w:top w:val="single" w:sz="4" w:space="0" w:color="auto"/>
            </w:tcBorders>
            <w:vAlign w:val="bottom"/>
          </w:tcPr>
          <w:p w14:paraId="28249861" w14:textId="0CC99E10" w:rsidR="0089005D" w:rsidRPr="0089005D" w:rsidRDefault="0089005D" w:rsidP="0089005D">
            <w:pPr>
              <w:jc w:val="right"/>
              <w:rPr>
                <w:rFonts w:ascii="Arial" w:hAnsi="Arial" w:cs="Arial"/>
              </w:rPr>
            </w:pPr>
            <w:r w:rsidRPr="005D6FAA">
              <w:rPr>
                <w:rFonts w:ascii="Arial" w:hAnsi="Arial" w:cs="Arial"/>
              </w:rPr>
              <w:t>557</w:t>
            </w:r>
          </w:p>
        </w:tc>
      </w:tr>
      <w:tr w:rsidR="0089005D" w:rsidRPr="00A845B7" w14:paraId="6266C384" w14:textId="77777777" w:rsidTr="00E40B17">
        <w:trPr>
          <w:trHeight w:val="311"/>
        </w:trPr>
        <w:tc>
          <w:tcPr>
            <w:tcW w:w="6944" w:type="dxa"/>
            <w:gridSpan w:val="2"/>
            <w:shd w:val="clear" w:color="auto" w:fill="auto"/>
            <w:vAlign w:val="bottom"/>
          </w:tcPr>
          <w:p w14:paraId="706F7C12" w14:textId="77777777" w:rsidR="0089005D" w:rsidRPr="00A845B7" w:rsidRDefault="0089005D" w:rsidP="0089005D">
            <w:pPr>
              <w:rPr>
                <w:rFonts w:ascii="Arial" w:hAnsi="Arial" w:cs="Arial"/>
              </w:rPr>
            </w:pPr>
            <w:r w:rsidRPr="00A845B7">
              <w:rPr>
                <w:rFonts w:ascii="Arial" w:hAnsi="Arial" w:cs="Arial"/>
              </w:rPr>
              <w:t>Net interest paid</w:t>
            </w:r>
          </w:p>
        </w:tc>
        <w:tc>
          <w:tcPr>
            <w:tcW w:w="1259" w:type="dxa"/>
            <w:vAlign w:val="bottom"/>
          </w:tcPr>
          <w:p w14:paraId="7FF7BC6A" w14:textId="3BD21AC7" w:rsidR="0089005D" w:rsidRPr="00C2187E" w:rsidRDefault="0089005D" w:rsidP="0089005D">
            <w:pPr>
              <w:jc w:val="right"/>
              <w:rPr>
                <w:rFonts w:ascii="Arial" w:hAnsi="Arial" w:cs="Arial"/>
                <w:b/>
              </w:rPr>
            </w:pPr>
            <w:r w:rsidRPr="00C2187E">
              <w:rPr>
                <w:rFonts w:ascii="Arial" w:hAnsi="Arial" w:cs="Arial"/>
                <w:b/>
              </w:rPr>
              <w:t>(</w:t>
            </w:r>
            <w:r w:rsidR="00460AD6" w:rsidRPr="00C2187E">
              <w:rPr>
                <w:rFonts w:ascii="Arial" w:hAnsi="Arial" w:cs="Arial"/>
                <w:b/>
              </w:rPr>
              <w:t>10</w:t>
            </w:r>
            <w:r w:rsidRPr="00C2187E">
              <w:rPr>
                <w:rFonts w:ascii="Arial" w:hAnsi="Arial" w:cs="Arial"/>
                <w:b/>
              </w:rPr>
              <w:t>)</w:t>
            </w:r>
          </w:p>
        </w:tc>
        <w:tc>
          <w:tcPr>
            <w:tcW w:w="1438" w:type="dxa"/>
            <w:vAlign w:val="bottom"/>
          </w:tcPr>
          <w:p w14:paraId="5E0434B4" w14:textId="2DC17480" w:rsidR="0089005D" w:rsidRPr="0089005D" w:rsidRDefault="0089005D" w:rsidP="0089005D">
            <w:pPr>
              <w:jc w:val="right"/>
              <w:rPr>
                <w:rFonts w:ascii="Arial" w:hAnsi="Arial" w:cs="Arial"/>
              </w:rPr>
            </w:pPr>
            <w:r w:rsidRPr="005D6FAA">
              <w:rPr>
                <w:rFonts w:ascii="Arial" w:hAnsi="Arial" w:cs="Arial"/>
              </w:rPr>
              <w:t>(1)</w:t>
            </w:r>
          </w:p>
        </w:tc>
      </w:tr>
      <w:tr w:rsidR="0089005D" w:rsidRPr="00A845B7" w14:paraId="15D29B62" w14:textId="77777777" w:rsidTr="00E40B17">
        <w:trPr>
          <w:trHeight w:val="270"/>
        </w:trPr>
        <w:tc>
          <w:tcPr>
            <w:tcW w:w="6944" w:type="dxa"/>
            <w:gridSpan w:val="2"/>
            <w:shd w:val="clear" w:color="auto" w:fill="auto"/>
            <w:vAlign w:val="bottom"/>
          </w:tcPr>
          <w:p w14:paraId="1B678EE6" w14:textId="77777777" w:rsidR="0089005D" w:rsidRPr="00A845B7" w:rsidRDefault="0089005D" w:rsidP="0089005D">
            <w:pPr>
              <w:rPr>
                <w:rFonts w:ascii="Arial" w:hAnsi="Arial" w:cs="Arial"/>
              </w:rPr>
            </w:pPr>
            <w:r w:rsidRPr="00A845B7">
              <w:rPr>
                <w:rFonts w:ascii="Arial" w:hAnsi="Arial" w:cs="Arial"/>
              </w:rPr>
              <w:t>Tax paid</w:t>
            </w:r>
          </w:p>
        </w:tc>
        <w:tc>
          <w:tcPr>
            <w:tcW w:w="1259" w:type="dxa"/>
            <w:vAlign w:val="bottom"/>
          </w:tcPr>
          <w:p w14:paraId="6EE1CF44" w14:textId="065A2AB9" w:rsidR="0089005D" w:rsidRPr="00C2187E" w:rsidRDefault="0089005D" w:rsidP="0089005D">
            <w:pPr>
              <w:jc w:val="right"/>
              <w:rPr>
                <w:rFonts w:ascii="Arial" w:hAnsi="Arial" w:cs="Arial"/>
                <w:b/>
              </w:rPr>
            </w:pPr>
            <w:r w:rsidRPr="00C2187E">
              <w:rPr>
                <w:rFonts w:ascii="Arial" w:hAnsi="Arial" w:cs="Arial"/>
                <w:b/>
              </w:rPr>
              <w:t>(</w:t>
            </w:r>
            <w:r w:rsidR="00942468" w:rsidRPr="00C2187E">
              <w:rPr>
                <w:rFonts w:ascii="Arial" w:hAnsi="Arial" w:cs="Arial"/>
                <w:b/>
              </w:rPr>
              <w:t>132</w:t>
            </w:r>
            <w:r w:rsidRPr="00C2187E">
              <w:rPr>
                <w:rFonts w:ascii="Arial" w:hAnsi="Arial" w:cs="Arial"/>
                <w:b/>
              </w:rPr>
              <w:t>)</w:t>
            </w:r>
          </w:p>
        </w:tc>
        <w:tc>
          <w:tcPr>
            <w:tcW w:w="1438" w:type="dxa"/>
            <w:vAlign w:val="bottom"/>
          </w:tcPr>
          <w:p w14:paraId="67D94901" w14:textId="719F1E2D" w:rsidR="0089005D" w:rsidRPr="0089005D" w:rsidRDefault="0089005D" w:rsidP="0089005D">
            <w:pPr>
              <w:jc w:val="right"/>
              <w:rPr>
                <w:rFonts w:ascii="Arial" w:hAnsi="Arial" w:cs="Arial"/>
              </w:rPr>
            </w:pPr>
            <w:r w:rsidRPr="005D6FAA">
              <w:rPr>
                <w:rFonts w:ascii="Arial" w:hAnsi="Arial" w:cs="Arial"/>
              </w:rPr>
              <w:t>(182)</w:t>
            </w:r>
          </w:p>
        </w:tc>
      </w:tr>
      <w:tr w:rsidR="0089005D" w:rsidRPr="00A845B7" w14:paraId="6F43FF5F" w14:textId="77777777" w:rsidTr="00E40B17">
        <w:trPr>
          <w:trHeight w:val="270"/>
        </w:trPr>
        <w:tc>
          <w:tcPr>
            <w:tcW w:w="6944" w:type="dxa"/>
            <w:gridSpan w:val="2"/>
            <w:shd w:val="clear" w:color="auto" w:fill="auto"/>
            <w:vAlign w:val="bottom"/>
          </w:tcPr>
          <w:p w14:paraId="4B9FC748" w14:textId="77777777" w:rsidR="0089005D" w:rsidRPr="00D978CF" w:rsidRDefault="0089005D" w:rsidP="0089005D">
            <w:pPr>
              <w:rPr>
                <w:rFonts w:ascii="Arial" w:hAnsi="Arial" w:cs="Arial"/>
                <w:highlight w:val="yellow"/>
              </w:rPr>
            </w:pPr>
            <w:r w:rsidRPr="00F4631D">
              <w:rPr>
                <w:rFonts w:ascii="Arial" w:hAnsi="Arial" w:cs="Arial"/>
              </w:rPr>
              <w:t xml:space="preserve">Gross capital expenditure </w:t>
            </w:r>
          </w:p>
        </w:tc>
        <w:tc>
          <w:tcPr>
            <w:tcW w:w="1259" w:type="dxa"/>
            <w:vAlign w:val="bottom"/>
          </w:tcPr>
          <w:p w14:paraId="4BACF656" w14:textId="4C25BA4C" w:rsidR="0089005D" w:rsidRPr="00C2187E" w:rsidRDefault="0089005D" w:rsidP="0089005D">
            <w:pPr>
              <w:jc w:val="right"/>
              <w:rPr>
                <w:rFonts w:ascii="Arial" w:hAnsi="Arial" w:cs="Arial"/>
                <w:b/>
              </w:rPr>
            </w:pPr>
            <w:r w:rsidRPr="00C2187E">
              <w:rPr>
                <w:rFonts w:ascii="Arial" w:hAnsi="Arial" w:cs="Arial"/>
                <w:b/>
              </w:rPr>
              <w:t>(</w:t>
            </w:r>
            <w:r w:rsidR="00942468" w:rsidRPr="00C2187E">
              <w:rPr>
                <w:rFonts w:ascii="Arial" w:hAnsi="Arial" w:cs="Arial"/>
                <w:b/>
              </w:rPr>
              <w:t>339</w:t>
            </w:r>
            <w:r w:rsidRPr="00C2187E">
              <w:rPr>
                <w:rFonts w:ascii="Arial" w:hAnsi="Arial" w:cs="Arial"/>
                <w:b/>
              </w:rPr>
              <w:t>)</w:t>
            </w:r>
          </w:p>
        </w:tc>
        <w:tc>
          <w:tcPr>
            <w:tcW w:w="1438" w:type="dxa"/>
            <w:vAlign w:val="bottom"/>
          </w:tcPr>
          <w:p w14:paraId="457331A2" w14:textId="00558FB9" w:rsidR="0089005D" w:rsidRPr="0089005D" w:rsidRDefault="0089005D" w:rsidP="0089005D">
            <w:pPr>
              <w:jc w:val="right"/>
              <w:rPr>
                <w:rFonts w:ascii="Arial" w:hAnsi="Arial" w:cs="Arial"/>
              </w:rPr>
            </w:pPr>
            <w:r w:rsidRPr="005D6FAA">
              <w:rPr>
                <w:rFonts w:ascii="Arial" w:hAnsi="Arial" w:cs="Arial"/>
              </w:rPr>
              <w:t>(368)</w:t>
            </w:r>
          </w:p>
        </w:tc>
      </w:tr>
      <w:tr w:rsidR="0089005D" w:rsidRPr="00A845B7" w14:paraId="6ADEF210" w14:textId="77777777" w:rsidTr="00E40B17">
        <w:trPr>
          <w:trHeight w:val="270"/>
        </w:trPr>
        <w:tc>
          <w:tcPr>
            <w:tcW w:w="6944" w:type="dxa"/>
            <w:gridSpan w:val="2"/>
            <w:tcBorders>
              <w:top w:val="single" w:sz="4" w:space="0" w:color="auto"/>
            </w:tcBorders>
            <w:shd w:val="clear" w:color="auto" w:fill="auto"/>
            <w:vAlign w:val="bottom"/>
          </w:tcPr>
          <w:p w14:paraId="1EA8D274" w14:textId="77777777" w:rsidR="0089005D" w:rsidRPr="00A845B7" w:rsidRDefault="0089005D" w:rsidP="0089005D">
            <w:pPr>
              <w:rPr>
                <w:rFonts w:ascii="Arial" w:hAnsi="Arial" w:cs="Arial"/>
                <w:b/>
              </w:rPr>
            </w:pPr>
            <w:r w:rsidRPr="00A845B7">
              <w:rPr>
                <w:rFonts w:ascii="Arial" w:hAnsi="Arial" w:cs="Arial"/>
                <w:b/>
              </w:rPr>
              <w:t>Free cash flow</w:t>
            </w:r>
          </w:p>
        </w:tc>
        <w:tc>
          <w:tcPr>
            <w:tcW w:w="1259" w:type="dxa"/>
            <w:tcBorders>
              <w:top w:val="single" w:sz="4" w:space="0" w:color="auto"/>
            </w:tcBorders>
            <w:vAlign w:val="bottom"/>
          </w:tcPr>
          <w:p w14:paraId="4D9E7831" w14:textId="5E68CD33" w:rsidR="0089005D" w:rsidRPr="00C2187E" w:rsidRDefault="00942468" w:rsidP="0089005D">
            <w:pPr>
              <w:jc w:val="right"/>
              <w:rPr>
                <w:rFonts w:ascii="Arial" w:hAnsi="Arial" w:cs="Arial"/>
                <w:b/>
              </w:rPr>
            </w:pPr>
            <w:r w:rsidRPr="00C2187E">
              <w:rPr>
                <w:rFonts w:ascii="Arial" w:hAnsi="Arial" w:cs="Arial"/>
                <w:b/>
              </w:rPr>
              <w:t>38</w:t>
            </w:r>
            <w:r w:rsidR="00203EFD" w:rsidRPr="00C2187E">
              <w:rPr>
                <w:rFonts w:ascii="Arial" w:hAnsi="Arial" w:cs="Arial"/>
                <w:b/>
              </w:rPr>
              <w:t>2</w:t>
            </w:r>
          </w:p>
        </w:tc>
        <w:tc>
          <w:tcPr>
            <w:tcW w:w="1438" w:type="dxa"/>
            <w:tcBorders>
              <w:top w:val="single" w:sz="4" w:space="0" w:color="auto"/>
            </w:tcBorders>
            <w:vAlign w:val="bottom"/>
          </w:tcPr>
          <w:p w14:paraId="5375D7A7" w14:textId="6D776AEB" w:rsidR="0089005D" w:rsidRPr="0089005D" w:rsidRDefault="0089005D" w:rsidP="0089005D">
            <w:pPr>
              <w:jc w:val="right"/>
              <w:rPr>
                <w:rFonts w:ascii="Arial" w:hAnsi="Arial" w:cs="Arial"/>
              </w:rPr>
            </w:pPr>
            <w:r w:rsidRPr="005D6FAA">
              <w:rPr>
                <w:rFonts w:ascii="Arial" w:hAnsi="Arial" w:cs="Arial"/>
              </w:rPr>
              <w:t>6</w:t>
            </w:r>
          </w:p>
        </w:tc>
      </w:tr>
      <w:tr w:rsidR="0089005D" w:rsidRPr="00A845B7" w14:paraId="35A6F157" w14:textId="77777777" w:rsidTr="0018703F">
        <w:trPr>
          <w:trHeight w:val="270"/>
        </w:trPr>
        <w:tc>
          <w:tcPr>
            <w:tcW w:w="6944" w:type="dxa"/>
            <w:gridSpan w:val="2"/>
            <w:shd w:val="clear" w:color="auto" w:fill="auto"/>
            <w:vAlign w:val="bottom"/>
          </w:tcPr>
          <w:p w14:paraId="05F94C33" w14:textId="77777777" w:rsidR="0089005D" w:rsidRPr="00A845B7" w:rsidRDefault="0089005D" w:rsidP="0089005D">
            <w:pPr>
              <w:rPr>
                <w:rFonts w:ascii="Arial" w:hAnsi="Arial" w:cs="Arial"/>
              </w:rPr>
            </w:pPr>
            <w:r w:rsidRPr="00A845B7">
              <w:rPr>
                <w:rFonts w:ascii="Arial" w:hAnsi="Arial" w:cs="Arial"/>
              </w:rPr>
              <w:t>Ordinary dividends paid</w:t>
            </w:r>
          </w:p>
        </w:tc>
        <w:tc>
          <w:tcPr>
            <w:tcW w:w="1259" w:type="dxa"/>
            <w:vAlign w:val="bottom"/>
          </w:tcPr>
          <w:p w14:paraId="47ECE1B8" w14:textId="75950453" w:rsidR="0089005D" w:rsidRPr="00C2187E" w:rsidRDefault="0089005D" w:rsidP="0089005D">
            <w:pPr>
              <w:jc w:val="right"/>
              <w:rPr>
                <w:rFonts w:ascii="Arial" w:hAnsi="Arial" w:cs="Arial"/>
                <w:b/>
              </w:rPr>
            </w:pPr>
            <w:r w:rsidRPr="00C2187E">
              <w:rPr>
                <w:rFonts w:ascii="Arial" w:hAnsi="Arial" w:cs="Arial"/>
                <w:b/>
              </w:rPr>
              <w:t>(</w:t>
            </w:r>
            <w:r w:rsidR="00460AD6" w:rsidRPr="00C2187E">
              <w:rPr>
                <w:rFonts w:ascii="Arial" w:hAnsi="Arial" w:cs="Arial"/>
                <w:b/>
              </w:rPr>
              <w:t>231</w:t>
            </w:r>
            <w:r w:rsidRPr="00C2187E">
              <w:rPr>
                <w:rFonts w:ascii="Arial" w:hAnsi="Arial" w:cs="Arial"/>
                <w:b/>
              </w:rPr>
              <w:t>)</w:t>
            </w:r>
          </w:p>
        </w:tc>
        <w:tc>
          <w:tcPr>
            <w:tcW w:w="1438" w:type="dxa"/>
            <w:vAlign w:val="bottom"/>
          </w:tcPr>
          <w:p w14:paraId="659C3B97" w14:textId="194DBADA" w:rsidR="0089005D" w:rsidRPr="0089005D" w:rsidRDefault="0089005D" w:rsidP="0089005D">
            <w:pPr>
              <w:jc w:val="right"/>
              <w:rPr>
                <w:rFonts w:ascii="Arial" w:hAnsi="Arial" w:cs="Arial"/>
              </w:rPr>
            </w:pPr>
            <w:r w:rsidRPr="005D6FAA">
              <w:rPr>
                <w:rFonts w:ascii="Arial" w:hAnsi="Arial" w:cs="Arial"/>
              </w:rPr>
              <w:t>(231)</w:t>
            </w:r>
          </w:p>
        </w:tc>
      </w:tr>
      <w:tr w:rsidR="0089005D" w:rsidRPr="00A845B7" w14:paraId="78F586CD" w14:textId="77777777" w:rsidTr="0018703F">
        <w:trPr>
          <w:trHeight w:val="270"/>
        </w:trPr>
        <w:tc>
          <w:tcPr>
            <w:tcW w:w="6944" w:type="dxa"/>
            <w:gridSpan w:val="2"/>
            <w:shd w:val="clear" w:color="auto" w:fill="auto"/>
            <w:vAlign w:val="bottom"/>
          </w:tcPr>
          <w:p w14:paraId="60855625" w14:textId="77777777" w:rsidR="0089005D" w:rsidRPr="00A845B7" w:rsidRDefault="0089005D" w:rsidP="0089005D">
            <w:pPr>
              <w:rPr>
                <w:rFonts w:ascii="Arial" w:hAnsi="Arial" w:cs="Arial"/>
              </w:rPr>
            </w:pPr>
            <w:r w:rsidRPr="00A845B7">
              <w:rPr>
                <w:rFonts w:ascii="Arial" w:hAnsi="Arial" w:cs="Arial"/>
              </w:rPr>
              <w:t>Share buyback</w:t>
            </w:r>
          </w:p>
        </w:tc>
        <w:tc>
          <w:tcPr>
            <w:tcW w:w="1259" w:type="dxa"/>
            <w:vAlign w:val="bottom"/>
          </w:tcPr>
          <w:p w14:paraId="7646A47A" w14:textId="70D3EC72" w:rsidR="0089005D" w:rsidRPr="00C2187E" w:rsidRDefault="0089005D" w:rsidP="0089005D">
            <w:pPr>
              <w:jc w:val="right"/>
              <w:rPr>
                <w:rFonts w:ascii="Arial" w:hAnsi="Arial" w:cs="Arial"/>
                <w:b/>
              </w:rPr>
            </w:pPr>
            <w:r w:rsidRPr="00C2187E">
              <w:rPr>
                <w:rFonts w:ascii="Arial" w:hAnsi="Arial" w:cs="Arial"/>
                <w:b/>
              </w:rPr>
              <w:t>(</w:t>
            </w:r>
            <w:r w:rsidR="00942468" w:rsidRPr="00C2187E">
              <w:rPr>
                <w:rFonts w:ascii="Arial" w:hAnsi="Arial" w:cs="Arial"/>
                <w:b/>
              </w:rPr>
              <w:t>140</w:t>
            </w:r>
            <w:r w:rsidRPr="00C2187E">
              <w:rPr>
                <w:rFonts w:ascii="Arial" w:hAnsi="Arial" w:cs="Arial"/>
                <w:b/>
              </w:rPr>
              <w:t>)</w:t>
            </w:r>
          </w:p>
        </w:tc>
        <w:tc>
          <w:tcPr>
            <w:tcW w:w="1438" w:type="dxa"/>
            <w:vAlign w:val="bottom"/>
          </w:tcPr>
          <w:p w14:paraId="0F20D0C3" w14:textId="5605FA43" w:rsidR="0089005D" w:rsidRPr="0089005D" w:rsidRDefault="0089005D" w:rsidP="0089005D">
            <w:pPr>
              <w:jc w:val="right"/>
              <w:rPr>
                <w:rFonts w:ascii="Arial" w:hAnsi="Arial" w:cs="Arial"/>
              </w:rPr>
            </w:pPr>
            <w:r w:rsidRPr="005D6FAA">
              <w:rPr>
                <w:rFonts w:ascii="Arial" w:hAnsi="Arial" w:cs="Arial"/>
              </w:rPr>
              <w:t>(260)</w:t>
            </w:r>
          </w:p>
        </w:tc>
      </w:tr>
      <w:tr w:rsidR="0089005D" w:rsidRPr="00A845B7" w14:paraId="6CE8DF23" w14:textId="77777777" w:rsidTr="0018703F">
        <w:trPr>
          <w:trHeight w:val="270"/>
        </w:trPr>
        <w:tc>
          <w:tcPr>
            <w:tcW w:w="6944" w:type="dxa"/>
            <w:gridSpan w:val="2"/>
            <w:shd w:val="clear" w:color="auto" w:fill="auto"/>
            <w:vAlign w:val="bottom"/>
          </w:tcPr>
          <w:p w14:paraId="7E416EFD" w14:textId="77777777" w:rsidR="0089005D" w:rsidRPr="00A845B7" w:rsidRDefault="0089005D" w:rsidP="0089005D">
            <w:pPr>
              <w:rPr>
                <w:rFonts w:ascii="Arial" w:hAnsi="Arial" w:cs="Arial"/>
              </w:rPr>
            </w:pPr>
            <w:r w:rsidRPr="00A845B7">
              <w:rPr>
                <w:rFonts w:ascii="Arial" w:hAnsi="Arial" w:cs="Arial"/>
              </w:rPr>
              <w:t>Share purchase for employee incentive schemes</w:t>
            </w:r>
          </w:p>
        </w:tc>
        <w:tc>
          <w:tcPr>
            <w:tcW w:w="1259" w:type="dxa"/>
            <w:vAlign w:val="bottom"/>
          </w:tcPr>
          <w:p w14:paraId="2F4BDE51" w14:textId="6233E909" w:rsidR="0089005D" w:rsidRPr="00C2187E" w:rsidRDefault="00203EFD" w:rsidP="0089005D">
            <w:pPr>
              <w:jc w:val="right"/>
              <w:rPr>
                <w:rFonts w:ascii="Arial" w:hAnsi="Arial" w:cs="Arial"/>
                <w:b/>
              </w:rPr>
            </w:pPr>
            <w:r w:rsidRPr="00C2187E">
              <w:rPr>
                <w:rFonts w:ascii="Arial" w:hAnsi="Arial" w:cs="Arial"/>
                <w:b/>
              </w:rPr>
              <w:t>-</w:t>
            </w:r>
          </w:p>
        </w:tc>
        <w:tc>
          <w:tcPr>
            <w:tcW w:w="1438" w:type="dxa"/>
            <w:vAlign w:val="bottom"/>
          </w:tcPr>
          <w:p w14:paraId="0C9C8D64" w14:textId="3E5EB79A" w:rsidR="0089005D" w:rsidRPr="0089005D" w:rsidRDefault="0089005D" w:rsidP="0089005D">
            <w:pPr>
              <w:jc w:val="right"/>
              <w:rPr>
                <w:rFonts w:ascii="Arial" w:hAnsi="Arial" w:cs="Arial"/>
              </w:rPr>
            </w:pPr>
            <w:r w:rsidRPr="005D6FAA">
              <w:rPr>
                <w:rFonts w:ascii="Arial" w:hAnsi="Arial" w:cs="Arial"/>
              </w:rPr>
              <w:t>(13)</w:t>
            </w:r>
          </w:p>
        </w:tc>
      </w:tr>
      <w:tr w:rsidR="0089005D" w:rsidRPr="00A845B7" w14:paraId="759A6FBB" w14:textId="77777777" w:rsidTr="0018703F">
        <w:trPr>
          <w:trHeight w:val="270"/>
        </w:trPr>
        <w:tc>
          <w:tcPr>
            <w:tcW w:w="6944" w:type="dxa"/>
            <w:gridSpan w:val="2"/>
            <w:shd w:val="clear" w:color="auto" w:fill="auto"/>
            <w:vAlign w:val="bottom"/>
          </w:tcPr>
          <w:p w14:paraId="243A30F5" w14:textId="4D60B389" w:rsidR="0089005D" w:rsidRPr="00A845B7" w:rsidRDefault="0089005D" w:rsidP="0089005D">
            <w:pPr>
              <w:rPr>
                <w:rFonts w:ascii="Arial" w:hAnsi="Arial" w:cs="Arial"/>
              </w:rPr>
            </w:pPr>
            <w:r>
              <w:rPr>
                <w:rFonts w:ascii="Arial" w:hAnsi="Arial" w:cs="Arial"/>
              </w:rPr>
              <w:t>Acquisition of Praktiker Romania (including net debt acquired)</w:t>
            </w:r>
          </w:p>
        </w:tc>
        <w:tc>
          <w:tcPr>
            <w:tcW w:w="1259" w:type="dxa"/>
            <w:vAlign w:val="bottom"/>
          </w:tcPr>
          <w:p w14:paraId="6774E1D2" w14:textId="7C7FEFEF" w:rsidR="0089005D" w:rsidRPr="00C2187E" w:rsidDel="004F03F0" w:rsidRDefault="00942468" w:rsidP="0089005D">
            <w:pPr>
              <w:jc w:val="right"/>
              <w:rPr>
                <w:rFonts w:ascii="Arial" w:hAnsi="Arial" w:cs="Arial"/>
                <w:b/>
              </w:rPr>
            </w:pPr>
            <w:r w:rsidRPr="00C2187E">
              <w:rPr>
                <w:rFonts w:ascii="Arial" w:hAnsi="Arial" w:cs="Arial"/>
                <w:b/>
              </w:rPr>
              <w:t>-</w:t>
            </w:r>
          </w:p>
        </w:tc>
        <w:tc>
          <w:tcPr>
            <w:tcW w:w="1438" w:type="dxa"/>
            <w:vAlign w:val="bottom"/>
          </w:tcPr>
          <w:p w14:paraId="0A0825AF" w14:textId="52B671ED" w:rsidR="0089005D" w:rsidRPr="0089005D" w:rsidRDefault="0089005D" w:rsidP="0089005D">
            <w:pPr>
              <w:jc w:val="right"/>
              <w:rPr>
                <w:rFonts w:ascii="Arial" w:hAnsi="Arial" w:cs="Arial"/>
              </w:rPr>
            </w:pPr>
            <w:r w:rsidRPr="005D6FAA">
              <w:rPr>
                <w:rFonts w:ascii="Arial" w:hAnsi="Arial" w:cs="Arial"/>
              </w:rPr>
              <w:t>(19)</w:t>
            </w:r>
          </w:p>
        </w:tc>
      </w:tr>
      <w:tr w:rsidR="0089005D" w:rsidRPr="00A845B7" w14:paraId="06D5F238" w14:textId="77777777" w:rsidTr="0018703F">
        <w:trPr>
          <w:trHeight w:val="270"/>
        </w:trPr>
        <w:tc>
          <w:tcPr>
            <w:tcW w:w="6944" w:type="dxa"/>
            <w:gridSpan w:val="2"/>
            <w:shd w:val="clear" w:color="auto" w:fill="auto"/>
            <w:vAlign w:val="bottom"/>
          </w:tcPr>
          <w:p w14:paraId="4DBB5CFD" w14:textId="37F19A2D" w:rsidR="0089005D" w:rsidRPr="007715AB" w:rsidRDefault="007715AB" w:rsidP="0089005D">
            <w:pPr>
              <w:rPr>
                <w:rFonts w:ascii="Arial" w:hAnsi="Arial" w:cs="Arial"/>
              </w:rPr>
            </w:pPr>
            <w:r w:rsidRPr="00D72F65">
              <w:rPr>
                <w:rFonts w:ascii="Arial" w:hAnsi="Arial" w:cs="Arial"/>
              </w:rPr>
              <w:t>O</w:t>
            </w:r>
            <w:r w:rsidR="0089005D" w:rsidRPr="007715AB">
              <w:rPr>
                <w:rFonts w:ascii="Arial" w:hAnsi="Arial" w:cs="Arial"/>
              </w:rPr>
              <w:t>ther</w:t>
            </w:r>
            <w:r w:rsidRPr="00D72F65">
              <w:rPr>
                <w:rFonts w:ascii="Arial" w:hAnsi="Arial" w:cs="Arial"/>
              </w:rPr>
              <w:t xml:space="preserve"> (including disposal of assets)</w:t>
            </w:r>
            <w:r w:rsidR="0089005D" w:rsidRPr="007715AB">
              <w:rPr>
                <w:rFonts w:ascii="Arial" w:hAnsi="Arial" w:cs="Arial"/>
                <w:vertAlign w:val="superscript"/>
              </w:rPr>
              <w:t xml:space="preserve"> (2)</w:t>
            </w:r>
          </w:p>
        </w:tc>
        <w:tc>
          <w:tcPr>
            <w:tcW w:w="1259" w:type="dxa"/>
            <w:vAlign w:val="bottom"/>
          </w:tcPr>
          <w:p w14:paraId="27EB27CF" w14:textId="2AECE69F" w:rsidR="0089005D" w:rsidRPr="007715AB" w:rsidRDefault="00203EFD" w:rsidP="0089005D">
            <w:pPr>
              <w:jc w:val="right"/>
              <w:rPr>
                <w:rFonts w:ascii="Arial" w:hAnsi="Arial" w:cs="Arial"/>
                <w:b/>
              </w:rPr>
            </w:pPr>
            <w:r w:rsidRPr="007715AB">
              <w:rPr>
                <w:rFonts w:ascii="Arial" w:hAnsi="Arial" w:cs="Arial"/>
                <w:b/>
              </w:rPr>
              <w:t>(3</w:t>
            </w:r>
            <w:r w:rsidR="00750E65" w:rsidRPr="007715AB">
              <w:rPr>
                <w:rFonts w:ascii="Arial" w:hAnsi="Arial" w:cs="Arial"/>
                <w:b/>
              </w:rPr>
              <w:t>0</w:t>
            </w:r>
            <w:r w:rsidRPr="007715AB">
              <w:rPr>
                <w:rFonts w:ascii="Arial" w:hAnsi="Arial" w:cs="Arial"/>
                <w:b/>
              </w:rPr>
              <w:t>)</w:t>
            </w:r>
          </w:p>
        </w:tc>
        <w:tc>
          <w:tcPr>
            <w:tcW w:w="1438" w:type="dxa"/>
            <w:vAlign w:val="bottom"/>
          </w:tcPr>
          <w:p w14:paraId="0362F822" w14:textId="3C3D68EA" w:rsidR="0089005D" w:rsidRPr="0089005D" w:rsidRDefault="0089005D" w:rsidP="0089005D">
            <w:pPr>
              <w:jc w:val="right"/>
              <w:rPr>
                <w:rFonts w:ascii="Arial" w:hAnsi="Arial" w:cs="Arial"/>
              </w:rPr>
            </w:pPr>
            <w:r w:rsidRPr="007715AB">
              <w:rPr>
                <w:rFonts w:ascii="Arial" w:hAnsi="Arial" w:cs="Arial"/>
              </w:rPr>
              <w:t>(68)</w:t>
            </w:r>
          </w:p>
        </w:tc>
      </w:tr>
      <w:tr w:rsidR="0089005D" w:rsidRPr="00A845B7" w14:paraId="00BF21A1" w14:textId="77777777" w:rsidTr="00E40B17">
        <w:trPr>
          <w:trHeight w:val="270"/>
        </w:trPr>
        <w:tc>
          <w:tcPr>
            <w:tcW w:w="6944" w:type="dxa"/>
            <w:gridSpan w:val="2"/>
            <w:tcBorders>
              <w:top w:val="single" w:sz="4" w:space="0" w:color="auto"/>
            </w:tcBorders>
            <w:shd w:val="clear" w:color="auto" w:fill="auto"/>
            <w:vAlign w:val="bottom"/>
          </w:tcPr>
          <w:p w14:paraId="58B9F4DB" w14:textId="77777777" w:rsidR="0089005D" w:rsidRPr="00A845B7" w:rsidRDefault="0089005D" w:rsidP="0089005D">
            <w:pPr>
              <w:rPr>
                <w:rFonts w:ascii="Arial" w:hAnsi="Arial" w:cs="Arial"/>
                <w:b/>
              </w:rPr>
            </w:pPr>
            <w:r w:rsidRPr="00A845B7">
              <w:rPr>
                <w:rFonts w:ascii="Arial" w:hAnsi="Arial" w:cs="Arial"/>
                <w:b/>
              </w:rPr>
              <w:t>Net cash flow</w:t>
            </w:r>
          </w:p>
        </w:tc>
        <w:tc>
          <w:tcPr>
            <w:tcW w:w="1259" w:type="dxa"/>
            <w:tcBorders>
              <w:top w:val="single" w:sz="4" w:space="0" w:color="auto"/>
            </w:tcBorders>
          </w:tcPr>
          <w:p w14:paraId="70F35D55" w14:textId="18DA23D3" w:rsidR="0089005D" w:rsidRPr="00C2187E" w:rsidRDefault="0089005D" w:rsidP="0089005D">
            <w:pPr>
              <w:jc w:val="right"/>
              <w:rPr>
                <w:rFonts w:ascii="Arial" w:hAnsi="Arial" w:cs="Arial"/>
                <w:b/>
              </w:rPr>
            </w:pPr>
            <w:r w:rsidRPr="00C2187E">
              <w:rPr>
                <w:rFonts w:ascii="Arial" w:hAnsi="Arial" w:cs="Arial"/>
                <w:b/>
              </w:rPr>
              <w:t>(</w:t>
            </w:r>
            <w:r w:rsidR="00750E65">
              <w:rPr>
                <w:rFonts w:ascii="Arial" w:hAnsi="Arial" w:cs="Arial"/>
                <w:b/>
              </w:rPr>
              <w:t>19</w:t>
            </w:r>
            <w:r w:rsidRPr="00C2187E">
              <w:rPr>
                <w:rFonts w:ascii="Arial" w:hAnsi="Arial" w:cs="Arial"/>
                <w:b/>
              </w:rPr>
              <w:t>)</w:t>
            </w:r>
          </w:p>
        </w:tc>
        <w:tc>
          <w:tcPr>
            <w:tcW w:w="1438" w:type="dxa"/>
            <w:tcBorders>
              <w:top w:val="single" w:sz="4" w:space="0" w:color="auto"/>
            </w:tcBorders>
          </w:tcPr>
          <w:p w14:paraId="435075AC" w14:textId="1AEEAE5B" w:rsidR="0089005D" w:rsidRPr="0089005D" w:rsidRDefault="0089005D" w:rsidP="0089005D">
            <w:pPr>
              <w:jc w:val="right"/>
              <w:rPr>
                <w:rFonts w:ascii="Arial" w:hAnsi="Arial" w:cs="Arial"/>
              </w:rPr>
            </w:pPr>
            <w:r w:rsidRPr="005D6FAA">
              <w:rPr>
                <w:rFonts w:ascii="Arial" w:hAnsi="Arial" w:cs="Arial"/>
              </w:rPr>
              <w:t>(585)</w:t>
            </w:r>
          </w:p>
        </w:tc>
      </w:tr>
      <w:tr w:rsidR="0089005D" w:rsidRPr="00A845B7" w14:paraId="5AE21226" w14:textId="77777777" w:rsidTr="0018703F">
        <w:trPr>
          <w:trHeight w:val="270"/>
        </w:trPr>
        <w:tc>
          <w:tcPr>
            <w:tcW w:w="6944" w:type="dxa"/>
            <w:gridSpan w:val="2"/>
            <w:shd w:val="clear" w:color="auto" w:fill="auto"/>
            <w:vAlign w:val="bottom"/>
          </w:tcPr>
          <w:p w14:paraId="3F79BE4F" w14:textId="77777777" w:rsidR="0089005D" w:rsidRPr="00A845B7" w:rsidRDefault="0089005D" w:rsidP="0089005D">
            <w:pPr>
              <w:rPr>
                <w:rFonts w:ascii="Arial" w:hAnsi="Arial" w:cs="Arial"/>
              </w:rPr>
            </w:pPr>
            <w:r w:rsidRPr="00A845B7">
              <w:rPr>
                <w:rFonts w:ascii="Arial" w:hAnsi="Arial" w:cs="Arial"/>
              </w:rPr>
              <w:t>Opening net cash</w:t>
            </w:r>
          </w:p>
        </w:tc>
        <w:tc>
          <w:tcPr>
            <w:tcW w:w="1259" w:type="dxa"/>
            <w:vAlign w:val="bottom"/>
          </w:tcPr>
          <w:p w14:paraId="3C86A59B" w14:textId="21F288E6" w:rsidR="0089005D" w:rsidRPr="00C2187E" w:rsidRDefault="00942468" w:rsidP="0089005D">
            <w:pPr>
              <w:jc w:val="right"/>
              <w:rPr>
                <w:rFonts w:ascii="Arial" w:hAnsi="Arial" w:cs="Arial"/>
                <w:b/>
              </w:rPr>
            </w:pPr>
            <w:r w:rsidRPr="00C2187E">
              <w:rPr>
                <w:rFonts w:ascii="Arial" w:hAnsi="Arial" w:cs="Arial"/>
                <w:b/>
              </w:rPr>
              <w:t>68</w:t>
            </w:r>
          </w:p>
        </w:tc>
        <w:tc>
          <w:tcPr>
            <w:tcW w:w="1438" w:type="dxa"/>
            <w:vAlign w:val="bottom"/>
          </w:tcPr>
          <w:p w14:paraId="148C0680" w14:textId="51A38843" w:rsidR="0089005D" w:rsidRPr="0089005D" w:rsidRDefault="0089005D" w:rsidP="0089005D">
            <w:pPr>
              <w:jc w:val="right"/>
              <w:rPr>
                <w:rFonts w:ascii="Arial" w:hAnsi="Arial" w:cs="Arial"/>
              </w:rPr>
            </w:pPr>
            <w:r w:rsidRPr="005D6FAA">
              <w:rPr>
                <w:rFonts w:ascii="Arial" w:hAnsi="Arial" w:cs="Arial"/>
              </w:rPr>
              <w:t>641</w:t>
            </w:r>
          </w:p>
        </w:tc>
      </w:tr>
      <w:tr w:rsidR="0089005D" w:rsidRPr="00A845B7" w14:paraId="73C9557F" w14:textId="77777777" w:rsidTr="0018703F">
        <w:trPr>
          <w:trHeight w:val="270"/>
        </w:trPr>
        <w:tc>
          <w:tcPr>
            <w:tcW w:w="6944" w:type="dxa"/>
            <w:gridSpan w:val="2"/>
            <w:tcBorders>
              <w:bottom w:val="single" w:sz="4" w:space="0" w:color="auto"/>
            </w:tcBorders>
            <w:shd w:val="clear" w:color="auto" w:fill="auto"/>
            <w:vAlign w:val="bottom"/>
          </w:tcPr>
          <w:p w14:paraId="2DDF17BE" w14:textId="77777777" w:rsidR="0089005D" w:rsidRPr="00A845B7" w:rsidRDefault="0089005D" w:rsidP="0089005D">
            <w:pPr>
              <w:rPr>
                <w:rFonts w:ascii="Arial" w:hAnsi="Arial" w:cs="Arial"/>
              </w:rPr>
            </w:pPr>
            <w:r w:rsidRPr="00A845B7">
              <w:rPr>
                <w:rFonts w:ascii="Arial" w:hAnsi="Arial" w:cs="Arial"/>
              </w:rPr>
              <w:t>Other movement including foreign exchange</w:t>
            </w:r>
          </w:p>
        </w:tc>
        <w:tc>
          <w:tcPr>
            <w:tcW w:w="1259" w:type="dxa"/>
            <w:tcBorders>
              <w:bottom w:val="single" w:sz="4" w:space="0" w:color="auto"/>
            </w:tcBorders>
            <w:vAlign w:val="bottom"/>
          </w:tcPr>
          <w:p w14:paraId="629EA8FE" w14:textId="039D10B3" w:rsidR="0089005D" w:rsidRPr="00C2187E" w:rsidRDefault="00750E65" w:rsidP="0089005D">
            <w:pPr>
              <w:jc w:val="right"/>
              <w:rPr>
                <w:rFonts w:ascii="Arial" w:hAnsi="Arial" w:cs="Arial"/>
                <w:b/>
              </w:rPr>
            </w:pPr>
            <w:r>
              <w:rPr>
                <w:rFonts w:ascii="Arial" w:hAnsi="Arial" w:cs="Arial"/>
                <w:b/>
              </w:rPr>
              <w:t>(1)</w:t>
            </w:r>
          </w:p>
        </w:tc>
        <w:tc>
          <w:tcPr>
            <w:tcW w:w="1438" w:type="dxa"/>
            <w:tcBorders>
              <w:bottom w:val="single" w:sz="4" w:space="0" w:color="auto"/>
            </w:tcBorders>
            <w:vAlign w:val="bottom"/>
          </w:tcPr>
          <w:p w14:paraId="7BC5F15C" w14:textId="09AF5CD1" w:rsidR="0089005D" w:rsidRPr="0089005D" w:rsidRDefault="0089005D" w:rsidP="0089005D">
            <w:pPr>
              <w:jc w:val="right"/>
              <w:rPr>
                <w:rFonts w:ascii="Arial" w:hAnsi="Arial" w:cs="Arial"/>
              </w:rPr>
            </w:pPr>
            <w:r w:rsidRPr="005D6FAA">
              <w:rPr>
                <w:rFonts w:ascii="Arial" w:hAnsi="Arial" w:cs="Arial"/>
              </w:rPr>
              <w:t>12</w:t>
            </w:r>
          </w:p>
        </w:tc>
      </w:tr>
      <w:tr w:rsidR="0089005D" w:rsidRPr="00A845B7" w14:paraId="586832AD" w14:textId="77777777" w:rsidTr="0018703F">
        <w:trPr>
          <w:trHeight w:val="270"/>
        </w:trPr>
        <w:tc>
          <w:tcPr>
            <w:tcW w:w="6944" w:type="dxa"/>
            <w:gridSpan w:val="2"/>
            <w:tcBorders>
              <w:top w:val="single" w:sz="4" w:space="0" w:color="auto"/>
              <w:bottom w:val="single" w:sz="4" w:space="0" w:color="auto"/>
            </w:tcBorders>
            <w:shd w:val="clear" w:color="auto" w:fill="auto"/>
            <w:vAlign w:val="bottom"/>
          </w:tcPr>
          <w:p w14:paraId="0DE1EBBD" w14:textId="77777777" w:rsidR="0089005D" w:rsidRPr="00A845B7" w:rsidRDefault="0089005D" w:rsidP="0089005D">
            <w:pPr>
              <w:rPr>
                <w:rFonts w:ascii="Arial" w:hAnsi="Arial" w:cs="Arial"/>
                <w:b/>
              </w:rPr>
            </w:pPr>
            <w:r w:rsidRPr="00A845B7">
              <w:rPr>
                <w:rFonts w:ascii="Arial" w:hAnsi="Arial" w:cs="Arial"/>
                <w:b/>
              </w:rPr>
              <w:t>Closing net cash</w:t>
            </w:r>
          </w:p>
        </w:tc>
        <w:tc>
          <w:tcPr>
            <w:tcW w:w="1259" w:type="dxa"/>
            <w:tcBorders>
              <w:top w:val="single" w:sz="4" w:space="0" w:color="auto"/>
              <w:bottom w:val="single" w:sz="4" w:space="0" w:color="auto"/>
            </w:tcBorders>
            <w:vAlign w:val="bottom"/>
          </w:tcPr>
          <w:p w14:paraId="2F1D7C37" w14:textId="2E389419" w:rsidR="0089005D" w:rsidRPr="00C2187E" w:rsidRDefault="00942468" w:rsidP="0089005D">
            <w:pPr>
              <w:jc w:val="right"/>
              <w:rPr>
                <w:rFonts w:ascii="Arial" w:hAnsi="Arial" w:cs="Arial"/>
                <w:b/>
              </w:rPr>
            </w:pPr>
            <w:r w:rsidRPr="00C2187E">
              <w:rPr>
                <w:rFonts w:ascii="Arial" w:hAnsi="Arial" w:cs="Arial"/>
                <w:b/>
              </w:rPr>
              <w:t>48</w:t>
            </w:r>
          </w:p>
        </w:tc>
        <w:tc>
          <w:tcPr>
            <w:tcW w:w="1438" w:type="dxa"/>
            <w:tcBorders>
              <w:top w:val="single" w:sz="4" w:space="0" w:color="auto"/>
              <w:bottom w:val="single" w:sz="4" w:space="0" w:color="auto"/>
            </w:tcBorders>
            <w:vAlign w:val="bottom"/>
          </w:tcPr>
          <w:p w14:paraId="1933198F" w14:textId="278875AD" w:rsidR="0089005D" w:rsidRPr="0089005D" w:rsidRDefault="0089005D" w:rsidP="0089005D">
            <w:pPr>
              <w:jc w:val="right"/>
              <w:rPr>
                <w:rFonts w:ascii="Arial" w:hAnsi="Arial" w:cs="Arial"/>
              </w:rPr>
            </w:pPr>
            <w:r w:rsidRPr="005D6FAA">
              <w:rPr>
                <w:rFonts w:ascii="Arial" w:hAnsi="Arial" w:cs="Arial"/>
              </w:rPr>
              <w:t>68</w:t>
            </w:r>
          </w:p>
        </w:tc>
      </w:tr>
    </w:tbl>
    <w:p w14:paraId="306D0BBD" w14:textId="77777777" w:rsidR="00997637" w:rsidRPr="00A845B7" w:rsidRDefault="00997637" w:rsidP="00997637">
      <w:pPr>
        <w:jc w:val="left"/>
        <w:rPr>
          <w:rFonts w:ascii="Arial" w:hAnsi="Arial" w:cs="Arial"/>
          <w:highlight w:val="yellow"/>
          <w:vertAlign w:val="superscript"/>
        </w:rPr>
      </w:pPr>
    </w:p>
    <w:p w14:paraId="626812EC" w14:textId="77777777" w:rsidR="00997637" w:rsidRPr="00925EFB" w:rsidRDefault="00997637" w:rsidP="00997637">
      <w:pPr>
        <w:jc w:val="left"/>
        <w:rPr>
          <w:rFonts w:ascii="Arial" w:hAnsi="Arial" w:cs="Arial"/>
          <w:sz w:val="18"/>
          <w:szCs w:val="18"/>
        </w:rPr>
      </w:pPr>
      <w:r w:rsidRPr="006F78D1">
        <w:rPr>
          <w:rFonts w:ascii="Arial" w:hAnsi="Arial" w:cs="Arial"/>
          <w:vertAlign w:val="superscript"/>
        </w:rPr>
        <w:t>(1)</w:t>
      </w:r>
      <w:r w:rsidRPr="00925EFB">
        <w:rPr>
          <w:rFonts w:ascii="Arial" w:hAnsi="Arial" w:cs="Arial"/>
          <w:sz w:val="18"/>
          <w:szCs w:val="18"/>
        </w:rPr>
        <w:t xml:space="preserve"> Other non-cash items include depreciation and amortisation, share-based compensation charge, share of post-tax results of JVs and associates, pension operating cost and profit/loss on non-property disposals</w:t>
      </w:r>
    </w:p>
    <w:p w14:paraId="2C04883D" w14:textId="0A1AD124" w:rsidR="00997637" w:rsidRPr="00925EFB" w:rsidRDefault="00232507" w:rsidP="00997637">
      <w:pPr>
        <w:ind w:right="-368"/>
        <w:rPr>
          <w:rFonts w:ascii="Arial" w:hAnsi="Arial" w:cs="Arial"/>
          <w:b/>
          <w:sz w:val="24"/>
          <w:szCs w:val="24"/>
        </w:rPr>
      </w:pPr>
      <w:r w:rsidRPr="006F78D1" w:rsidDel="00232507">
        <w:rPr>
          <w:rFonts w:ascii="Arial" w:hAnsi="Arial" w:cs="Arial"/>
          <w:vertAlign w:val="superscript"/>
        </w:rPr>
        <w:t xml:space="preserve"> </w:t>
      </w:r>
      <w:r w:rsidR="00997637" w:rsidRPr="007715AB">
        <w:rPr>
          <w:rFonts w:ascii="Arial" w:hAnsi="Arial" w:cs="Arial"/>
          <w:vertAlign w:val="superscript"/>
        </w:rPr>
        <w:t>(</w:t>
      </w:r>
      <w:r w:rsidRPr="007715AB">
        <w:rPr>
          <w:rFonts w:ascii="Arial" w:hAnsi="Arial" w:cs="Arial"/>
          <w:vertAlign w:val="superscript"/>
        </w:rPr>
        <w:t>2</w:t>
      </w:r>
      <w:r w:rsidR="00997637" w:rsidRPr="007715AB">
        <w:rPr>
          <w:rFonts w:ascii="Arial" w:hAnsi="Arial" w:cs="Arial"/>
          <w:vertAlign w:val="superscript"/>
        </w:rPr>
        <w:t>)</w:t>
      </w:r>
      <w:r w:rsidR="00997637" w:rsidRPr="007715AB">
        <w:rPr>
          <w:rFonts w:ascii="Arial" w:hAnsi="Arial" w:cs="Arial"/>
          <w:sz w:val="18"/>
          <w:szCs w:val="18"/>
        </w:rPr>
        <w:t xml:space="preserve"> Includes exceptional</w:t>
      </w:r>
      <w:r w:rsidR="00F14597" w:rsidRPr="007715AB">
        <w:rPr>
          <w:rFonts w:ascii="Arial" w:hAnsi="Arial" w:cs="Arial"/>
          <w:sz w:val="18"/>
          <w:szCs w:val="18"/>
        </w:rPr>
        <w:t xml:space="preserve"> cash flow</w:t>
      </w:r>
      <w:r w:rsidR="00997637" w:rsidRPr="007715AB">
        <w:rPr>
          <w:rFonts w:ascii="Arial" w:hAnsi="Arial" w:cs="Arial"/>
          <w:sz w:val="18"/>
          <w:szCs w:val="18"/>
        </w:rPr>
        <w:t xml:space="preserve"> items, principally relating to B&amp;Q closures</w:t>
      </w:r>
      <w:r w:rsidR="00057857" w:rsidRPr="007715AB">
        <w:rPr>
          <w:rFonts w:ascii="Arial" w:hAnsi="Arial" w:cs="Arial"/>
          <w:sz w:val="18"/>
          <w:szCs w:val="18"/>
        </w:rPr>
        <w:t xml:space="preserve"> and transformation costs</w:t>
      </w:r>
      <w:r w:rsidR="00997637" w:rsidRPr="003574DC" w:rsidDel="003574DC">
        <w:rPr>
          <w:rFonts w:ascii="Arial" w:hAnsi="Arial" w:cs="Arial"/>
          <w:sz w:val="18"/>
          <w:szCs w:val="18"/>
        </w:rPr>
        <w:t xml:space="preserve"> </w:t>
      </w:r>
    </w:p>
    <w:p w14:paraId="1E068EA0" w14:textId="77777777" w:rsidR="00F4631D" w:rsidRPr="00A03549" w:rsidRDefault="00F4631D" w:rsidP="00997637">
      <w:pPr>
        <w:ind w:right="-368"/>
        <w:rPr>
          <w:rFonts w:ascii="Arial" w:hAnsi="Arial" w:cs="Arial"/>
          <w:b/>
          <w:sz w:val="24"/>
          <w:szCs w:val="24"/>
          <w:highlight w:val="yellow"/>
        </w:rPr>
      </w:pPr>
    </w:p>
    <w:p w14:paraId="779D2F7C" w14:textId="61EDA19D" w:rsidR="0038098D" w:rsidRPr="00C2187E" w:rsidRDefault="0038098D" w:rsidP="0038098D">
      <w:pPr>
        <w:jc w:val="left"/>
        <w:rPr>
          <w:rFonts w:ascii="Arial" w:hAnsi="Arial" w:cs="Arial"/>
        </w:rPr>
      </w:pPr>
      <w:r w:rsidRPr="00FC41B5">
        <w:rPr>
          <w:rFonts w:ascii="Arial" w:hAnsi="Arial" w:cs="Arial"/>
        </w:rPr>
        <w:t xml:space="preserve">Net cash at the end of the period </w:t>
      </w:r>
      <w:r w:rsidRPr="00203EFD">
        <w:rPr>
          <w:rFonts w:ascii="Arial" w:hAnsi="Arial" w:cs="Arial"/>
        </w:rPr>
        <w:t>was £</w:t>
      </w:r>
      <w:r w:rsidR="00671789" w:rsidRPr="00203EFD">
        <w:rPr>
          <w:rFonts w:ascii="Arial" w:hAnsi="Arial" w:cs="Arial"/>
        </w:rPr>
        <w:t>48</w:t>
      </w:r>
      <w:r w:rsidRPr="00203EFD">
        <w:rPr>
          <w:rFonts w:ascii="Arial" w:hAnsi="Arial" w:cs="Arial"/>
        </w:rPr>
        <w:t xml:space="preserve"> million (201</w:t>
      </w:r>
      <w:r w:rsidR="009A61C6" w:rsidRPr="00203EFD">
        <w:rPr>
          <w:rFonts w:ascii="Arial" w:hAnsi="Arial" w:cs="Arial"/>
        </w:rPr>
        <w:t>7</w:t>
      </w:r>
      <w:r w:rsidRPr="00203EFD">
        <w:rPr>
          <w:rFonts w:ascii="Arial" w:hAnsi="Arial" w:cs="Arial"/>
        </w:rPr>
        <w:t>/1</w:t>
      </w:r>
      <w:r w:rsidR="009A61C6" w:rsidRPr="00203EFD">
        <w:rPr>
          <w:rFonts w:ascii="Arial" w:hAnsi="Arial" w:cs="Arial"/>
        </w:rPr>
        <w:t>8</w:t>
      </w:r>
      <w:r w:rsidRPr="00203EFD">
        <w:rPr>
          <w:rFonts w:ascii="Arial" w:hAnsi="Arial" w:cs="Arial"/>
        </w:rPr>
        <w:t>: £6</w:t>
      </w:r>
      <w:r w:rsidR="009A61C6" w:rsidRPr="00203EFD">
        <w:rPr>
          <w:rFonts w:ascii="Arial" w:hAnsi="Arial" w:cs="Arial"/>
        </w:rPr>
        <w:t>8</w:t>
      </w:r>
      <w:r w:rsidRPr="00203EFD" w:rsidDel="00F44930">
        <w:rPr>
          <w:rFonts w:ascii="Arial" w:hAnsi="Arial" w:cs="Arial"/>
        </w:rPr>
        <w:t xml:space="preserve"> </w:t>
      </w:r>
      <w:r w:rsidRPr="00203EFD">
        <w:rPr>
          <w:rFonts w:ascii="Arial" w:hAnsi="Arial" w:cs="Arial"/>
        </w:rPr>
        <w:t xml:space="preserve">million). </w:t>
      </w:r>
    </w:p>
    <w:p w14:paraId="7A992CC6" w14:textId="77777777" w:rsidR="0038098D" w:rsidRPr="00203EFD" w:rsidRDefault="0038098D" w:rsidP="000B7DFF">
      <w:pPr>
        <w:jc w:val="left"/>
        <w:rPr>
          <w:rFonts w:ascii="Arial" w:hAnsi="Arial" w:cs="Arial"/>
        </w:rPr>
      </w:pPr>
    </w:p>
    <w:p w14:paraId="0A5DA331" w14:textId="1244DBBE" w:rsidR="00EF5C03" w:rsidRDefault="000B7DFF" w:rsidP="000B7DFF">
      <w:pPr>
        <w:jc w:val="left"/>
        <w:rPr>
          <w:rFonts w:ascii="Arial" w:hAnsi="Arial" w:cs="Arial"/>
        </w:rPr>
      </w:pPr>
      <w:r w:rsidRPr="00203EFD">
        <w:rPr>
          <w:rFonts w:ascii="Arial" w:hAnsi="Arial" w:cs="Arial"/>
        </w:rPr>
        <w:t xml:space="preserve">Operating profit </w:t>
      </w:r>
      <w:r w:rsidR="00F12F4E">
        <w:rPr>
          <w:rFonts w:ascii="Arial" w:hAnsi="Arial" w:cs="Arial"/>
        </w:rPr>
        <w:t>before</w:t>
      </w:r>
      <w:r w:rsidR="00F12F4E" w:rsidRPr="00203EFD">
        <w:rPr>
          <w:rFonts w:ascii="Arial" w:hAnsi="Arial" w:cs="Arial"/>
        </w:rPr>
        <w:t xml:space="preserve"> </w:t>
      </w:r>
      <w:r w:rsidRPr="00203EFD">
        <w:rPr>
          <w:rFonts w:ascii="Arial" w:hAnsi="Arial" w:cs="Arial"/>
        </w:rPr>
        <w:t xml:space="preserve">exceptional items was </w:t>
      </w:r>
      <w:r w:rsidRPr="0035009E">
        <w:rPr>
          <w:rFonts w:ascii="Arial" w:hAnsi="Arial" w:cs="Arial"/>
        </w:rPr>
        <w:t>£</w:t>
      </w:r>
      <w:r w:rsidR="00F12F4E">
        <w:rPr>
          <w:rFonts w:ascii="Arial" w:hAnsi="Arial" w:cs="Arial"/>
        </w:rPr>
        <w:t>105</w:t>
      </w:r>
      <w:r w:rsidR="00942468" w:rsidRPr="00203EFD">
        <w:rPr>
          <w:rFonts w:ascii="Arial" w:hAnsi="Arial" w:cs="Arial"/>
        </w:rPr>
        <w:t xml:space="preserve"> </w:t>
      </w:r>
      <w:r w:rsidRPr="00203EFD">
        <w:rPr>
          <w:rFonts w:ascii="Arial" w:hAnsi="Arial" w:cs="Arial"/>
        </w:rPr>
        <w:t xml:space="preserve">million lower than last year </w:t>
      </w:r>
      <w:r w:rsidR="00F4631D" w:rsidRPr="00203EFD">
        <w:rPr>
          <w:rFonts w:ascii="Arial" w:hAnsi="Arial" w:cs="Arial"/>
        </w:rPr>
        <w:t>reflecting</w:t>
      </w:r>
      <w:r w:rsidRPr="00203EFD">
        <w:rPr>
          <w:rFonts w:ascii="Arial" w:hAnsi="Arial" w:cs="Arial"/>
        </w:rPr>
        <w:t xml:space="preserve"> higher transformation costs</w:t>
      </w:r>
      <w:r w:rsidR="009A61C6" w:rsidRPr="00203EFD">
        <w:rPr>
          <w:rFonts w:ascii="Arial" w:hAnsi="Arial" w:cs="Arial"/>
        </w:rPr>
        <w:t xml:space="preserve"> and </w:t>
      </w:r>
      <w:r w:rsidR="00CE5A7A" w:rsidRPr="00203EFD">
        <w:rPr>
          <w:rFonts w:ascii="Arial" w:hAnsi="Arial" w:cs="Arial"/>
        </w:rPr>
        <w:t xml:space="preserve">lower profits in </w:t>
      </w:r>
      <w:r w:rsidR="009A61C6" w:rsidRPr="00203EFD">
        <w:rPr>
          <w:rFonts w:ascii="Arial" w:hAnsi="Arial" w:cs="Arial"/>
        </w:rPr>
        <w:t>France</w:t>
      </w:r>
      <w:r w:rsidRPr="00203EFD">
        <w:rPr>
          <w:rFonts w:ascii="Arial" w:hAnsi="Arial" w:cs="Arial"/>
        </w:rPr>
        <w:t>.</w:t>
      </w:r>
      <w:r w:rsidR="00EF5C03">
        <w:rPr>
          <w:rFonts w:ascii="Arial" w:hAnsi="Arial" w:cs="Arial"/>
        </w:rPr>
        <w:t xml:space="preserve"> </w:t>
      </w:r>
    </w:p>
    <w:p w14:paraId="4F69F21B" w14:textId="77777777" w:rsidR="00EF5C03" w:rsidRDefault="00EF5C03" w:rsidP="000B7DFF">
      <w:pPr>
        <w:jc w:val="left"/>
        <w:rPr>
          <w:rFonts w:ascii="Arial" w:hAnsi="Arial" w:cs="Arial"/>
        </w:rPr>
      </w:pPr>
    </w:p>
    <w:p w14:paraId="08D89C26" w14:textId="040EBA56" w:rsidR="00EF5C03" w:rsidRDefault="00E26D63">
      <w:pPr>
        <w:jc w:val="left"/>
        <w:rPr>
          <w:rFonts w:ascii="Arial" w:hAnsi="Arial" w:cs="Arial"/>
        </w:rPr>
      </w:pPr>
      <w:bookmarkStart w:id="44" w:name="_Hlk508799152"/>
      <w:r w:rsidRPr="00E26D63">
        <w:rPr>
          <w:rFonts w:ascii="Arial" w:hAnsi="Arial" w:cs="Arial"/>
        </w:rPr>
        <w:t>Free cash flow of £</w:t>
      </w:r>
      <w:r>
        <w:rPr>
          <w:rFonts w:ascii="Arial" w:hAnsi="Arial" w:cs="Arial"/>
        </w:rPr>
        <w:t>382</w:t>
      </w:r>
      <w:r w:rsidRPr="00E26D63">
        <w:rPr>
          <w:rFonts w:ascii="Arial" w:hAnsi="Arial" w:cs="Arial"/>
        </w:rPr>
        <w:t xml:space="preserve"> million was generated in the year, an </w:t>
      </w:r>
      <w:r w:rsidRPr="00813CDE">
        <w:rPr>
          <w:rFonts w:ascii="Arial" w:hAnsi="Arial" w:cs="Arial"/>
        </w:rPr>
        <w:t>increase of £376 million</w:t>
      </w:r>
      <w:r w:rsidR="00813CDE" w:rsidRPr="00813CDE">
        <w:rPr>
          <w:rFonts w:ascii="Arial" w:hAnsi="Arial" w:cs="Arial"/>
        </w:rPr>
        <w:t xml:space="preserve"> </w:t>
      </w:r>
      <w:r w:rsidRPr="00813CDE">
        <w:rPr>
          <w:rFonts w:ascii="Arial" w:hAnsi="Arial" w:cs="Arial"/>
        </w:rPr>
        <w:t>against the prior year due primarily to more favourable movements in working capital</w:t>
      </w:r>
      <w:r w:rsidR="009E5648">
        <w:rPr>
          <w:rFonts w:ascii="Arial" w:hAnsi="Arial" w:cs="Arial"/>
        </w:rPr>
        <w:t xml:space="preserve">. During the year the </w:t>
      </w:r>
      <w:r w:rsidRPr="00C2187E">
        <w:rPr>
          <w:rFonts w:ascii="Arial" w:hAnsi="Arial" w:cs="Arial"/>
        </w:rPr>
        <w:t>£180 million of mitigation stock</w:t>
      </w:r>
      <w:r w:rsidR="00813CDE">
        <w:rPr>
          <w:rFonts w:ascii="Arial" w:hAnsi="Arial" w:cs="Arial"/>
        </w:rPr>
        <w:t xml:space="preserve"> </w:t>
      </w:r>
      <w:r w:rsidR="009E5648">
        <w:rPr>
          <w:rFonts w:ascii="Arial" w:hAnsi="Arial" w:cs="Arial"/>
        </w:rPr>
        <w:t xml:space="preserve">held as at </w:t>
      </w:r>
      <w:r w:rsidR="00813CDE">
        <w:rPr>
          <w:rFonts w:ascii="Arial" w:hAnsi="Arial" w:cs="Arial"/>
        </w:rPr>
        <w:t>FY 17/18</w:t>
      </w:r>
      <w:r w:rsidR="009E5648">
        <w:rPr>
          <w:rFonts w:ascii="Arial" w:hAnsi="Arial" w:cs="Arial"/>
        </w:rPr>
        <w:t xml:space="preserve"> was sold through</w:t>
      </w:r>
      <w:r w:rsidRPr="00813CDE">
        <w:rPr>
          <w:rFonts w:ascii="Arial" w:hAnsi="Arial" w:cs="Arial"/>
        </w:rPr>
        <w:t xml:space="preserve">. </w:t>
      </w:r>
      <w:r w:rsidR="00ED28D9">
        <w:rPr>
          <w:rFonts w:ascii="Arial" w:hAnsi="Arial" w:cs="Arial"/>
        </w:rPr>
        <w:t xml:space="preserve"> </w:t>
      </w:r>
    </w:p>
    <w:bookmarkEnd w:id="44"/>
    <w:p w14:paraId="1348765B" w14:textId="77777777" w:rsidR="000B7DFF" w:rsidRDefault="000B7DFF" w:rsidP="000B7DFF">
      <w:pPr>
        <w:jc w:val="left"/>
        <w:rPr>
          <w:rFonts w:ascii="Arial" w:hAnsi="Arial" w:cs="Arial"/>
        </w:rPr>
      </w:pPr>
    </w:p>
    <w:p w14:paraId="26382A31" w14:textId="588FF9E0" w:rsidR="000B7DFF" w:rsidRPr="0018703F" w:rsidRDefault="000B7DFF" w:rsidP="000B7DFF">
      <w:pPr>
        <w:jc w:val="left"/>
        <w:rPr>
          <w:rFonts w:ascii="Arial" w:hAnsi="Arial" w:cs="Arial"/>
          <w:highlight w:val="yellow"/>
        </w:rPr>
      </w:pPr>
      <w:r w:rsidRPr="00FC41B5">
        <w:rPr>
          <w:rFonts w:ascii="Arial" w:hAnsi="Arial" w:cs="Arial"/>
        </w:rPr>
        <w:t>Gross capital expenditure for the year was £</w:t>
      </w:r>
      <w:r w:rsidR="00853CCF">
        <w:rPr>
          <w:rFonts w:ascii="Arial" w:hAnsi="Arial" w:cs="Arial"/>
        </w:rPr>
        <w:t>339</w:t>
      </w:r>
      <w:r w:rsidR="00CE5A7A" w:rsidRPr="00FC41B5">
        <w:rPr>
          <w:rFonts w:ascii="Arial" w:hAnsi="Arial" w:cs="Arial"/>
        </w:rPr>
        <w:t xml:space="preserve"> </w:t>
      </w:r>
      <w:r w:rsidRPr="00FC41B5">
        <w:rPr>
          <w:rFonts w:ascii="Arial" w:hAnsi="Arial" w:cs="Arial"/>
        </w:rPr>
        <w:t>million (201</w:t>
      </w:r>
      <w:r w:rsidR="009A61C6">
        <w:rPr>
          <w:rFonts w:ascii="Arial" w:hAnsi="Arial" w:cs="Arial"/>
        </w:rPr>
        <w:t>7</w:t>
      </w:r>
      <w:r w:rsidRPr="00FC41B5">
        <w:rPr>
          <w:rFonts w:ascii="Arial" w:hAnsi="Arial" w:cs="Arial"/>
        </w:rPr>
        <w:t>/1</w:t>
      </w:r>
      <w:r w:rsidR="009A61C6">
        <w:rPr>
          <w:rFonts w:ascii="Arial" w:hAnsi="Arial" w:cs="Arial"/>
        </w:rPr>
        <w:t>8</w:t>
      </w:r>
      <w:r w:rsidRPr="00FC41B5">
        <w:rPr>
          <w:rFonts w:ascii="Arial" w:hAnsi="Arial" w:cs="Arial"/>
        </w:rPr>
        <w:t>: £</w:t>
      </w:r>
      <w:r w:rsidR="009A61C6">
        <w:rPr>
          <w:rFonts w:ascii="Arial" w:hAnsi="Arial" w:cs="Arial"/>
        </w:rPr>
        <w:t>368</w:t>
      </w:r>
      <w:r w:rsidR="009A61C6" w:rsidRPr="00FC41B5">
        <w:rPr>
          <w:rFonts w:ascii="Arial" w:hAnsi="Arial" w:cs="Arial"/>
        </w:rPr>
        <w:t xml:space="preserve"> </w:t>
      </w:r>
      <w:r w:rsidRPr="00FC41B5">
        <w:rPr>
          <w:rFonts w:ascii="Arial" w:hAnsi="Arial" w:cs="Arial"/>
        </w:rPr>
        <w:t xml:space="preserve">million). </w:t>
      </w:r>
      <w:r w:rsidRPr="002146A2">
        <w:rPr>
          <w:rFonts w:ascii="Arial" w:hAnsi="Arial" w:cs="Arial"/>
        </w:rPr>
        <w:t xml:space="preserve">Of </w:t>
      </w:r>
      <w:r w:rsidRPr="00942468">
        <w:rPr>
          <w:rFonts w:ascii="Arial" w:hAnsi="Arial" w:cs="Arial"/>
        </w:rPr>
        <w:t xml:space="preserve">this </w:t>
      </w:r>
      <w:r w:rsidRPr="00C2187E">
        <w:rPr>
          <w:rFonts w:ascii="Arial" w:hAnsi="Arial" w:cs="Arial"/>
        </w:rPr>
        <w:t>3</w:t>
      </w:r>
      <w:r w:rsidR="00127B05">
        <w:rPr>
          <w:rFonts w:ascii="Arial" w:hAnsi="Arial" w:cs="Arial"/>
        </w:rPr>
        <w:t>0</w:t>
      </w:r>
      <w:r w:rsidRPr="00942468">
        <w:rPr>
          <w:rFonts w:ascii="Arial" w:hAnsi="Arial" w:cs="Arial"/>
        </w:rPr>
        <w:t xml:space="preserve">% </w:t>
      </w:r>
      <w:r w:rsidRPr="002146A2">
        <w:rPr>
          <w:rFonts w:ascii="Arial" w:hAnsi="Arial" w:cs="Arial"/>
        </w:rPr>
        <w:t xml:space="preserve">was invested on refreshing and maintaining existing stores, </w:t>
      </w:r>
      <w:r w:rsidR="00853CCF">
        <w:rPr>
          <w:rFonts w:ascii="Arial" w:hAnsi="Arial" w:cs="Arial"/>
        </w:rPr>
        <w:t>19</w:t>
      </w:r>
      <w:r w:rsidRPr="002146A2">
        <w:rPr>
          <w:rFonts w:ascii="Arial" w:hAnsi="Arial" w:cs="Arial"/>
        </w:rPr>
        <w:t>% on new stores</w:t>
      </w:r>
      <w:r w:rsidR="00127B05">
        <w:rPr>
          <w:rFonts w:ascii="Arial" w:hAnsi="Arial" w:cs="Arial"/>
        </w:rPr>
        <w:t xml:space="preserve"> (excluding Screwfix)</w:t>
      </w:r>
      <w:r w:rsidRPr="002146A2">
        <w:rPr>
          <w:rFonts w:ascii="Arial" w:hAnsi="Arial" w:cs="Arial"/>
        </w:rPr>
        <w:t xml:space="preserve">, </w:t>
      </w:r>
      <w:r w:rsidR="00853CCF">
        <w:rPr>
          <w:rFonts w:ascii="Arial" w:hAnsi="Arial" w:cs="Arial"/>
        </w:rPr>
        <w:t>2</w:t>
      </w:r>
      <w:r w:rsidR="00127B05">
        <w:rPr>
          <w:rFonts w:ascii="Arial" w:hAnsi="Arial" w:cs="Arial"/>
        </w:rPr>
        <w:t>9</w:t>
      </w:r>
      <w:r w:rsidRPr="002146A2">
        <w:rPr>
          <w:rFonts w:ascii="Arial" w:hAnsi="Arial" w:cs="Arial"/>
        </w:rPr>
        <w:t xml:space="preserve">% on IT, </w:t>
      </w:r>
      <w:r w:rsidR="00853CCF">
        <w:rPr>
          <w:rFonts w:ascii="Arial" w:hAnsi="Arial" w:cs="Arial"/>
        </w:rPr>
        <w:t>12</w:t>
      </w:r>
      <w:r w:rsidRPr="00AD4DA7">
        <w:rPr>
          <w:rFonts w:ascii="Arial" w:hAnsi="Arial" w:cs="Arial"/>
        </w:rPr>
        <w:t>% on the transformation</w:t>
      </w:r>
      <w:r w:rsidRPr="002146A2">
        <w:rPr>
          <w:rFonts w:ascii="Arial" w:hAnsi="Arial" w:cs="Arial"/>
        </w:rPr>
        <w:t xml:space="preserve"> and </w:t>
      </w:r>
      <w:r w:rsidR="00127B05">
        <w:rPr>
          <w:rFonts w:ascii="Arial" w:hAnsi="Arial" w:cs="Arial"/>
        </w:rPr>
        <w:t>10</w:t>
      </w:r>
      <w:r w:rsidRPr="002146A2">
        <w:rPr>
          <w:rFonts w:ascii="Arial" w:hAnsi="Arial" w:cs="Arial"/>
        </w:rPr>
        <w:t xml:space="preserve">% on other </w:t>
      </w:r>
      <w:r w:rsidR="00AD4DA7">
        <w:rPr>
          <w:rFonts w:ascii="Arial" w:hAnsi="Arial" w:cs="Arial"/>
        </w:rPr>
        <w:t xml:space="preserve">areas </w:t>
      </w:r>
      <w:r w:rsidRPr="002146A2">
        <w:rPr>
          <w:rFonts w:ascii="Arial" w:hAnsi="Arial" w:cs="Arial"/>
        </w:rPr>
        <w:t>includ</w:t>
      </w:r>
      <w:r w:rsidR="00AD4DA7">
        <w:rPr>
          <w:rFonts w:ascii="Arial" w:hAnsi="Arial" w:cs="Arial"/>
        </w:rPr>
        <w:t>ing</w:t>
      </w:r>
      <w:r w:rsidRPr="002146A2">
        <w:rPr>
          <w:rFonts w:ascii="Arial" w:hAnsi="Arial" w:cs="Arial"/>
        </w:rPr>
        <w:t xml:space="preserve"> </w:t>
      </w:r>
      <w:r w:rsidR="00127B05">
        <w:rPr>
          <w:rFonts w:ascii="Arial" w:hAnsi="Arial" w:cs="Arial"/>
        </w:rPr>
        <w:t xml:space="preserve">Screwfix expansion and </w:t>
      </w:r>
      <w:r w:rsidRPr="002146A2">
        <w:rPr>
          <w:rFonts w:ascii="Arial" w:hAnsi="Arial" w:cs="Arial"/>
        </w:rPr>
        <w:t>supply chain</w:t>
      </w:r>
      <w:r w:rsidR="00AD4DA7">
        <w:rPr>
          <w:rFonts w:ascii="Arial" w:hAnsi="Arial" w:cs="Arial"/>
        </w:rPr>
        <w:t xml:space="preserve"> investment</w:t>
      </w:r>
      <w:r w:rsidRPr="002146A2">
        <w:rPr>
          <w:rFonts w:ascii="Arial" w:hAnsi="Arial" w:cs="Arial"/>
        </w:rPr>
        <w:t xml:space="preserve">. </w:t>
      </w:r>
    </w:p>
    <w:p w14:paraId="27CFFAD0" w14:textId="77777777" w:rsidR="00A4154E" w:rsidRDefault="00A4154E" w:rsidP="00997637">
      <w:pPr>
        <w:jc w:val="left"/>
        <w:rPr>
          <w:rFonts w:ascii="Arial" w:hAnsi="Arial" w:cs="Arial"/>
        </w:rPr>
      </w:pPr>
    </w:p>
    <w:p w14:paraId="34DD9853" w14:textId="2671F652" w:rsidR="00997637" w:rsidRDefault="000B7DFF" w:rsidP="00997637">
      <w:pPr>
        <w:jc w:val="left"/>
        <w:rPr>
          <w:rFonts w:ascii="Arial" w:hAnsi="Arial" w:cs="Arial"/>
          <w:b/>
          <w:sz w:val="24"/>
          <w:szCs w:val="24"/>
        </w:rPr>
      </w:pPr>
      <w:r>
        <w:rPr>
          <w:rFonts w:ascii="Arial" w:hAnsi="Arial" w:cs="Arial"/>
        </w:rPr>
        <w:t>This resulted in f</w:t>
      </w:r>
      <w:r w:rsidR="00997637" w:rsidRPr="00D978CF">
        <w:rPr>
          <w:rFonts w:ascii="Arial" w:hAnsi="Arial" w:cs="Arial"/>
        </w:rPr>
        <w:t>ree cash flow of £</w:t>
      </w:r>
      <w:r w:rsidR="00942468">
        <w:rPr>
          <w:rFonts w:ascii="Arial" w:hAnsi="Arial" w:cs="Arial"/>
        </w:rPr>
        <w:t>38</w:t>
      </w:r>
      <w:r w:rsidR="00203EFD">
        <w:rPr>
          <w:rFonts w:ascii="Arial" w:hAnsi="Arial" w:cs="Arial"/>
        </w:rPr>
        <w:t>2</w:t>
      </w:r>
      <w:r w:rsidR="00942468" w:rsidRPr="00D978CF" w:rsidDel="00F44930">
        <w:rPr>
          <w:rFonts w:ascii="Arial" w:hAnsi="Arial" w:cs="Arial"/>
        </w:rPr>
        <w:t xml:space="preserve"> </w:t>
      </w:r>
      <w:r w:rsidR="00997637" w:rsidRPr="00D978CF">
        <w:rPr>
          <w:rFonts w:ascii="Arial" w:hAnsi="Arial" w:cs="Arial"/>
        </w:rPr>
        <w:t>million.</w:t>
      </w:r>
      <w:r>
        <w:rPr>
          <w:rFonts w:ascii="Arial" w:hAnsi="Arial" w:cs="Arial"/>
        </w:rPr>
        <w:t xml:space="preserve"> </w:t>
      </w:r>
      <w:r w:rsidR="00997637" w:rsidRPr="002146A2">
        <w:rPr>
          <w:rFonts w:ascii="Arial" w:hAnsi="Arial" w:cs="Arial"/>
        </w:rPr>
        <w:t>£</w:t>
      </w:r>
      <w:r w:rsidR="00942468">
        <w:rPr>
          <w:rFonts w:ascii="Arial" w:hAnsi="Arial" w:cs="Arial"/>
        </w:rPr>
        <w:t>3</w:t>
      </w:r>
      <w:r w:rsidR="00750E65">
        <w:rPr>
          <w:rFonts w:ascii="Arial" w:hAnsi="Arial" w:cs="Arial"/>
        </w:rPr>
        <w:t>71</w:t>
      </w:r>
      <w:r w:rsidR="00942468" w:rsidRPr="002146A2">
        <w:rPr>
          <w:rFonts w:ascii="Arial" w:hAnsi="Arial" w:cs="Arial"/>
        </w:rPr>
        <w:t xml:space="preserve"> </w:t>
      </w:r>
      <w:r w:rsidR="00997637" w:rsidRPr="002146A2">
        <w:rPr>
          <w:rFonts w:ascii="Arial" w:hAnsi="Arial" w:cs="Arial"/>
        </w:rPr>
        <w:t>million was returned to shareholders in the form of the ordinary dividend and share buybacks</w:t>
      </w:r>
      <w:r w:rsidR="00942468">
        <w:rPr>
          <w:rFonts w:ascii="Arial" w:hAnsi="Arial" w:cs="Arial"/>
        </w:rPr>
        <w:t>.</w:t>
      </w:r>
      <w:r w:rsidR="00997637" w:rsidRPr="00686C6E">
        <w:rPr>
          <w:rFonts w:ascii="Arial" w:hAnsi="Arial" w:cs="Arial"/>
        </w:rPr>
        <w:t xml:space="preserve"> </w:t>
      </w:r>
    </w:p>
    <w:p w14:paraId="34296CCA" w14:textId="77777777" w:rsidR="00997637" w:rsidRPr="00D978CF" w:rsidRDefault="00997637" w:rsidP="00D978CF">
      <w:pPr>
        <w:jc w:val="left"/>
        <w:rPr>
          <w:rFonts w:ascii="Arial" w:hAnsi="Arial" w:cs="Arial"/>
          <w:sz w:val="24"/>
          <w:szCs w:val="24"/>
        </w:rPr>
      </w:pPr>
    </w:p>
    <w:p w14:paraId="64DF32B2" w14:textId="77777777" w:rsidR="00DF0F4E" w:rsidRPr="00A845B7" w:rsidRDefault="00DF0F4E" w:rsidP="00DF0F4E">
      <w:pPr>
        <w:jc w:val="left"/>
        <w:rPr>
          <w:rFonts w:ascii="Arial" w:hAnsi="Arial" w:cs="Arial"/>
          <w:b/>
        </w:rPr>
      </w:pPr>
      <w:bookmarkStart w:id="45" w:name="_Hlk506474968"/>
      <w:r w:rsidRPr="00A845B7">
        <w:rPr>
          <w:rFonts w:ascii="Arial" w:hAnsi="Arial" w:cs="Arial"/>
          <w:b/>
        </w:rPr>
        <w:t>Management of balance sheet and liquidity risk and financing</w:t>
      </w:r>
    </w:p>
    <w:p w14:paraId="61A8C5A2" w14:textId="77777777" w:rsidR="00DF0F4E" w:rsidRPr="00A03549" w:rsidRDefault="00DF0F4E" w:rsidP="00DF0F4E">
      <w:pPr>
        <w:jc w:val="left"/>
        <w:rPr>
          <w:rFonts w:ascii="Arial" w:hAnsi="Arial" w:cs="Arial"/>
          <w:b/>
          <w:sz w:val="24"/>
        </w:rPr>
      </w:pPr>
    </w:p>
    <w:p w14:paraId="22B2B211" w14:textId="3FDF7B5C" w:rsidR="00DF0F4E" w:rsidRPr="00686C6E" w:rsidRDefault="00DF0F4E" w:rsidP="00DF0F4E">
      <w:pPr>
        <w:jc w:val="left"/>
        <w:rPr>
          <w:rFonts w:ascii="Arial" w:hAnsi="Arial" w:cs="Arial"/>
        </w:rPr>
      </w:pPr>
      <w:bookmarkStart w:id="46" w:name="_Hlk2591236"/>
      <w:r w:rsidRPr="00FC41B5">
        <w:rPr>
          <w:rFonts w:ascii="Arial" w:hAnsi="Arial" w:cs="Arial"/>
        </w:rPr>
        <w:t>The Group finished the year with £</w:t>
      </w:r>
      <w:r>
        <w:rPr>
          <w:rFonts w:ascii="Arial" w:hAnsi="Arial" w:cs="Arial"/>
        </w:rPr>
        <w:t>48</w:t>
      </w:r>
      <w:r w:rsidRPr="00FC41B5">
        <w:rPr>
          <w:rFonts w:ascii="Arial" w:hAnsi="Arial" w:cs="Arial"/>
        </w:rPr>
        <w:t xml:space="preserve"> million of net cash on the balance sheet. However, the Group’s overall leverage is more significant when including capitalised lease debt that</w:t>
      </w:r>
      <w:r>
        <w:rPr>
          <w:rFonts w:ascii="Arial" w:hAnsi="Arial" w:cs="Arial"/>
        </w:rPr>
        <w:t>,</w:t>
      </w:r>
      <w:r w:rsidRPr="00FC41B5">
        <w:rPr>
          <w:rFonts w:ascii="Arial" w:hAnsi="Arial" w:cs="Arial"/>
        </w:rPr>
        <w:t xml:space="preserve"> in accordance with accounting standards </w:t>
      </w:r>
      <w:r w:rsidR="00A13A05">
        <w:rPr>
          <w:rFonts w:ascii="Arial" w:hAnsi="Arial" w:cs="Arial"/>
        </w:rPr>
        <w:t xml:space="preserve">(pre IFRS16) </w:t>
      </w:r>
      <w:r w:rsidRPr="00FC41B5">
        <w:rPr>
          <w:rFonts w:ascii="Arial" w:hAnsi="Arial" w:cs="Arial"/>
        </w:rPr>
        <w:t xml:space="preserve">does not appear on the balance sheet. The ratio of the Group’s lease adjusted net debt (capitalising leases at 8 times annual rent) to EBITDAR* is </w:t>
      </w:r>
      <w:r w:rsidRPr="00C2187E">
        <w:rPr>
          <w:rFonts w:ascii="Arial" w:hAnsi="Arial" w:cs="Arial"/>
        </w:rPr>
        <w:t>2.6</w:t>
      </w:r>
      <w:r w:rsidRPr="00FC41B5">
        <w:rPr>
          <w:rFonts w:ascii="Arial" w:hAnsi="Arial" w:cs="Arial"/>
        </w:rPr>
        <w:t xml:space="preserve"> times as at 31 January 201</w:t>
      </w:r>
      <w:r>
        <w:rPr>
          <w:rFonts w:ascii="Arial" w:hAnsi="Arial" w:cs="Arial"/>
        </w:rPr>
        <w:t>9</w:t>
      </w:r>
      <w:r w:rsidRPr="00FC41B5">
        <w:rPr>
          <w:rFonts w:ascii="Arial" w:hAnsi="Arial" w:cs="Arial"/>
        </w:rPr>
        <w:t xml:space="preserve"> (</w:t>
      </w:r>
      <w:r>
        <w:rPr>
          <w:rFonts w:ascii="Arial" w:hAnsi="Arial" w:cs="Arial"/>
        </w:rPr>
        <w:t>2</w:t>
      </w:r>
      <w:r w:rsidRPr="00FC41B5">
        <w:rPr>
          <w:rFonts w:ascii="Arial" w:hAnsi="Arial" w:cs="Arial"/>
        </w:rPr>
        <w:t>.</w:t>
      </w:r>
      <w:r>
        <w:rPr>
          <w:rFonts w:ascii="Arial" w:hAnsi="Arial" w:cs="Arial"/>
        </w:rPr>
        <w:t>4</w:t>
      </w:r>
      <w:r w:rsidRPr="00FC41B5">
        <w:rPr>
          <w:rFonts w:ascii="Arial" w:hAnsi="Arial" w:cs="Arial"/>
        </w:rPr>
        <w:t>x at 31 January 201</w:t>
      </w:r>
      <w:r>
        <w:rPr>
          <w:rFonts w:ascii="Arial" w:hAnsi="Arial" w:cs="Arial"/>
        </w:rPr>
        <w:t>8</w:t>
      </w:r>
      <w:r w:rsidRPr="00FC41B5">
        <w:rPr>
          <w:rFonts w:ascii="Arial" w:hAnsi="Arial" w:cs="Arial"/>
        </w:rPr>
        <w:t>). At this level the Group has financial flexibility whilst retaining an efficient cost of capital.</w:t>
      </w:r>
      <w:r>
        <w:rPr>
          <w:rFonts w:ascii="Arial" w:hAnsi="Arial" w:cs="Arial"/>
        </w:rPr>
        <w:t xml:space="preserve"> </w:t>
      </w:r>
    </w:p>
    <w:bookmarkEnd w:id="46"/>
    <w:p w14:paraId="3C660454" w14:textId="77777777" w:rsidR="00DF0F4E" w:rsidRDefault="00DF0F4E" w:rsidP="00DF0F4E">
      <w:pPr>
        <w:jc w:val="left"/>
        <w:rPr>
          <w:rFonts w:ascii="Arial" w:hAnsi="Arial" w:cs="Arial"/>
          <w:sz w:val="24"/>
          <w:szCs w:val="24"/>
        </w:rPr>
      </w:pPr>
    </w:p>
    <w:p w14:paraId="30C0CF4D" w14:textId="77777777" w:rsidR="00DF0F4E" w:rsidRPr="00686C6E" w:rsidRDefault="00DF0F4E" w:rsidP="00DF0F4E">
      <w:pPr>
        <w:jc w:val="left"/>
        <w:rPr>
          <w:rFonts w:ascii="Arial" w:hAnsi="Arial" w:cs="Arial"/>
        </w:rPr>
      </w:pPr>
      <w:r w:rsidRPr="00686C6E">
        <w:rPr>
          <w:rFonts w:ascii="Arial" w:hAnsi="Arial" w:cs="Arial"/>
        </w:rPr>
        <w:lastRenderedPageBreak/>
        <w:t>A reconciliation of lease adjusted net debt to EBITDAR is set out below:</w:t>
      </w:r>
    </w:p>
    <w:p w14:paraId="6FDD8D12" w14:textId="77777777" w:rsidR="00DF0F4E" w:rsidRPr="00A03549" w:rsidRDefault="00DF0F4E" w:rsidP="00DF0F4E">
      <w:pPr>
        <w:jc w:val="left"/>
        <w:rPr>
          <w:rFonts w:ascii="Arial" w:hAnsi="Arial" w:cs="Arial"/>
          <w:sz w:val="24"/>
          <w:szCs w:val="24"/>
          <w:highlight w:val="lightGray"/>
        </w:rPr>
      </w:pPr>
    </w:p>
    <w:tbl>
      <w:tblPr>
        <w:tblW w:w="5000" w:type="pct"/>
        <w:tblInd w:w="98" w:type="dxa"/>
        <w:tblLayout w:type="fixed"/>
        <w:tblLook w:val="04A0" w:firstRow="1" w:lastRow="0" w:firstColumn="1" w:lastColumn="0" w:noHBand="0" w:noVBand="1"/>
      </w:tblPr>
      <w:tblGrid>
        <w:gridCol w:w="5275"/>
        <w:gridCol w:w="2850"/>
        <w:gridCol w:w="1742"/>
      </w:tblGrid>
      <w:tr w:rsidR="00DF0F4E" w:rsidRPr="00A845B7" w14:paraId="3C862E7B" w14:textId="77777777" w:rsidTr="009B370A">
        <w:trPr>
          <w:trHeight w:val="555"/>
        </w:trPr>
        <w:tc>
          <w:tcPr>
            <w:tcW w:w="5154" w:type="dxa"/>
            <w:vAlign w:val="bottom"/>
          </w:tcPr>
          <w:p w14:paraId="2179CC0D" w14:textId="77777777" w:rsidR="00DF0F4E" w:rsidRPr="00A845B7" w:rsidRDefault="00DF0F4E" w:rsidP="009B370A">
            <w:pPr>
              <w:jc w:val="left"/>
              <w:rPr>
                <w:rFonts w:ascii="Arial" w:hAnsi="Arial" w:cs="Arial"/>
                <w:bCs/>
              </w:rPr>
            </w:pPr>
          </w:p>
        </w:tc>
        <w:tc>
          <w:tcPr>
            <w:tcW w:w="2785" w:type="dxa"/>
            <w:vAlign w:val="bottom"/>
            <w:hideMark/>
          </w:tcPr>
          <w:p w14:paraId="5895C066" w14:textId="77777777" w:rsidR="00DF0F4E" w:rsidRPr="00A845B7" w:rsidRDefault="00DF0F4E" w:rsidP="009B370A">
            <w:pPr>
              <w:jc w:val="right"/>
              <w:rPr>
                <w:rFonts w:ascii="Arial" w:hAnsi="Arial" w:cs="Arial"/>
                <w:b/>
                <w:bCs/>
              </w:rPr>
            </w:pPr>
            <w:r w:rsidRPr="00A845B7">
              <w:rPr>
                <w:rFonts w:ascii="Arial" w:hAnsi="Arial" w:cs="Arial"/>
                <w:b/>
                <w:bCs/>
              </w:rPr>
              <w:t>201</w:t>
            </w:r>
            <w:r>
              <w:rPr>
                <w:rFonts w:ascii="Arial" w:hAnsi="Arial" w:cs="Arial"/>
                <w:b/>
                <w:bCs/>
              </w:rPr>
              <w:t>8</w:t>
            </w:r>
            <w:r w:rsidRPr="00A845B7">
              <w:rPr>
                <w:rFonts w:ascii="Arial" w:hAnsi="Arial" w:cs="Arial"/>
                <w:b/>
                <w:bCs/>
              </w:rPr>
              <w:t>/1</w:t>
            </w:r>
            <w:r>
              <w:rPr>
                <w:rFonts w:ascii="Arial" w:hAnsi="Arial" w:cs="Arial"/>
                <w:b/>
                <w:bCs/>
              </w:rPr>
              <w:t>9</w:t>
            </w:r>
          </w:p>
          <w:p w14:paraId="0402F34F" w14:textId="77777777" w:rsidR="00DF0F4E" w:rsidRPr="00A845B7" w:rsidRDefault="00DF0F4E" w:rsidP="009B370A">
            <w:pPr>
              <w:jc w:val="right"/>
              <w:rPr>
                <w:rFonts w:ascii="Arial" w:hAnsi="Arial" w:cs="Arial"/>
                <w:b/>
                <w:bCs/>
              </w:rPr>
            </w:pPr>
            <w:r w:rsidRPr="00A845B7">
              <w:rPr>
                <w:rFonts w:ascii="Arial" w:hAnsi="Arial" w:cs="Arial"/>
                <w:b/>
                <w:bCs/>
              </w:rPr>
              <w:t>£m</w:t>
            </w:r>
          </w:p>
        </w:tc>
        <w:tc>
          <w:tcPr>
            <w:tcW w:w="1702" w:type="dxa"/>
            <w:vAlign w:val="bottom"/>
            <w:hideMark/>
          </w:tcPr>
          <w:p w14:paraId="003CC08C" w14:textId="77777777" w:rsidR="00DF0F4E" w:rsidRPr="00A845B7" w:rsidRDefault="00DF0F4E" w:rsidP="009B370A">
            <w:pPr>
              <w:jc w:val="right"/>
              <w:rPr>
                <w:rFonts w:ascii="Arial" w:hAnsi="Arial" w:cs="Arial"/>
                <w:bCs/>
                <w:vertAlign w:val="superscript"/>
              </w:rPr>
            </w:pPr>
            <w:r w:rsidRPr="00A845B7">
              <w:rPr>
                <w:rFonts w:ascii="Arial" w:hAnsi="Arial" w:cs="Arial"/>
                <w:bCs/>
              </w:rPr>
              <w:t>201</w:t>
            </w:r>
            <w:r>
              <w:rPr>
                <w:rFonts w:ascii="Arial" w:hAnsi="Arial" w:cs="Arial"/>
                <w:bCs/>
              </w:rPr>
              <w:t>7</w:t>
            </w:r>
            <w:r w:rsidRPr="00A845B7">
              <w:rPr>
                <w:rFonts w:ascii="Arial" w:hAnsi="Arial" w:cs="Arial"/>
                <w:bCs/>
              </w:rPr>
              <w:t>/1</w:t>
            </w:r>
            <w:r>
              <w:rPr>
                <w:rFonts w:ascii="Arial" w:hAnsi="Arial" w:cs="Arial"/>
                <w:bCs/>
              </w:rPr>
              <w:t>8</w:t>
            </w:r>
          </w:p>
          <w:p w14:paraId="35B359BB" w14:textId="77777777" w:rsidR="00DF0F4E" w:rsidRPr="00A845B7" w:rsidRDefault="00DF0F4E" w:rsidP="009B370A">
            <w:pPr>
              <w:jc w:val="right"/>
              <w:rPr>
                <w:rFonts w:ascii="Arial" w:hAnsi="Arial" w:cs="Arial"/>
                <w:bCs/>
              </w:rPr>
            </w:pPr>
            <w:r w:rsidRPr="00A845B7">
              <w:rPr>
                <w:rFonts w:ascii="Arial" w:hAnsi="Arial" w:cs="Arial"/>
                <w:bCs/>
              </w:rPr>
              <w:t>£m</w:t>
            </w:r>
          </w:p>
        </w:tc>
      </w:tr>
      <w:tr w:rsidR="00DF0F4E" w:rsidRPr="00A845B7" w14:paraId="6156A147" w14:textId="77777777" w:rsidTr="009B370A">
        <w:trPr>
          <w:trHeight w:val="255"/>
        </w:trPr>
        <w:tc>
          <w:tcPr>
            <w:tcW w:w="5154" w:type="dxa"/>
            <w:tcBorders>
              <w:top w:val="single" w:sz="4" w:space="0" w:color="auto"/>
              <w:left w:val="nil"/>
              <w:right w:val="nil"/>
            </w:tcBorders>
            <w:shd w:val="clear" w:color="auto" w:fill="auto"/>
            <w:vAlign w:val="bottom"/>
          </w:tcPr>
          <w:p w14:paraId="02B1FADB" w14:textId="77777777" w:rsidR="00DF0F4E" w:rsidRPr="00574124" w:rsidRDefault="00DF0F4E" w:rsidP="009B370A">
            <w:pPr>
              <w:rPr>
                <w:rFonts w:ascii="Arial" w:hAnsi="Arial" w:cs="Arial"/>
              </w:rPr>
            </w:pPr>
            <w:r>
              <w:rPr>
                <w:rFonts w:ascii="Arial" w:hAnsi="Arial" w:cs="Arial"/>
              </w:rPr>
              <w:t>Retail Profit</w:t>
            </w:r>
          </w:p>
        </w:tc>
        <w:tc>
          <w:tcPr>
            <w:tcW w:w="2785" w:type="dxa"/>
            <w:tcBorders>
              <w:top w:val="single" w:sz="4" w:space="0" w:color="auto"/>
              <w:left w:val="nil"/>
              <w:right w:val="nil"/>
            </w:tcBorders>
            <w:vAlign w:val="bottom"/>
          </w:tcPr>
          <w:p w14:paraId="00F152B1" w14:textId="3B420D17" w:rsidR="00DF0F4E" w:rsidRPr="00C2187E" w:rsidRDefault="00DF0F4E" w:rsidP="009B370A">
            <w:pPr>
              <w:jc w:val="right"/>
              <w:rPr>
                <w:rFonts w:ascii="Arial" w:hAnsi="Arial" w:cs="Arial"/>
                <w:b/>
              </w:rPr>
            </w:pPr>
            <w:r w:rsidRPr="00C2187E">
              <w:rPr>
                <w:rFonts w:ascii="Arial" w:hAnsi="Arial" w:cs="Arial"/>
                <w:b/>
              </w:rPr>
              <w:t>75</w:t>
            </w:r>
            <w:r w:rsidR="00203EFD" w:rsidRPr="00C2187E">
              <w:rPr>
                <w:rFonts w:ascii="Arial" w:hAnsi="Arial" w:cs="Arial"/>
                <w:b/>
              </w:rPr>
              <w:t>3</w:t>
            </w:r>
          </w:p>
        </w:tc>
        <w:tc>
          <w:tcPr>
            <w:tcW w:w="1702" w:type="dxa"/>
            <w:tcBorders>
              <w:top w:val="single" w:sz="4" w:space="0" w:color="auto"/>
              <w:left w:val="nil"/>
              <w:right w:val="nil"/>
            </w:tcBorders>
            <w:vAlign w:val="bottom"/>
          </w:tcPr>
          <w:p w14:paraId="44FE0D72" w14:textId="77777777" w:rsidR="00DF0F4E" w:rsidRPr="0089005D" w:rsidRDefault="00DF0F4E" w:rsidP="009B370A">
            <w:pPr>
              <w:jc w:val="right"/>
              <w:rPr>
                <w:rFonts w:ascii="Arial" w:hAnsi="Arial" w:cs="Arial"/>
              </w:rPr>
            </w:pPr>
            <w:r w:rsidRPr="00F95536">
              <w:rPr>
                <w:rFonts w:ascii="Arial" w:hAnsi="Arial" w:cs="Arial"/>
              </w:rPr>
              <w:t>849</w:t>
            </w:r>
          </w:p>
        </w:tc>
      </w:tr>
      <w:tr w:rsidR="00DF0F4E" w:rsidRPr="00A845B7" w14:paraId="6C5349EC" w14:textId="77777777" w:rsidTr="009B370A">
        <w:trPr>
          <w:trHeight w:val="255"/>
        </w:trPr>
        <w:tc>
          <w:tcPr>
            <w:tcW w:w="5154" w:type="dxa"/>
            <w:tcBorders>
              <w:left w:val="nil"/>
              <w:bottom w:val="nil"/>
              <w:right w:val="nil"/>
            </w:tcBorders>
            <w:shd w:val="clear" w:color="auto" w:fill="auto"/>
            <w:vAlign w:val="bottom"/>
          </w:tcPr>
          <w:p w14:paraId="537609D7" w14:textId="77777777" w:rsidR="00DF0F4E" w:rsidRPr="00610532" w:rsidRDefault="00DF0F4E" w:rsidP="009B370A">
            <w:pPr>
              <w:rPr>
                <w:rFonts w:ascii="Arial" w:hAnsi="Arial" w:cs="Arial"/>
              </w:rPr>
            </w:pPr>
            <w:r>
              <w:rPr>
                <w:rFonts w:ascii="Arial" w:hAnsi="Arial" w:cs="Arial"/>
              </w:rPr>
              <w:t>Central costs</w:t>
            </w:r>
          </w:p>
        </w:tc>
        <w:tc>
          <w:tcPr>
            <w:tcW w:w="2785" w:type="dxa"/>
            <w:tcBorders>
              <w:left w:val="nil"/>
              <w:bottom w:val="nil"/>
              <w:right w:val="nil"/>
            </w:tcBorders>
            <w:vAlign w:val="bottom"/>
          </w:tcPr>
          <w:p w14:paraId="72647044" w14:textId="262F1237" w:rsidR="00DF0F4E" w:rsidRPr="00C2187E" w:rsidRDefault="00DF0F4E" w:rsidP="009B370A">
            <w:pPr>
              <w:jc w:val="right"/>
              <w:rPr>
                <w:rFonts w:ascii="Arial" w:hAnsi="Arial" w:cs="Arial"/>
                <w:b/>
              </w:rPr>
            </w:pPr>
            <w:r w:rsidRPr="00C2187E">
              <w:rPr>
                <w:rFonts w:ascii="Arial" w:hAnsi="Arial" w:cs="Arial"/>
                <w:b/>
              </w:rPr>
              <w:t>(49)</w:t>
            </w:r>
          </w:p>
        </w:tc>
        <w:tc>
          <w:tcPr>
            <w:tcW w:w="1702" w:type="dxa"/>
            <w:tcBorders>
              <w:left w:val="nil"/>
              <w:bottom w:val="nil"/>
              <w:right w:val="nil"/>
            </w:tcBorders>
            <w:vAlign w:val="bottom"/>
          </w:tcPr>
          <w:p w14:paraId="1233E7E0" w14:textId="77777777" w:rsidR="00DF0F4E" w:rsidRPr="0089005D" w:rsidRDefault="00DF0F4E" w:rsidP="009B370A">
            <w:pPr>
              <w:jc w:val="right"/>
              <w:rPr>
                <w:rFonts w:ascii="Arial" w:hAnsi="Arial" w:cs="Arial"/>
              </w:rPr>
            </w:pPr>
            <w:r w:rsidRPr="00F95536">
              <w:rPr>
                <w:rFonts w:ascii="Arial" w:hAnsi="Arial" w:cs="Arial"/>
              </w:rPr>
              <w:t>(46)</w:t>
            </w:r>
          </w:p>
        </w:tc>
      </w:tr>
      <w:tr w:rsidR="00DF0F4E" w:rsidRPr="00A845B7" w14:paraId="3FF0ADDE" w14:textId="77777777" w:rsidTr="009B370A">
        <w:trPr>
          <w:trHeight w:val="255"/>
        </w:trPr>
        <w:tc>
          <w:tcPr>
            <w:tcW w:w="5154" w:type="dxa"/>
            <w:tcBorders>
              <w:left w:val="nil"/>
              <w:bottom w:val="nil"/>
              <w:right w:val="nil"/>
            </w:tcBorders>
            <w:shd w:val="clear" w:color="auto" w:fill="auto"/>
            <w:vAlign w:val="bottom"/>
          </w:tcPr>
          <w:p w14:paraId="5247E2DC" w14:textId="77777777" w:rsidR="00DF0F4E" w:rsidRPr="00574124" w:rsidRDefault="00DF0F4E" w:rsidP="009B370A">
            <w:pPr>
              <w:rPr>
                <w:rFonts w:ascii="Arial" w:hAnsi="Arial" w:cs="Arial"/>
              </w:rPr>
            </w:pPr>
            <w:r w:rsidRPr="00610532">
              <w:rPr>
                <w:rFonts w:ascii="Arial" w:hAnsi="Arial" w:cs="Arial"/>
              </w:rPr>
              <w:t xml:space="preserve">Transformation </w:t>
            </w:r>
            <w:r>
              <w:rPr>
                <w:rFonts w:ascii="Arial" w:hAnsi="Arial" w:cs="Arial"/>
              </w:rPr>
              <w:t xml:space="preserve">P&amp;L </w:t>
            </w:r>
            <w:r w:rsidRPr="00610532">
              <w:rPr>
                <w:rFonts w:ascii="Arial" w:hAnsi="Arial" w:cs="Arial"/>
              </w:rPr>
              <w:t>costs</w:t>
            </w:r>
          </w:p>
        </w:tc>
        <w:tc>
          <w:tcPr>
            <w:tcW w:w="2785" w:type="dxa"/>
            <w:tcBorders>
              <w:left w:val="nil"/>
              <w:bottom w:val="nil"/>
              <w:right w:val="nil"/>
            </w:tcBorders>
            <w:vAlign w:val="bottom"/>
          </w:tcPr>
          <w:p w14:paraId="2AD70324" w14:textId="45A4D23F" w:rsidR="00DF0F4E" w:rsidRPr="00C2187E" w:rsidRDefault="00DF0F4E" w:rsidP="009B370A">
            <w:pPr>
              <w:jc w:val="right"/>
              <w:rPr>
                <w:rFonts w:ascii="Arial" w:hAnsi="Arial" w:cs="Arial"/>
                <w:b/>
              </w:rPr>
            </w:pPr>
            <w:r w:rsidRPr="00C2187E">
              <w:rPr>
                <w:rFonts w:ascii="Arial" w:hAnsi="Arial" w:cs="Arial"/>
                <w:b/>
              </w:rPr>
              <w:t>(1</w:t>
            </w:r>
            <w:r w:rsidR="00203EFD" w:rsidRPr="00C2187E">
              <w:rPr>
                <w:rFonts w:ascii="Arial" w:hAnsi="Arial" w:cs="Arial"/>
                <w:b/>
              </w:rPr>
              <w:t>20</w:t>
            </w:r>
            <w:r w:rsidRPr="00C2187E">
              <w:rPr>
                <w:rFonts w:ascii="Arial" w:hAnsi="Arial" w:cs="Arial"/>
                <w:b/>
              </w:rPr>
              <w:t>)</w:t>
            </w:r>
          </w:p>
        </w:tc>
        <w:tc>
          <w:tcPr>
            <w:tcW w:w="1702" w:type="dxa"/>
            <w:tcBorders>
              <w:left w:val="nil"/>
              <w:bottom w:val="nil"/>
              <w:right w:val="nil"/>
            </w:tcBorders>
            <w:vAlign w:val="bottom"/>
          </w:tcPr>
          <w:p w14:paraId="15A0412A" w14:textId="77777777" w:rsidR="00DF0F4E" w:rsidRPr="0089005D" w:rsidRDefault="00DF0F4E" w:rsidP="009B370A">
            <w:pPr>
              <w:jc w:val="right"/>
              <w:rPr>
                <w:rFonts w:ascii="Arial" w:hAnsi="Arial" w:cs="Arial"/>
              </w:rPr>
            </w:pPr>
            <w:r w:rsidRPr="00F95536">
              <w:rPr>
                <w:rFonts w:ascii="Arial" w:hAnsi="Arial" w:cs="Arial"/>
              </w:rPr>
              <w:t>(114)</w:t>
            </w:r>
          </w:p>
        </w:tc>
      </w:tr>
      <w:tr w:rsidR="00DF0F4E" w:rsidRPr="00A845B7" w14:paraId="5BF7AE7A" w14:textId="77777777" w:rsidTr="009B370A">
        <w:trPr>
          <w:trHeight w:val="255"/>
        </w:trPr>
        <w:tc>
          <w:tcPr>
            <w:tcW w:w="5154" w:type="dxa"/>
            <w:tcBorders>
              <w:left w:val="nil"/>
              <w:bottom w:val="nil"/>
              <w:right w:val="nil"/>
            </w:tcBorders>
            <w:shd w:val="clear" w:color="auto" w:fill="auto"/>
            <w:vAlign w:val="bottom"/>
          </w:tcPr>
          <w:p w14:paraId="0F4AEDAD" w14:textId="77777777" w:rsidR="00DF0F4E" w:rsidRPr="00574124" w:rsidRDefault="00DF0F4E" w:rsidP="009B370A">
            <w:pPr>
              <w:rPr>
                <w:rFonts w:ascii="Arial" w:hAnsi="Arial" w:cs="Arial"/>
              </w:rPr>
            </w:pPr>
            <w:r w:rsidRPr="00610532">
              <w:rPr>
                <w:rFonts w:ascii="Arial" w:hAnsi="Arial" w:cs="Arial"/>
              </w:rPr>
              <w:t>Depreciation and Amortisation</w:t>
            </w:r>
          </w:p>
        </w:tc>
        <w:tc>
          <w:tcPr>
            <w:tcW w:w="2785" w:type="dxa"/>
            <w:tcBorders>
              <w:left w:val="nil"/>
              <w:bottom w:val="nil"/>
              <w:right w:val="nil"/>
            </w:tcBorders>
            <w:vAlign w:val="bottom"/>
          </w:tcPr>
          <w:p w14:paraId="488CB906" w14:textId="746A3953" w:rsidR="00DF0F4E" w:rsidRPr="00C2187E" w:rsidRDefault="00DF0F4E" w:rsidP="009B370A">
            <w:pPr>
              <w:jc w:val="right"/>
              <w:rPr>
                <w:rFonts w:ascii="Arial" w:hAnsi="Arial" w:cs="Arial"/>
                <w:b/>
              </w:rPr>
            </w:pPr>
            <w:r w:rsidRPr="00C2187E">
              <w:rPr>
                <w:rFonts w:ascii="Arial" w:hAnsi="Arial" w:cs="Arial"/>
                <w:b/>
              </w:rPr>
              <w:t>272</w:t>
            </w:r>
          </w:p>
        </w:tc>
        <w:tc>
          <w:tcPr>
            <w:tcW w:w="1702" w:type="dxa"/>
            <w:tcBorders>
              <w:left w:val="nil"/>
              <w:bottom w:val="nil"/>
              <w:right w:val="nil"/>
            </w:tcBorders>
            <w:vAlign w:val="bottom"/>
          </w:tcPr>
          <w:p w14:paraId="59A2F757" w14:textId="77777777" w:rsidR="00DF0F4E" w:rsidRPr="0089005D" w:rsidRDefault="00DF0F4E" w:rsidP="009B370A">
            <w:pPr>
              <w:jc w:val="right"/>
              <w:rPr>
                <w:rFonts w:ascii="Arial" w:hAnsi="Arial" w:cs="Arial"/>
              </w:rPr>
            </w:pPr>
            <w:r w:rsidRPr="00F95536">
              <w:rPr>
                <w:rFonts w:ascii="Arial" w:hAnsi="Arial" w:cs="Arial"/>
              </w:rPr>
              <w:t>254</w:t>
            </w:r>
          </w:p>
        </w:tc>
      </w:tr>
      <w:tr w:rsidR="00DF0F4E" w:rsidRPr="00A845B7" w14:paraId="17F090E3" w14:textId="77777777" w:rsidTr="009B370A">
        <w:trPr>
          <w:trHeight w:val="255"/>
        </w:trPr>
        <w:tc>
          <w:tcPr>
            <w:tcW w:w="5154" w:type="dxa"/>
            <w:tcBorders>
              <w:top w:val="single" w:sz="4" w:space="0" w:color="auto"/>
              <w:left w:val="nil"/>
              <w:bottom w:val="nil"/>
              <w:right w:val="nil"/>
            </w:tcBorders>
            <w:shd w:val="clear" w:color="auto" w:fill="auto"/>
            <w:vAlign w:val="bottom"/>
            <w:hideMark/>
          </w:tcPr>
          <w:p w14:paraId="47ED7169" w14:textId="77777777" w:rsidR="00DF0F4E" w:rsidRPr="00BF593B" w:rsidRDefault="00DF0F4E" w:rsidP="009B370A">
            <w:pPr>
              <w:rPr>
                <w:rFonts w:ascii="Arial" w:hAnsi="Arial" w:cs="Arial"/>
                <w:b/>
              </w:rPr>
            </w:pPr>
            <w:r w:rsidRPr="00BF593B">
              <w:rPr>
                <w:rFonts w:ascii="Arial" w:hAnsi="Arial" w:cs="Arial"/>
                <w:b/>
              </w:rPr>
              <w:t>EBITDA*</w:t>
            </w:r>
          </w:p>
        </w:tc>
        <w:tc>
          <w:tcPr>
            <w:tcW w:w="2785" w:type="dxa"/>
            <w:tcBorders>
              <w:top w:val="single" w:sz="4" w:space="0" w:color="auto"/>
              <w:left w:val="nil"/>
              <w:bottom w:val="nil"/>
              <w:right w:val="nil"/>
            </w:tcBorders>
            <w:vAlign w:val="bottom"/>
          </w:tcPr>
          <w:p w14:paraId="7B24A2FB" w14:textId="770503CE" w:rsidR="00DF0F4E" w:rsidRPr="00F95536" w:rsidRDefault="00DF0F4E" w:rsidP="009B370A">
            <w:pPr>
              <w:jc w:val="right"/>
              <w:rPr>
                <w:rFonts w:ascii="Arial" w:hAnsi="Arial" w:cs="Arial"/>
                <w:b/>
                <w:highlight w:val="yellow"/>
              </w:rPr>
            </w:pPr>
            <w:r w:rsidRPr="00C2187E">
              <w:rPr>
                <w:rFonts w:ascii="Arial" w:hAnsi="Arial" w:cs="Arial"/>
                <w:b/>
              </w:rPr>
              <w:t>85</w:t>
            </w:r>
            <w:r w:rsidR="000254CF">
              <w:rPr>
                <w:rFonts w:ascii="Arial" w:hAnsi="Arial" w:cs="Arial"/>
                <w:b/>
              </w:rPr>
              <w:t>6</w:t>
            </w:r>
          </w:p>
        </w:tc>
        <w:tc>
          <w:tcPr>
            <w:tcW w:w="1702" w:type="dxa"/>
            <w:tcBorders>
              <w:top w:val="single" w:sz="4" w:space="0" w:color="auto"/>
              <w:left w:val="nil"/>
              <w:bottom w:val="nil"/>
              <w:right w:val="nil"/>
            </w:tcBorders>
            <w:vAlign w:val="bottom"/>
          </w:tcPr>
          <w:p w14:paraId="478D6F38" w14:textId="77777777" w:rsidR="00DF0F4E" w:rsidRPr="0089005D" w:rsidRDefault="00DF0F4E" w:rsidP="009B370A">
            <w:pPr>
              <w:jc w:val="right"/>
              <w:rPr>
                <w:rFonts w:ascii="Arial" w:hAnsi="Arial" w:cs="Arial"/>
              </w:rPr>
            </w:pPr>
            <w:r w:rsidRPr="00F95536">
              <w:rPr>
                <w:rFonts w:ascii="Arial" w:hAnsi="Arial" w:cs="Arial"/>
              </w:rPr>
              <w:t>943</w:t>
            </w:r>
          </w:p>
        </w:tc>
      </w:tr>
      <w:tr w:rsidR="00DF0F4E" w:rsidRPr="00A845B7" w14:paraId="0101789A" w14:textId="77777777" w:rsidTr="009B370A">
        <w:trPr>
          <w:trHeight w:val="255"/>
        </w:trPr>
        <w:tc>
          <w:tcPr>
            <w:tcW w:w="5154" w:type="dxa"/>
            <w:tcBorders>
              <w:top w:val="nil"/>
              <w:left w:val="nil"/>
              <w:bottom w:val="single" w:sz="4" w:space="0" w:color="auto"/>
              <w:right w:val="nil"/>
            </w:tcBorders>
            <w:shd w:val="clear" w:color="auto" w:fill="auto"/>
            <w:vAlign w:val="bottom"/>
            <w:hideMark/>
          </w:tcPr>
          <w:p w14:paraId="02F30A44" w14:textId="77777777" w:rsidR="00DF0F4E" w:rsidRPr="00574124" w:rsidRDefault="00DF0F4E" w:rsidP="009B370A">
            <w:pPr>
              <w:rPr>
                <w:rFonts w:ascii="Arial" w:hAnsi="Arial" w:cs="Arial"/>
              </w:rPr>
            </w:pPr>
            <w:r w:rsidRPr="00574124">
              <w:rPr>
                <w:rFonts w:ascii="Arial" w:hAnsi="Arial" w:cs="Arial"/>
              </w:rPr>
              <w:t>Property operating lease rentals</w:t>
            </w:r>
          </w:p>
        </w:tc>
        <w:tc>
          <w:tcPr>
            <w:tcW w:w="2785" w:type="dxa"/>
            <w:tcBorders>
              <w:top w:val="nil"/>
              <w:left w:val="nil"/>
              <w:bottom w:val="single" w:sz="4" w:space="0" w:color="auto"/>
              <w:right w:val="nil"/>
            </w:tcBorders>
            <w:vAlign w:val="bottom"/>
          </w:tcPr>
          <w:p w14:paraId="40DD9637" w14:textId="3B182AAC" w:rsidR="00DF0F4E" w:rsidRPr="00C2187E" w:rsidRDefault="00DF0F4E" w:rsidP="009B370A">
            <w:pPr>
              <w:jc w:val="right"/>
              <w:rPr>
                <w:rFonts w:ascii="Arial" w:hAnsi="Arial" w:cs="Arial"/>
                <w:b/>
              </w:rPr>
            </w:pPr>
            <w:r w:rsidRPr="00C2187E">
              <w:rPr>
                <w:rFonts w:ascii="Arial" w:hAnsi="Arial" w:cs="Arial"/>
                <w:b/>
              </w:rPr>
              <w:t>425</w:t>
            </w:r>
          </w:p>
        </w:tc>
        <w:tc>
          <w:tcPr>
            <w:tcW w:w="1702" w:type="dxa"/>
            <w:tcBorders>
              <w:top w:val="nil"/>
              <w:left w:val="nil"/>
              <w:bottom w:val="single" w:sz="4" w:space="0" w:color="auto"/>
              <w:right w:val="nil"/>
            </w:tcBorders>
            <w:vAlign w:val="bottom"/>
          </w:tcPr>
          <w:p w14:paraId="0FD888B6" w14:textId="77777777" w:rsidR="00DF0F4E" w:rsidRPr="0089005D" w:rsidRDefault="00DF0F4E" w:rsidP="009B370A">
            <w:pPr>
              <w:jc w:val="right"/>
              <w:rPr>
                <w:rFonts w:ascii="Arial" w:hAnsi="Arial" w:cs="Arial"/>
              </w:rPr>
            </w:pPr>
            <w:r w:rsidRPr="00F95536">
              <w:rPr>
                <w:rFonts w:ascii="Arial" w:hAnsi="Arial" w:cs="Arial"/>
              </w:rPr>
              <w:t>408</w:t>
            </w:r>
          </w:p>
        </w:tc>
      </w:tr>
      <w:tr w:rsidR="00DF0F4E" w:rsidRPr="00A845B7" w14:paraId="3454A639" w14:textId="77777777" w:rsidTr="009B370A">
        <w:trPr>
          <w:trHeight w:val="255"/>
        </w:trPr>
        <w:tc>
          <w:tcPr>
            <w:tcW w:w="5154" w:type="dxa"/>
            <w:tcBorders>
              <w:top w:val="single" w:sz="4" w:space="0" w:color="auto"/>
              <w:left w:val="nil"/>
              <w:bottom w:val="single" w:sz="4" w:space="0" w:color="auto"/>
              <w:right w:val="nil"/>
            </w:tcBorders>
            <w:shd w:val="clear" w:color="auto" w:fill="auto"/>
            <w:vAlign w:val="bottom"/>
            <w:hideMark/>
          </w:tcPr>
          <w:p w14:paraId="307C4E30" w14:textId="77777777" w:rsidR="00DF0F4E" w:rsidRPr="00574124" w:rsidRDefault="00DF0F4E" w:rsidP="009B370A">
            <w:pPr>
              <w:rPr>
                <w:rFonts w:ascii="Arial" w:hAnsi="Arial" w:cs="Arial"/>
                <w:b/>
              </w:rPr>
            </w:pPr>
            <w:r w:rsidRPr="00574124">
              <w:rPr>
                <w:rFonts w:ascii="Arial" w:hAnsi="Arial" w:cs="Arial"/>
                <w:b/>
              </w:rPr>
              <w:t>EBITDAR</w:t>
            </w:r>
          </w:p>
        </w:tc>
        <w:tc>
          <w:tcPr>
            <w:tcW w:w="2785" w:type="dxa"/>
            <w:tcBorders>
              <w:top w:val="single" w:sz="4" w:space="0" w:color="auto"/>
              <w:left w:val="nil"/>
              <w:bottom w:val="single" w:sz="4" w:space="0" w:color="auto"/>
              <w:right w:val="nil"/>
            </w:tcBorders>
            <w:vAlign w:val="bottom"/>
          </w:tcPr>
          <w:p w14:paraId="2BD061A7" w14:textId="166FFD3C" w:rsidR="00DF0F4E" w:rsidRPr="00C2187E" w:rsidRDefault="00DF0F4E" w:rsidP="009B370A">
            <w:pPr>
              <w:jc w:val="right"/>
              <w:rPr>
                <w:rFonts w:ascii="Arial" w:hAnsi="Arial" w:cs="Arial"/>
                <w:b/>
              </w:rPr>
            </w:pPr>
            <w:r w:rsidRPr="00C2187E">
              <w:rPr>
                <w:rFonts w:ascii="Arial" w:hAnsi="Arial" w:cs="Arial"/>
                <w:b/>
              </w:rPr>
              <w:t>1,28</w:t>
            </w:r>
            <w:r w:rsidR="008B6A9F">
              <w:rPr>
                <w:rFonts w:ascii="Arial" w:hAnsi="Arial" w:cs="Arial"/>
                <w:b/>
              </w:rPr>
              <w:t>1</w:t>
            </w:r>
          </w:p>
        </w:tc>
        <w:tc>
          <w:tcPr>
            <w:tcW w:w="1702" w:type="dxa"/>
            <w:tcBorders>
              <w:top w:val="single" w:sz="4" w:space="0" w:color="auto"/>
              <w:left w:val="nil"/>
              <w:bottom w:val="single" w:sz="4" w:space="0" w:color="auto"/>
              <w:right w:val="nil"/>
            </w:tcBorders>
            <w:vAlign w:val="bottom"/>
          </w:tcPr>
          <w:p w14:paraId="743F1D51" w14:textId="77777777" w:rsidR="00DF0F4E" w:rsidRPr="0089005D" w:rsidRDefault="00DF0F4E" w:rsidP="009B370A">
            <w:pPr>
              <w:jc w:val="right"/>
              <w:rPr>
                <w:rFonts w:ascii="Arial" w:hAnsi="Arial" w:cs="Arial"/>
              </w:rPr>
            </w:pPr>
            <w:r w:rsidRPr="00F95536">
              <w:rPr>
                <w:rFonts w:ascii="Arial" w:hAnsi="Arial" w:cs="Arial"/>
              </w:rPr>
              <w:t>1,351</w:t>
            </w:r>
          </w:p>
        </w:tc>
      </w:tr>
      <w:tr w:rsidR="00DF0F4E" w:rsidRPr="00A845B7" w14:paraId="72783F30" w14:textId="77777777" w:rsidTr="009B370A">
        <w:trPr>
          <w:trHeight w:val="311"/>
        </w:trPr>
        <w:tc>
          <w:tcPr>
            <w:tcW w:w="5154" w:type="dxa"/>
            <w:tcBorders>
              <w:top w:val="single" w:sz="4" w:space="0" w:color="auto"/>
              <w:left w:val="nil"/>
              <w:bottom w:val="nil"/>
              <w:right w:val="nil"/>
            </w:tcBorders>
            <w:shd w:val="clear" w:color="auto" w:fill="auto"/>
            <w:vAlign w:val="bottom"/>
            <w:hideMark/>
          </w:tcPr>
          <w:p w14:paraId="2E79A942" w14:textId="77777777" w:rsidR="00DF0F4E" w:rsidRPr="00574124" w:rsidRDefault="00DF0F4E" w:rsidP="009B370A">
            <w:pPr>
              <w:rPr>
                <w:rFonts w:ascii="Arial" w:hAnsi="Arial" w:cs="Arial"/>
              </w:rPr>
            </w:pPr>
            <w:r w:rsidRPr="00574124">
              <w:rPr>
                <w:rFonts w:ascii="Arial" w:hAnsi="Arial" w:cs="Arial"/>
              </w:rPr>
              <w:t>Net cash</w:t>
            </w:r>
          </w:p>
        </w:tc>
        <w:tc>
          <w:tcPr>
            <w:tcW w:w="2785" w:type="dxa"/>
            <w:tcBorders>
              <w:top w:val="single" w:sz="4" w:space="0" w:color="auto"/>
              <w:left w:val="nil"/>
              <w:bottom w:val="nil"/>
              <w:right w:val="nil"/>
            </w:tcBorders>
            <w:vAlign w:val="bottom"/>
          </w:tcPr>
          <w:p w14:paraId="0C5F0692" w14:textId="107B137C" w:rsidR="00DF0F4E" w:rsidRPr="00C2187E" w:rsidRDefault="00DF0F4E" w:rsidP="009B370A">
            <w:pPr>
              <w:jc w:val="right"/>
              <w:rPr>
                <w:rFonts w:ascii="Arial" w:hAnsi="Arial" w:cs="Arial"/>
                <w:b/>
              </w:rPr>
            </w:pPr>
            <w:r w:rsidRPr="00C2187E">
              <w:rPr>
                <w:rFonts w:ascii="Arial" w:hAnsi="Arial" w:cs="Arial"/>
                <w:b/>
              </w:rPr>
              <w:t>(48)</w:t>
            </w:r>
          </w:p>
        </w:tc>
        <w:tc>
          <w:tcPr>
            <w:tcW w:w="1702" w:type="dxa"/>
            <w:tcBorders>
              <w:top w:val="single" w:sz="4" w:space="0" w:color="auto"/>
              <w:left w:val="nil"/>
              <w:bottom w:val="nil"/>
              <w:right w:val="nil"/>
            </w:tcBorders>
            <w:vAlign w:val="bottom"/>
          </w:tcPr>
          <w:p w14:paraId="348BCE5B" w14:textId="77777777" w:rsidR="00DF0F4E" w:rsidRPr="0089005D" w:rsidRDefault="00DF0F4E" w:rsidP="009B370A">
            <w:pPr>
              <w:jc w:val="right"/>
              <w:rPr>
                <w:rFonts w:ascii="Arial" w:hAnsi="Arial" w:cs="Arial"/>
              </w:rPr>
            </w:pPr>
            <w:r w:rsidRPr="00F95536">
              <w:rPr>
                <w:rFonts w:ascii="Arial" w:hAnsi="Arial" w:cs="Arial"/>
              </w:rPr>
              <w:t>(68)</w:t>
            </w:r>
          </w:p>
        </w:tc>
      </w:tr>
      <w:tr w:rsidR="00DF0F4E" w:rsidRPr="00A845B7" w14:paraId="7CB3AE50" w14:textId="77777777" w:rsidTr="009B370A">
        <w:trPr>
          <w:trHeight w:val="270"/>
        </w:trPr>
        <w:tc>
          <w:tcPr>
            <w:tcW w:w="5154" w:type="dxa"/>
            <w:tcBorders>
              <w:top w:val="nil"/>
              <w:left w:val="nil"/>
              <w:bottom w:val="single" w:sz="4" w:space="0" w:color="auto"/>
              <w:right w:val="nil"/>
            </w:tcBorders>
            <w:shd w:val="clear" w:color="auto" w:fill="auto"/>
            <w:vAlign w:val="bottom"/>
            <w:hideMark/>
          </w:tcPr>
          <w:p w14:paraId="0A1D153E" w14:textId="77777777" w:rsidR="00DF0F4E" w:rsidRPr="00574124" w:rsidRDefault="00DF0F4E" w:rsidP="009B370A">
            <w:pPr>
              <w:rPr>
                <w:rFonts w:ascii="Arial" w:hAnsi="Arial" w:cs="Arial"/>
              </w:rPr>
            </w:pPr>
            <w:r w:rsidRPr="00574124">
              <w:rPr>
                <w:rFonts w:ascii="Arial" w:hAnsi="Arial" w:cs="Arial"/>
              </w:rPr>
              <w:t>Property operating lease rentals (8x)</w:t>
            </w:r>
            <w:r w:rsidRPr="00574124">
              <w:rPr>
                <w:rFonts w:ascii="Arial" w:hAnsi="Arial" w:cs="Arial"/>
                <w:vertAlign w:val="superscript"/>
              </w:rPr>
              <w:t xml:space="preserve"> (1)</w:t>
            </w:r>
          </w:p>
        </w:tc>
        <w:tc>
          <w:tcPr>
            <w:tcW w:w="2785" w:type="dxa"/>
            <w:tcBorders>
              <w:top w:val="nil"/>
              <w:left w:val="nil"/>
              <w:bottom w:val="single" w:sz="4" w:space="0" w:color="auto"/>
              <w:right w:val="nil"/>
            </w:tcBorders>
            <w:vAlign w:val="bottom"/>
          </w:tcPr>
          <w:p w14:paraId="18C4A84B" w14:textId="1324ECE2" w:rsidR="00DF0F4E" w:rsidRPr="00F95536" w:rsidRDefault="00DF0F4E" w:rsidP="009B370A">
            <w:pPr>
              <w:jc w:val="right"/>
              <w:rPr>
                <w:rFonts w:ascii="Arial" w:hAnsi="Arial" w:cs="Arial"/>
                <w:b/>
                <w:highlight w:val="yellow"/>
              </w:rPr>
            </w:pPr>
            <w:r w:rsidRPr="00C2187E">
              <w:rPr>
                <w:rFonts w:ascii="Arial" w:hAnsi="Arial" w:cs="Arial"/>
                <w:b/>
              </w:rPr>
              <w:t>3,400</w:t>
            </w:r>
          </w:p>
        </w:tc>
        <w:tc>
          <w:tcPr>
            <w:tcW w:w="1702" w:type="dxa"/>
            <w:tcBorders>
              <w:top w:val="nil"/>
              <w:left w:val="nil"/>
              <w:bottom w:val="single" w:sz="4" w:space="0" w:color="auto"/>
              <w:right w:val="nil"/>
            </w:tcBorders>
            <w:vAlign w:val="bottom"/>
          </w:tcPr>
          <w:p w14:paraId="4B7904A3" w14:textId="77777777" w:rsidR="00DF0F4E" w:rsidRPr="0089005D" w:rsidRDefault="00DF0F4E" w:rsidP="009B370A">
            <w:pPr>
              <w:jc w:val="right"/>
              <w:rPr>
                <w:rFonts w:ascii="Arial" w:hAnsi="Arial" w:cs="Arial"/>
              </w:rPr>
            </w:pPr>
            <w:r w:rsidRPr="00F95536">
              <w:rPr>
                <w:rFonts w:ascii="Arial" w:hAnsi="Arial" w:cs="Arial"/>
              </w:rPr>
              <w:t>3,264</w:t>
            </w:r>
          </w:p>
        </w:tc>
      </w:tr>
      <w:tr w:rsidR="00DF0F4E" w:rsidRPr="00A845B7" w14:paraId="1143A267" w14:textId="77777777" w:rsidTr="009B370A">
        <w:trPr>
          <w:trHeight w:val="270"/>
        </w:trPr>
        <w:tc>
          <w:tcPr>
            <w:tcW w:w="5154" w:type="dxa"/>
            <w:tcBorders>
              <w:top w:val="single" w:sz="4" w:space="0" w:color="auto"/>
              <w:left w:val="nil"/>
              <w:right w:val="nil"/>
            </w:tcBorders>
            <w:shd w:val="clear" w:color="auto" w:fill="auto"/>
            <w:vAlign w:val="bottom"/>
            <w:hideMark/>
          </w:tcPr>
          <w:p w14:paraId="14332FBF" w14:textId="77777777" w:rsidR="00DF0F4E" w:rsidRPr="00574124" w:rsidRDefault="00DF0F4E" w:rsidP="009B370A">
            <w:pPr>
              <w:rPr>
                <w:rFonts w:ascii="Arial" w:hAnsi="Arial" w:cs="Arial"/>
                <w:b/>
              </w:rPr>
            </w:pPr>
            <w:r w:rsidRPr="00574124">
              <w:rPr>
                <w:rFonts w:ascii="Arial" w:hAnsi="Arial" w:cs="Arial"/>
                <w:b/>
              </w:rPr>
              <w:t>Lease adjusted net debt</w:t>
            </w:r>
          </w:p>
        </w:tc>
        <w:tc>
          <w:tcPr>
            <w:tcW w:w="2785" w:type="dxa"/>
            <w:tcBorders>
              <w:top w:val="single" w:sz="4" w:space="0" w:color="auto"/>
              <w:left w:val="nil"/>
              <w:right w:val="nil"/>
            </w:tcBorders>
            <w:vAlign w:val="bottom"/>
          </w:tcPr>
          <w:p w14:paraId="0ABB6F75" w14:textId="44008A9A" w:rsidR="00DF0F4E" w:rsidRPr="00C2187E" w:rsidRDefault="00DF0F4E" w:rsidP="009B370A">
            <w:pPr>
              <w:jc w:val="right"/>
              <w:rPr>
                <w:rFonts w:ascii="Arial" w:hAnsi="Arial" w:cs="Arial"/>
                <w:b/>
              </w:rPr>
            </w:pPr>
            <w:r w:rsidRPr="00C2187E">
              <w:rPr>
                <w:rFonts w:ascii="Arial" w:hAnsi="Arial" w:cs="Arial"/>
                <w:b/>
              </w:rPr>
              <w:t>3,352</w:t>
            </w:r>
          </w:p>
        </w:tc>
        <w:tc>
          <w:tcPr>
            <w:tcW w:w="1702" w:type="dxa"/>
            <w:tcBorders>
              <w:top w:val="single" w:sz="4" w:space="0" w:color="auto"/>
              <w:left w:val="nil"/>
              <w:right w:val="nil"/>
            </w:tcBorders>
            <w:vAlign w:val="bottom"/>
          </w:tcPr>
          <w:p w14:paraId="53AF9067" w14:textId="77777777" w:rsidR="00DF0F4E" w:rsidRPr="0089005D" w:rsidRDefault="00DF0F4E" w:rsidP="009B370A">
            <w:pPr>
              <w:jc w:val="right"/>
              <w:rPr>
                <w:rFonts w:ascii="Arial" w:hAnsi="Arial" w:cs="Arial"/>
              </w:rPr>
            </w:pPr>
            <w:r w:rsidRPr="00F95536">
              <w:rPr>
                <w:rFonts w:ascii="Arial" w:hAnsi="Arial" w:cs="Arial"/>
              </w:rPr>
              <w:t>3,196</w:t>
            </w:r>
          </w:p>
        </w:tc>
      </w:tr>
      <w:tr w:rsidR="00DF0F4E" w:rsidRPr="00A845B7" w14:paraId="0D149EC0" w14:textId="77777777" w:rsidTr="009B370A">
        <w:trPr>
          <w:trHeight w:val="270"/>
        </w:trPr>
        <w:tc>
          <w:tcPr>
            <w:tcW w:w="5154" w:type="dxa"/>
            <w:tcBorders>
              <w:left w:val="nil"/>
              <w:bottom w:val="single" w:sz="4" w:space="0" w:color="auto"/>
              <w:right w:val="nil"/>
            </w:tcBorders>
            <w:shd w:val="clear" w:color="auto" w:fill="auto"/>
            <w:vAlign w:val="bottom"/>
            <w:hideMark/>
          </w:tcPr>
          <w:p w14:paraId="6AB9FADE" w14:textId="77777777" w:rsidR="00DF0F4E" w:rsidRPr="00574124" w:rsidRDefault="00DF0F4E" w:rsidP="009B370A">
            <w:pPr>
              <w:rPr>
                <w:rFonts w:ascii="Arial" w:hAnsi="Arial" w:cs="Arial"/>
                <w:b/>
              </w:rPr>
            </w:pPr>
            <w:r w:rsidRPr="00574124">
              <w:rPr>
                <w:rFonts w:ascii="Arial" w:hAnsi="Arial" w:cs="Arial"/>
                <w:b/>
              </w:rPr>
              <w:t>Lease adjusted net debt to EBITDAR</w:t>
            </w:r>
          </w:p>
        </w:tc>
        <w:tc>
          <w:tcPr>
            <w:tcW w:w="2785" w:type="dxa"/>
            <w:tcBorders>
              <w:left w:val="nil"/>
              <w:bottom w:val="single" w:sz="4" w:space="0" w:color="auto"/>
              <w:right w:val="nil"/>
            </w:tcBorders>
            <w:vAlign w:val="bottom"/>
          </w:tcPr>
          <w:p w14:paraId="7BDA125A" w14:textId="09CBE531" w:rsidR="00DF0F4E" w:rsidRPr="00C2187E" w:rsidRDefault="00DF0F4E" w:rsidP="009B370A">
            <w:pPr>
              <w:jc w:val="right"/>
              <w:rPr>
                <w:rFonts w:ascii="Arial" w:hAnsi="Arial" w:cs="Arial"/>
                <w:b/>
              </w:rPr>
            </w:pPr>
            <w:r w:rsidRPr="00C2187E">
              <w:rPr>
                <w:rFonts w:ascii="Arial" w:hAnsi="Arial" w:cs="Arial"/>
                <w:b/>
              </w:rPr>
              <w:t>2.6</w:t>
            </w:r>
          </w:p>
        </w:tc>
        <w:tc>
          <w:tcPr>
            <w:tcW w:w="1702" w:type="dxa"/>
            <w:tcBorders>
              <w:left w:val="nil"/>
              <w:bottom w:val="single" w:sz="4" w:space="0" w:color="auto"/>
              <w:right w:val="nil"/>
            </w:tcBorders>
            <w:vAlign w:val="bottom"/>
          </w:tcPr>
          <w:p w14:paraId="77FF02A0" w14:textId="77777777" w:rsidR="00DF0F4E" w:rsidRPr="0089005D" w:rsidRDefault="00DF0F4E" w:rsidP="009B370A">
            <w:pPr>
              <w:tabs>
                <w:tab w:val="center" w:pos="671"/>
                <w:tab w:val="right" w:pos="1343"/>
              </w:tabs>
              <w:jc w:val="right"/>
              <w:rPr>
                <w:rFonts w:ascii="Arial" w:hAnsi="Arial" w:cs="Arial"/>
              </w:rPr>
            </w:pPr>
            <w:r w:rsidRPr="00F95536">
              <w:rPr>
                <w:rFonts w:ascii="Arial" w:hAnsi="Arial" w:cs="Arial"/>
              </w:rPr>
              <w:t>2.4</w:t>
            </w:r>
          </w:p>
        </w:tc>
      </w:tr>
    </w:tbl>
    <w:p w14:paraId="6B1AF182" w14:textId="77777777" w:rsidR="00DF0F4E" w:rsidRPr="00A845B7" w:rsidRDefault="00DF0F4E" w:rsidP="00DF0F4E">
      <w:pPr>
        <w:jc w:val="left"/>
        <w:rPr>
          <w:rFonts w:ascii="Arial" w:hAnsi="Arial" w:cs="Arial"/>
        </w:rPr>
      </w:pPr>
    </w:p>
    <w:p w14:paraId="03AFE631" w14:textId="77777777" w:rsidR="00DF0F4E" w:rsidRPr="00A03549" w:rsidRDefault="00DF0F4E" w:rsidP="00DF0F4E">
      <w:pPr>
        <w:ind w:right="-368"/>
        <w:jc w:val="left"/>
        <w:rPr>
          <w:rFonts w:ascii="Arial" w:hAnsi="Arial" w:cs="Arial"/>
          <w:sz w:val="18"/>
          <w:szCs w:val="18"/>
        </w:rPr>
      </w:pPr>
      <w:r w:rsidRPr="006F78D1" w:rsidDel="00355EF2">
        <w:rPr>
          <w:rFonts w:ascii="Arial" w:hAnsi="Arial" w:cs="Arial"/>
          <w:iCs/>
          <w:vertAlign w:val="superscript"/>
        </w:rPr>
        <w:t xml:space="preserve"> </w:t>
      </w:r>
      <w:r w:rsidRPr="006F78D1">
        <w:rPr>
          <w:rFonts w:ascii="Arial" w:hAnsi="Arial" w:cs="Arial"/>
          <w:iCs/>
          <w:vertAlign w:val="superscript"/>
        </w:rPr>
        <w:t>(</w:t>
      </w:r>
      <w:r>
        <w:rPr>
          <w:rFonts w:ascii="Arial" w:hAnsi="Arial" w:cs="Arial"/>
          <w:iCs/>
          <w:vertAlign w:val="superscript"/>
        </w:rPr>
        <w:t>1</w:t>
      </w:r>
      <w:r w:rsidRPr="006F78D1">
        <w:rPr>
          <w:rFonts w:ascii="Arial" w:hAnsi="Arial" w:cs="Arial"/>
          <w:iCs/>
          <w:vertAlign w:val="superscript"/>
        </w:rPr>
        <w:t>)</w:t>
      </w:r>
      <w:r w:rsidRPr="006F78D1">
        <w:rPr>
          <w:rFonts w:ascii="Arial" w:hAnsi="Arial" w:cs="Arial"/>
          <w:iCs/>
        </w:rPr>
        <w:t xml:space="preserve"> </w:t>
      </w:r>
      <w:r w:rsidRPr="00A03549">
        <w:rPr>
          <w:rFonts w:ascii="Arial" w:hAnsi="Arial" w:cs="Arial"/>
          <w:sz w:val="18"/>
          <w:szCs w:val="18"/>
        </w:rPr>
        <w:t>Kingfisher believes 8x is a reasonable industry standard for estimating the economic value of its leased assets</w:t>
      </w:r>
    </w:p>
    <w:p w14:paraId="0E1E90E3" w14:textId="77777777" w:rsidR="00DF0F4E" w:rsidRPr="00A03549" w:rsidRDefault="00DF0F4E" w:rsidP="00DF0F4E">
      <w:pPr>
        <w:jc w:val="left"/>
        <w:rPr>
          <w:rFonts w:ascii="Arial" w:hAnsi="Arial" w:cs="Arial"/>
          <w:sz w:val="24"/>
          <w:szCs w:val="24"/>
          <w:highlight w:val="lightGray"/>
        </w:rPr>
      </w:pPr>
    </w:p>
    <w:p w14:paraId="463FBAA1" w14:textId="3649B2DC" w:rsidR="00691A43" w:rsidRDefault="004B1F71" w:rsidP="00691A43">
      <w:pPr>
        <w:jc w:val="left"/>
        <w:rPr>
          <w:rFonts w:ascii="Arial" w:hAnsi="Arial" w:cs="Arial"/>
        </w:rPr>
      </w:pPr>
      <w:r w:rsidRPr="00C2187E">
        <w:rPr>
          <w:rFonts w:ascii="Arial" w:hAnsi="Arial" w:cs="Arial"/>
        </w:rPr>
        <w:t xml:space="preserve">The introduction of IFRS 16 </w:t>
      </w:r>
      <w:r w:rsidR="00A35D67">
        <w:rPr>
          <w:rFonts w:ascii="Arial" w:hAnsi="Arial" w:cs="Arial"/>
        </w:rPr>
        <w:t xml:space="preserve">(see </w:t>
      </w:r>
      <w:r w:rsidR="00A35D67" w:rsidRPr="003D61AC">
        <w:rPr>
          <w:rFonts w:ascii="Arial" w:hAnsi="Arial" w:cs="Arial"/>
        </w:rPr>
        <w:t>page</w:t>
      </w:r>
      <w:r w:rsidR="00691A43" w:rsidRPr="003D61AC">
        <w:rPr>
          <w:rFonts w:ascii="Arial" w:hAnsi="Arial" w:cs="Arial"/>
        </w:rPr>
        <w:t>s</w:t>
      </w:r>
      <w:r w:rsidR="00A35D67" w:rsidRPr="003D61AC">
        <w:rPr>
          <w:rFonts w:ascii="Arial" w:hAnsi="Arial" w:cs="Arial"/>
        </w:rPr>
        <w:t xml:space="preserve"> </w:t>
      </w:r>
      <w:r w:rsidR="00A35D67" w:rsidRPr="00D72F65">
        <w:rPr>
          <w:rFonts w:ascii="Arial" w:hAnsi="Arial" w:cs="Arial"/>
        </w:rPr>
        <w:t>2</w:t>
      </w:r>
      <w:r w:rsidR="00BD0DB2">
        <w:rPr>
          <w:rFonts w:ascii="Arial" w:hAnsi="Arial" w:cs="Arial"/>
        </w:rPr>
        <w:t>0</w:t>
      </w:r>
      <w:r w:rsidR="00691A43" w:rsidRPr="003D61AC">
        <w:rPr>
          <w:rFonts w:ascii="Arial" w:hAnsi="Arial" w:cs="Arial"/>
        </w:rPr>
        <w:t>-2</w:t>
      </w:r>
      <w:r w:rsidR="00BD0DB2">
        <w:rPr>
          <w:rFonts w:ascii="Arial" w:hAnsi="Arial" w:cs="Arial"/>
        </w:rPr>
        <w:t>2</w:t>
      </w:r>
      <w:r w:rsidR="00A35D67" w:rsidRPr="003D61AC">
        <w:rPr>
          <w:rFonts w:ascii="Arial" w:hAnsi="Arial" w:cs="Arial"/>
        </w:rPr>
        <w:t xml:space="preserve"> for</w:t>
      </w:r>
      <w:r w:rsidR="00A35D67" w:rsidRPr="00691A43">
        <w:rPr>
          <w:rFonts w:ascii="Arial" w:hAnsi="Arial" w:cs="Arial"/>
        </w:rPr>
        <w:t xml:space="preserve"> further details) </w:t>
      </w:r>
      <w:r w:rsidRPr="00691A43">
        <w:rPr>
          <w:rFonts w:ascii="Arial" w:hAnsi="Arial" w:cs="Arial"/>
        </w:rPr>
        <w:t xml:space="preserve">is </w:t>
      </w:r>
      <w:r w:rsidR="00691A43" w:rsidRPr="00691A43">
        <w:rPr>
          <w:rFonts w:ascii="Arial" w:hAnsi="Arial" w:cs="Arial"/>
        </w:rPr>
        <w:t xml:space="preserve">expected </w:t>
      </w:r>
      <w:r w:rsidRPr="00691A43">
        <w:rPr>
          <w:rFonts w:ascii="Arial" w:hAnsi="Arial" w:cs="Arial"/>
        </w:rPr>
        <w:t xml:space="preserve">to </w:t>
      </w:r>
      <w:r w:rsidR="00A35D67" w:rsidRPr="00691A43">
        <w:rPr>
          <w:rFonts w:ascii="Arial" w:hAnsi="Arial" w:cs="Arial"/>
        </w:rPr>
        <w:t>result in a</w:t>
      </w:r>
      <w:r w:rsidR="00691A43" w:rsidRPr="00691A43">
        <w:rPr>
          <w:rFonts w:ascii="Arial" w:hAnsi="Arial" w:cs="Arial"/>
        </w:rPr>
        <w:t xml:space="preserve"> lower</w:t>
      </w:r>
      <w:r w:rsidR="000B60E0" w:rsidRPr="00691A43">
        <w:rPr>
          <w:rFonts w:ascii="Arial" w:hAnsi="Arial" w:cs="Arial"/>
        </w:rPr>
        <w:t xml:space="preserve"> adjusted</w:t>
      </w:r>
      <w:r w:rsidR="00A35D67" w:rsidRPr="00691A43">
        <w:rPr>
          <w:rFonts w:ascii="Arial" w:hAnsi="Arial" w:cs="Arial"/>
        </w:rPr>
        <w:t xml:space="preserve"> </w:t>
      </w:r>
      <w:r w:rsidRPr="00691A43">
        <w:rPr>
          <w:rFonts w:ascii="Arial" w:hAnsi="Arial" w:cs="Arial"/>
        </w:rPr>
        <w:t xml:space="preserve">net debt to EBITDAR ratio </w:t>
      </w:r>
      <w:r w:rsidR="00A35D67" w:rsidRPr="00691A43">
        <w:rPr>
          <w:rFonts w:ascii="Arial" w:hAnsi="Arial" w:cs="Arial"/>
        </w:rPr>
        <w:t xml:space="preserve">of </w:t>
      </w:r>
      <w:r w:rsidR="00774DC4" w:rsidRPr="00691A43">
        <w:rPr>
          <w:rFonts w:ascii="Arial" w:hAnsi="Arial" w:cs="Arial"/>
        </w:rPr>
        <w:t xml:space="preserve">c. </w:t>
      </w:r>
      <w:r w:rsidR="00CF2935" w:rsidRPr="00691A43">
        <w:rPr>
          <w:rFonts w:ascii="Arial" w:hAnsi="Arial" w:cs="Arial"/>
        </w:rPr>
        <w:t>2x</w:t>
      </w:r>
      <w:r w:rsidR="00691A43" w:rsidRPr="00691A43">
        <w:rPr>
          <w:rFonts w:ascii="Arial" w:hAnsi="Arial" w:cs="Arial"/>
        </w:rPr>
        <w:t>, reflecting a lower IFRS 16 lease liability than the 8x adjustment above</w:t>
      </w:r>
      <w:r w:rsidR="00691A43">
        <w:rPr>
          <w:rFonts w:ascii="Arial" w:hAnsi="Arial" w:cs="Arial"/>
        </w:rPr>
        <w:t>.</w:t>
      </w:r>
    </w:p>
    <w:p w14:paraId="4A1FD3B1" w14:textId="77777777" w:rsidR="004B1F71" w:rsidRDefault="004B1F71" w:rsidP="00DF0F4E">
      <w:pPr>
        <w:jc w:val="left"/>
        <w:rPr>
          <w:rFonts w:ascii="Arial" w:hAnsi="Arial" w:cs="Arial"/>
        </w:rPr>
      </w:pPr>
    </w:p>
    <w:p w14:paraId="45A918F3" w14:textId="4A9B7D39" w:rsidR="00DF0F4E" w:rsidRPr="0062003B" w:rsidRDefault="00DF0F4E" w:rsidP="00DF0F4E">
      <w:pPr>
        <w:jc w:val="left"/>
        <w:rPr>
          <w:rFonts w:ascii="Arial" w:hAnsi="Arial" w:cs="Arial"/>
        </w:rPr>
      </w:pPr>
      <w:r w:rsidRPr="0062003B">
        <w:rPr>
          <w:rFonts w:ascii="Arial" w:hAnsi="Arial" w:cs="Arial"/>
        </w:rPr>
        <w:t xml:space="preserve">Kingfisher holds a BBB credit rating with all three rating agencies. Kingfisher aims to maintain its solid investment grade credit rating whilst investing in the business where economic returns are attractive and paying a healthy annual dividend to shareholders. After satisfying these key aims and </w:t>
      </w:r>
      <w:proofErr w:type="gramStart"/>
      <w:r w:rsidRPr="0062003B">
        <w:rPr>
          <w:rFonts w:ascii="Arial" w:hAnsi="Arial" w:cs="Arial"/>
        </w:rPr>
        <w:t xml:space="preserve">taking </w:t>
      </w:r>
      <w:r>
        <w:rPr>
          <w:rFonts w:ascii="Arial" w:hAnsi="Arial" w:cs="Arial"/>
        </w:rPr>
        <w:t>into account</w:t>
      </w:r>
      <w:proofErr w:type="gramEnd"/>
      <w:r>
        <w:rPr>
          <w:rFonts w:ascii="Arial" w:hAnsi="Arial" w:cs="Arial"/>
        </w:rPr>
        <w:t xml:space="preserve"> </w:t>
      </w:r>
      <w:r w:rsidRPr="0062003B">
        <w:rPr>
          <w:rFonts w:ascii="Arial" w:hAnsi="Arial" w:cs="Arial"/>
        </w:rPr>
        <w:t>the economic and trading outlook, any surplus capital would be returned to shareholders.</w:t>
      </w:r>
    </w:p>
    <w:p w14:paraId="032EFCDF" w14:textId="77777777" w:rsidR="00DF0F4E" w:rsidRPr="0062003B" w:rsidRDefault="00DF0F4E" w:rsidP="00DF0F4E">
      <w:pPr>
        <w:jc w:val="left"/>
        <w:rPr>
          <w:rFonts w:ascii="Arial" w:hAnsi="Arial" w:cs="Arial"/>
        </w:rPr>
      </w:pPr>
    </w:p>
    <w:p w14:paraId="3CA79B47" w14:textId="77777777" w:rsidR="00DF0F4E" w:rsidRPr="0062003B" w:rsidRDefault="00DF0F4E" w:rsidP="00DF0F4E">
      <w:pPr>
        <w:jc w:val="left"/>
        <w:rPr>
          <w:rFonts w:ascii="Arial" w:hAnsi="Arial" w:cs="Arial"/>
        </w:rPr>
      </w:pPr>
      <w:r w:rsidRPr="0062003B">
        <w:rPr>
          <w:rFonts w:ascii="Arial" w:hAnsi="Arial" w:cs="Arial"/>
        </w:rPr>
        <w:t xml:space="preserve">Kingfisher regularly reviews the level of cash and debt facilities required to fund its activities. This involves preparing a prudent cash flow forecast for the medium term, determining the level of debt facilities required to fund the business, planning for repayments of debt at its maturity and identifying an appropriate amount of headroom to provide a reserve against unexpected outflows. </w:t>
      </w:r>
    </w:p>
    <w:p w14:paraId="04FCC957" w14:textId="77777777" w:rsidR="00DF0F4E" w:rsidRPr="0062003B" w:rsidRDefault="00DF0F4E" w:rsidP="00DF0F4E">
      <w:pPr>
        <w:ind w:right="-368"/>
        <w:jc w:val="left"/>
        <w:rPr>
          <w:rFonts w:ascii="Arial" w:hAnsi="Arial" w:cs="Arial"/>
        </w:rPr>
      </w:pPr>
    </w:p>
    <w:p w14:paraId="70C4D137" w14:textId="45518A03" w:rsidR="00DF0F4E" w:rsidRDefault="00DF0F4E" w:rsidP="00DF0F4E">
      <w:pPr>
        <w:ind w:right="-368"/>
        <w:jc w:val="left"/>
        <w:rPr>
          <w:rFonts w:ascii="Arial" w:hAnsi="Arial" w:cs="Arial"/>
        </w:rPr>
      </w:pPr>
      <w:r w:rsidRPr="00641A20">
        <w:rPr>
          <w:rFonts w:ascii="Arial" w:hAnsi="Arial" w:cs="Arial"/>
        </w:rPr>
        <w:t xml:space="preserve">At 31 </w:t>
      </w:r>
      <w:r>
        <w:rPr>
          <w:rFonts w:ascii="Arial" w:hAnsi="Arial" w:cs="Arial"/>
        </w:rPr>
        <w:t>January</w:t>
      </w:r>
      <w:r w:rsidRPr="00641A20">
        <w:rPr>
          <w:rFonts w:ascii="Arial" w:hAnsi="Arial" w:cs="Arial"/>
        </w:rPr>
        <w:t xml:space="preserve"> 201</w:t>
      </w:r>
      <w:r>
        <w:rPr>
          <w:rFonts w:ascii="Arial" w:hAnsi="Arial" w:cs="Arial"/>
        </w:rPr>
        <w:t>9</w:t>
      </w:r>
      <w:r w:rsidRPr="00641A20">
        <w:rPr>
          <w:rFonts w:ascii="Arial" w:hAnsi="Arial" w:cs="Arial"/>
        </w:rPr>
        <w:t xml:space="preserve"> the Group had two undrawn committed facilities: £</w:t>
      </w:r>
      <w:r>
        <w:rPr>
          <w:rFonts w:ascii="Arial" w:hAnsi="Arial" w:cs="Arial"/>
        </w:rPr>
        <w:t>55</w:t>
      </w:r>
      <w:r w:rsidRPr="00641A20">
        <w:rPr>
          <w:rFonts w:ascii="Arial" w:hAnsi="Arial" w:cs="Arial"/>
        </w:rPr>
        <w:t>0 million that expire</w:t>
      </w:r>
      <w:r>
        <w:rPr>
          <w:rFonts w:ascii="Arial" w:hAnsi="Arial" w:cs="Arial"/>
        </w:rPr>
        <w:t xml:space="preserve">s </w:t>
      </w:r>
      <w:r w:rsidRPr="00641A20">
        <w:rPr>
          <w:rFonts w:ascii="Arial" w:hAnsi="Arial" w:cs="Arial"/>
        </w:rPr>
        <w:t xml:space="preserve">in </w:t>
      </w:r>
      <w:r w:rsidR="001373C4">
        <w:rPr>
          <w:rFonts w:ascii="Arial" w:hAnsi="Arial" w:cs="Arial"/>
        </w:rPr>
        <w:t xml:space="preserve">August </w:t>
      </w:r>
      <w:r>
        <w:rPr>
          <w:rFonts w:ascii="Arial" w:hAnsi="Arial" w:cs="Arial"/>
        </w:rPr>
        <w:t>2021</w:t>
      </w:r>
      <w:r w:rsidRPr="00641A20">
        <w:rPr>
          <w:rFonts w:ascii="Arial" w:hAnsi="Arial" w:cs="Arial"/>
        </w:rPr>
        <w:t xml:space="preserve"> and £225 million that expires in March 2022. </w:t>
      </w:r>
    </w:p>
    <w:p w14:paraId="499B172D" w14:textId="77777777" w:rsidR="00DF0F4E" w:rsidRPr="00641A20" w:rsidRDefault="00DF0F4E" w:rsidP="00DF0F4E">
      <w:pPr>
        <w:ind w:right="-368"/>
        <w:jc w:val="left"/>
        <w:rPr>
          <w:rFonts w:ascii="Arial" w:hAnsi="Arial" w:cs="Arial"/>
        </w:rPr>
      </w:pPr>
    </w:p>
    <w:p w14:paraId="5DD4FE46" w14:textId="77777777" w:rsidR="00DF0F4E" w:rsidRPr="00641A20" w:rsidRDefault="00DF0F4E" w:rsidP="00DF0F4E">
      <w:pPr>
        <w:ind w:right="-368"/>
        <w:jc w:val="left"/>
        <w:rPr>
          <w:rFonts w:ascii="Arial" w:hAnsi="Arial" w:cs="Arial"/>
        </w:rPr>
      </w:pPr>
      <w:r w:rsidRPr="00641A20">
        <w:rPr>
          <w:rFonts w:ascii="Arial" w:hAnsi="Arial" w:cs="Arial"/>
        </w:rPr>
        <w:t xml:space="preserve">In May 2018 the Group repaid its US Private Placement debt (notional value of $179 million) </w:t>
      </w:r>
      <w:proofErr w:type="gramStart"/>
      <w:r w:rsidRPr="00641A20">
        <w:rPr>
          <w:rFonts w:ascii="Arial" w:hAnsi="Arial" w:cs="Arial"/>
        </w:rPr>
        <w:t>and also</w:t>
      </w:r>
      <w:proofErr w:type="gramEnd"/>
    </w:p>
    <w:p w14:paraId="4F2BB6F8" w14:textId="445F67C1" w:rsidR="00DF0F4E" w:rsidRPr="00641A20" w:rsidRDefault="00DF0F4E" w:rsidP="00DF0F4E">
      <w:pPr>
        <w:ind w:right="-368"/>
        <w:jc w:val="left"/>
        <w:rPr>
          <w:rFonts w:ascii="Arial" w:hAnsi="Arial" w:cs="Arial"/>
        </w:rPr>
      </w:pPr>
      <w:r w:rsidRPr="00641A20">
        <w:rPr>
          <w:rFonts w:ascii="Arial" w:hAnsi="Arial" w:cs="Arial"/>
        </w:rPr>
        <w:t>updated its €2.5</w:t>
      </w:r>
      <w:r w:rsidR="00691A43">
        <w:rPr>
          <w:rFonts w:ascii="Arial" w:hAnsi="Arial" w:cs="Arial"/>
        </w:rPr>
        <w:t xml:space="preserve"> </w:t>
      </w:r>
      <w:r w:rsidRPr="00641A20">
        <w:rPr>
          <w:rFonts w:ascii="Arial" w:hAnsi="Arial" w:cs="Arial"/>
        </w:rPr>
        <w:t>b</w:t>
      </w:r>
      <w:r w:rsidR="00691A43">
        <w:rPr>
          <w:rFonts w:ascii="Arial" w:hAnsi="Arial" w:cs="Arial"/>
        </w:rPr>
        <w:t>illion</w:t>
      </w:r>
      <w:r w:rsidRPr="00641A20">
        <w:rPr>
          <w:rFonts w:ascii="Arial" w:hAnsi="Arial" w:cs="Arial"/>
        </w:rPr>
        <w:t xml:space="preserve"> European Medium Term Note (EMTN) programme. In July 2018, following a</w:t>
      </w:r>
    </w:p>
    <w:p w14:paraId="5B172561" w14:textId="54E239A0" w:rsidR="00DF0F4E" w:rsidRPr="00641A20" w:rsidRDefault="00DF0F4E" w:rsidP="00DF0F4E">
      <w:pPr>
        <w:ind w:right="-368"/>
        <w:jc w:val="left"/>
        <w:rPr>
          <w:rFonts w:ascii="Arial" w:hAnsi="Arial" w:cs="Arial"/>
        </w:rPr>
      </w:pPr>
      <w:r w:rsidRPr="00641A20">
        <w:rPr>
          <w:rFonts w:ascii="Arial" w:hAnsi="Arial" w:cs="Arial"/>
        </w:rPr>
        <w:t>reverse enquiry, a €50</w:t>
      </w:r>
      <w:r w:rsidR="00691A43">
        <w:rPr>
          <w:rFonts w:ascii="Arial" w:hAnsi="Arial" w:cs="Arial"/>
        </w:rPr>
        <w:t xml:space="preserve"> </w:t>
      </w:r>
      <w:r w:rsidRPr="00641A20">
        <w:rPr>
          <w:rFonts w:ascii="Arial" w:hAnsi="Arial" w:cs="Arial"/>
        </w:rPr>
        <w:t>m</w:t>
      </w:r>
      <w:r w:rsidR="00691A43">
        <w:rPr>
          <w:rFonts w:ascii="Arial" w:hAnsi="Arial" w:cs="Arial"/>
        </w:rPr>
        <w:t>illion</w:t>
      </w:r>
      <w:r w:rsidRPr="00641A20">
        <w:rPr>
          <w:rFonts w:ascii="Arial" w:hAnsi="Arial" w:cs="Arial"/>
        </w:rPr>
        <w:t xml:space="preserve"> Floating Rate Note (FRN) was issued under the programme. The note</w:t>
      </w:r>
    </w:p>
    <w:p w14:paraId="2201D98D" w14:textId="77777777" w:rsidR="00DF0F4E" w:rsidRDefault="00DF0F4E" w:rsidP="00DF0F4E">
      <w:pPr>
        <w:ind w:right="-368"/>
        <w:jc w:val="left"/>
        <w:rPr>
          <w:rFonts w:ascii="Arial" w:hAnsi="Arial" w:cs="Arial"/>
        </w:rPr>
      </w:pPr>
      <w:r w:rsidRPr="00641A20">
        <w:rPr>
          <w:rFonts w:ascii="Arial" w:hAnsi="Arial" w:cs="Arial"/>
        </w:rPr>
        <w:t>matures in July 2020.</w:t>
      </w:r>
    </w:p>
    <w:p w14:paraId="3C03AB7F" w14:textId="77777777" w:rsidR="00DF0F4E" w:rsidRDefault="00DF0F4E" w:rsidP="00DF0F4E">
      <w:pPr>
        <w:ind w:right="-368"/>
        <w:jc w:val="left"/>
        <w:rPr>
          <w:rFonts w:ascii="Arial" w:hAnsi="Arial" w:cs="Arial"/>
        </w:rPr>
      </w:pPr>
    </w:p>
    <w:p w14:paraId="73D70698" w14:textId="1B1C3C0B" w:rsidR="00DF0F4E" w:rsidRDefault="00DF0F4E" w:rsidP="00DF0F4E">
      <w:pPr>
        <w:ind w:right="-368"/>
        <w:jc w:val="left"/>
        <w:rPr>
          <w:rFonts w:ascii="Arial" w:hAnsi="Arial" w:cs="Arial"/>
        </w:rPr>
      </w:pPr>
      <w:r>
        <w:rPr>
          <w:rFonts w:ascii="Arial" w:hAnsi="Arial" w:cs="Arial"/>
        </w:rPr>
        <w:t xml:space="preserve">The Group </w:t>
      </w:r>
      <w:proofErr w:type="gramStart"/>
      <w:r>
        <w:rPr>
          <w:rFonts w:ascii="Arial" w:hAnsi="Arial" w:cs="Arial"/>
        </w:rPr>
        <w:t>entered into</w:t>
      </w:r>
      <w:proofErr w:type="gramEnd"/>
      <w:r>
        <w:rPr>
          <w:rFonts w:ascii="Arial" w:hAnsi="Arial" w:cs="Arial"/>
        </w:rPr>
        <w:t xml:space="preserve"> two new fixed term loans in the financial year, </w:t>
      </w:r>
      <w:r w:rsidR="00280282">
        <w:rPr>
          <w:rFonts w:ascii="Arial" w:hAnsi="Arial" w:cs="Arial"/>
        </w:rPr>
        <w:t>€</w:t>
      </w:r>
      <w:r>
        <w:rPr>
          <w:rFonts w:ascii="Arial" w:hAnsi="Arial" w:cs="Arial"/>
        </w:rPr>
        <w:t>50</w:t>
      </w:r>
      <w:r w:rsidR="00691A43">
        <w:rPr>
          <w:rFonts w:ascii="Arial" w:hAnsi="Arial" w:cs="Arial"/>
        </w:rPr>
        <w:t xml:space="preserve"> </w:t>
      </w:r>
      <w:r>
        <w:rPr>
          <w:rFonts w:ascii="Arial" w:hAnsi="Arial" w:cs="Arial"/>
        </w:rPr>
        <w:t>m</w:t>
      </w:r>
      <w:r w:rsidR="00691A43">
        <w:rPr>
          <w:rFonts w:ascii="Arial" w:hAnsi="Arial" w:cs="Arial"/>
        </w:rPr>
        <w:t>illion</w:t>
      </w:r>
      <w:r>
        <w:rPr>
          <w:rFonts w:ascii="Arial" w:hAnsi="Arial" w:cs="Arial"/>
        </w:rPr>
        <w:t xml:space="preserve"> in </w:t>
      </w:r>
      <w:r w:rsidR="00441A7E">
        <w:rPr>
          <w:rFonts w:ascii="Arial" w:hAnsi="Arial" w:cs="Arial"/>
        </w:rPr>
        <w:t xml:space="preserve">September </w:t>
      </w:r>
      <w:r>
        <w:rPr>
          <w:rFonts w:ascii="Arial" w:hAnsi="Arial" w:cs="Arial"/>
        </w:rPr>
        <w:t xml:space="preserve">2018 and </w:t>
      </w:r>
      <w:r w:rsidR="00280282">
        <w:rPr>
          <w:rFonts w:ascii="Arial" w:hAnsi="Arial" w:cs="Arial"/>
        </w:rPr>
        <w:t>£</w:t>
      </w:r>
      <w:r>
        <w:rPr>
          <w:rFonts w:ascii="Arial" w:hAnsi="Arial" w:cs="Arial"/>
        </w:rPr>
        <w:t>50</w:t>
      </w:r>
      <w:r w:rsidR="00691A43">
        <w:rPr>
          <w:rFonts w:ascii="Arial" w:hAnsi="Arial" w:cs="Arial"/>
        </w:rPr>
        <w:t xml:space="preserve"> </w:t>
      </w:r>
      <w:r>
        <w:rPr>
          <w:rFonts w:ascii="Arial" w:hAnsi="Arial" w:cs="Arial"/>
        </w:rPr>
        <w:t>m</w:t>
      </w:r>
      <w:r w:rsidR="00691A43">
        <w:rPr>
          <w:rFonts w:ascii="Arial" w:hAnsi="Arial" w:cs="Arial"/>
        </w:rPr>
        <w:t>illion</w:t>
      </w:r>
      <w:r>
        <w:rPr>
          <w:rFonts w:ascii="Arial" w:hAnsi="Arial" w:cs="Arial"/>
        </w:rPr>
        <w:t xml:space="preserve"> in </w:t>
      </w:r>
      <w:r w:rsidR="00441A7E">
        <w:rPr>
          <w:rFonts w:ascii="Arial" w:hAnsi="Arial" w:cs="Arial"/>
        </w:rPr>
        <w:t xml:space="preserve">December </w:t>
      </w:r>
      <w:r>
        <w:rPr>
          <w:rFonts w:ascii="Arial" w:hAnsi="Arial" w:cs="Arial"/>
        </w:rPr>
        <w:t xml:space="preserve">2018. The loans mature in </w:t>
      </w:r>
      <w:r w:rsidR="000D2FB5">
        <w:rPr>
          <w:rFonts w:ascii="Arial" w:hAnsi="Arial" w:cs="Arial"/>
        </w:rPr>
        <w:t>September</w:t>
      </w:r>
      <w:r>
        <w:rPr>
          <w:rFonts w:ascii="Arial" w:hAnsi="Arial" w:cs="Arial"/>
        </w:rPr>
        <w:t xml:space="preserve"> 2021 and December 2021 respectively. </w:t>
      </w:r>
    </w:p>
    <w:p w14:paraId="1B24DECC" w14:textId="77777777" w:rsidR="00DF0F4E" w:rsidRDefault="00DF0F4E" w:rsidP="00DF0F4E">
      <w:pPr>
        <w:ind w:right="-368"/>
        <w:jc w:val="left"/>
        <w:rPr>
          <w:rFonts w:ascii="Arial" w:hAnsi="Arial" w:cs="Arial"/>
        </w:rPr>
      </w:pPr>
    </w:p>
    <w:p w14:paraId="7083E909" w14:textId="77777777" w:rsidR="00DF0F4E" w:rsidRDefault="00DF0F4E" w:rsidP="00DF0F4E">
      <w:pPr>
        <w:jc w:val="left"/>
        <w:rPr>
          <w:rFonts w:ascii="Arial" w:hAnsi="Arial" w:cs="Arial"/>
          <w:b/>
          <w:highlight w:val="yellow"/>
        </w:rPr>
      </w:pPr>
      <w:r w:rsidRPr="00603514">
        <w:rPr>
          <w:rFonts w:ascii="Arial" w:hAnsi="Arial" w:cs="Arial"/>
        </w:rPr>
        <w:t>The maturity profile of Kingfisher’s debt is illustrated at</w:t>
      </w:r>
      <w:r w:rsidRPr="0062003B">
        <w:rPr>
          <w:rFonts w:ascii="Arial" w:hAnsi="Arial" w:cs="Arial"/>
        </w:rPr>
        <w:t xml:space="preserve">: </w:t>
      </w:r>
      <w:r w:rsidRPr="0062003B">
        <w:rPr>
          <w:rStyle w:val="Hyperlink"/>
          <w:rFonts w:ascii="Arial" w:hAnsi="Arial" w:cs="Arial"/>
        </w:rPr>
        <w:t>www.kingfisher.com/index.asp?pageid=74</w:t>
      </w:r>
    </w:p>
    <w:p w14:paraId="0F8FEF90" w14:textId="77777777" w:rsidR="00DF0F4E" w:rsidRPr="00AC598B" w:rsidRDefault="00DF0F4E" w:rsidP="00DF0F4E">
      <w:pPr>
        <w:jc w:val="left"/>
        <w:rPr>
          <w:rFonts w:ascii="Arial" w:hAnsi="Arial" w:cs="Arial"/>
          <w:b/>
          <w:szCs w:val="24"/>
        </w:rPr>
      </w:pPr>
    </w:p>
    <w:bookmarkEnd w:id="45"/>
    <w:p w14:paraId="6B1F4D94" w14:textId="77777777" w:rsidR="00AD36D0" w:rsidRDefault="00AD36D0">
      <w:pPr>
        <w:jc w:val="left"/>
        <w:rPr>
          <w:rFonts w:ascii="Arial" w:hAnsi="Arial" w:cs="Arial"/>
          <w:b/>
        </w:rPr>
      </w:pPr>
    </w:p>
    <w:p w14:paraId="54DE05D9" w14:textId="77777777" w:rsidR="00AD36D0" w:rsidRDefault="00AD36D0">
      <w:pPr>
        <w:jc w:val="left"/>
        <w:rPr>
          <w:rFonts w:ascii="Arial" w:hAnsi="Arial" w:cs="Arial"/>
          <w:b/>
        </w:rPr>
      </w:pPr>
    </w:p>
    <w:p w14:paraId="7DACCA3F" w14:textId="77777777" w:rsidR="00AD36D0" w:rsidRDefault="00AD36D0">
      <w:pPr>
        <w:jc w:val="left"/>
        <w:rPr>
          <w:rFonts w:ascii="Arial" w:hAnsi="Arial" w:cs="Arial"/>
          <w:b/>
        </w:rPr>
      </w:pPr>
    </w:p>
    <w:p w14:paraId="3C25BB61" w14:textId="77777777" w:rsidR="00AD36D0" w:rsidRDefault="00AD36D0">
      <w:pPr>
        <w:jc w:val="left"/>
        <w:rPr>
          <w:rFonts w:ascii="Arial" w:hAnsi="Arial" w:cs="Arial"/>
          <w:b/>
        </w:rPr>
      </w:pPr>
    </w:p>
    <w:p w14:paraId="1E553B96" w14:textId="77777777" w:rsidR="00AD36D0" w:rsidRDefault="00AD36D0">
      <w:pPr>
        <w:jc w:val="left"/>
        <w:rPr>
          <w:rFonts w:ascii="Arial" w:hAnsi="Arial" w:cs="Arial"/>
          <w:b/>
        </w:rPr>
      </w:pPr>
    </w:p>
    <w:p w14:paraId="7526E4F9" w14:textId="76EDFFEB" w:rsidR="00AD36D0" w:rsidRDefault="00AD36D0">
      <w:pPr>
        <w:jc w:val="left"/>
        <w:rPr>
          <w:rFonts w:ascii="Arial" w:hAnsi="Arial" w:cs="Arial"/>
          <w:b/>
        </w:rPr>
      </w:pPr>
    </w:p>
    <w:p w14:paraId="237FE30B" w14:textId="407E98B4" w:rsidR="00741835" w:rsidRDefault="00741835">
      <w:pPr>
        <w:jc w:val="left"/>
        <w:rPr>
          <w:rFonts w:ascii="Arial" w:hAnsi="Arial" w:cs="Arial"/>
          <w:b/>
        </w:rPr>
      </w:pPr>
    </w:p>
    <w:p w14:paraId="53B50695" w14:textId="62CA701F" w:rsidR="009275D1" w:rsidRDefault="009275D1">
      <w:pPr>
        <w:jc w:val="left"/>
        <w:rPr>
          <w:rFonts w:ascii="Arial" w:hAnsi="Arial" w:cs="Arial"/>
          <w:b/>
        </w:rPr>
      </w:pPr>
    </w:p>
    <w:p w14:paraId="0B3C47FB" w14:textId="22A21F2F" w:rsidR="009275D1" w:rsidRDefault="009275D1">
      <w:pPr>
        <w:jc w:val="left"/>
        <w:rPr>
          <w:rFonts w:ascii="Arial" w:hAnsi="Arial" w:cs="Arial"/>
          <w:b/>
        </w:rPr>
      </w:pPr>
    </w:p>
    <w:p w14:paraId="40930DFD" w14:textId="77777777" w:rsidR="009275D1" w:rsidRDefault="009275D1">
      <w:pPr>
        <w:jc w:val="left"/>
        <w:rPr>
          <w:rFonts w:ascii="Arial" w:hAnsi="Arial" w:cs="Arial"/>
          <w:b/>
        </w:rPr>
      </w:pPr>
    </w:p>
    <w:p w14:paraId="5B2EA3CA" w14:textId="702B282E" w:rsidR="00997637" w:rsidRPr="00A845B7" w:rsidRDefault="00997637">
      <w:pPr>
        <w:jc w:val="left"/>
        <w:rPr>
          <w:rFonts w:ascii="Arial" w:hAnsi="Arial" w:cs="Arial"/>
          <w:b/>
        </w:rPr>
      </w:pPr>
      <w:r w:rsidRPr="008C7E4A">
        <w:rPr>
          <w:rFonts w:ascii="Arial" w:hAnsi="Arial" w:cs="Arial"/>
          <w:b/>
        </w:rPr>
        <w:lastRenderedPageBreak/>
        <w:t>Pensions</w:t>
      </w:r>
    </w:p>
    <w:p w14:paraId="274E5CAB" w14:textId="77777777" w:rsidR="00997637" w:rsidRPr="00A03549" w:rsidRDefault="00997637" w:rsidP="00997637">
      <w:pPr>
        <w:jc w:val="left"/>
        <w:rPr>
          <w:rFonts w:ascii="Arial" w:hAnsi="Arial" w:cs="Arial"/>
          <w:b/>
          <w:sz w:val="24"/>
          <w:szCs w:val="24"/>
          <w:highlight w:val="lightGray"/>
        </w:rPr>
      </w:pPr>
    </w:p>
    <w:p w14:paraId="3D99A7D8" w14:textId="45B2CABE" w:rsidR="00A4154E" w:rsidRDefault="00A4154E" w:rsidP="00A4154E">
      <w:pPr>
        <w:jc w:val="left"/>
        <w:rPr>
          <w:rFonts w:ascii="Arial" w:hAnsi="Arial" w:cs="Arial"/>
        </w:rPr>
      </w:pPr>
      <w:bookmarkStart w:id="47" w:name="_Hlk3816305"/>
      <w:r w:rsidRPr="00D978CF">
        <w:rPr>
          <w:rFonts w:ascii="Arial" w:hAnsi="Arial" w:cs="Arial"/>
        </w:rPr>
        <w:t>At the year end, the Group had a net surplus of £</w:t>
      </w:r>
      <w:r w:rsidR="00CA253D">
        <w:rPr>
          <w:rFonts w:ascii="Arial" w:hAnsi="Arial" w:cs="Arial"/>
        </w:rPr>
        <w:t xml:space="preserve">205 </w:t>
      </w:r>
      <w:r w:rsidRPr="00D978CF">
        <w:rPr>
          <w:rFonts w:ascii="Arial" w:hAnsi="Arial" w:cs="Arial"/>
        </w:rPr>
        <w:t>million (201</w:t>
      </w:r>
      <w:r w:rsidR="005A2632">
        <w:rPr>
          <w:rFonts w:ascii="Arial" w:hAnsi="Arial" w:cs="Arial"/>
        </w:rPr>
        <w:t>7</w:t>
      </w:r>
      <w:r w:rsidRPr="00D978CF">
        <w:rPr>
          <w:rFonts w:ascii="Arial" w:hAnsi="Arial" w:cs="Arial"/>
        </w:rPr>
        <w:t>/1</w:t>
      </w:r>
      <w:r w:rsidR="005A2632">
        <w:rPr>
          <w:rFonts w:ascii="Arial" w:hAnsi="Arial" w:cs="Arial"/>
        </w:rPr>
        <w:t>8</w:t>
      </w:r>
      <w:r w:rsidRPr="00D978CF">
        <w:rPr>
          <w:rFonts w:ascii="Arial" w:hAnsi="Arial" w:cs="Arial"/>
        </w:rPr>
        <w:t>: £</w:t>
      </w:r>
      <w:r w:rsidR="005A2632">
        <w:rPr>
          <w:rFonts w:ascii="Arial" w:hAnsi="Arial" w:cs="Arial"/>
        </w:rPr>
        <w:t>99</w:t>
      </w:r>
      <w:r w:rsidRPr="00D978CF">
        <w:rPr>
          <w:rFonts w:ascii="Arial" w:hAnsi="Arial" w:cs="Arial"/>
        </w:rPr>
        <w:t xml:space="preserve"> million net surplus) in relation to defined benefit pension arrangements, of w</w:t>
      </w:r>
      <w:r w:rsidRPr="00CA253D">
        <w:rPr>
          <w:rFonts w:ascii="Arial" w:hAnsi="Arial" w:cs="Arial"/>
        </w:rPr>
        <w:t>hich a £</w:t>
      </w:r>
      <w:r w:rsidR="00CA253D" w:rsidRPr="00CA253D">
        <w:rPr>
          <w:rFonts w:ascii="Arial" w:hAnsi="Arial" w:cs="Arial"/>
        </w:rPr>
        <w:t xml:space="preserve">320 </w:t>
      </w:r>
      <w:r w:rsidRPr="00CA253D">
        <w:rPr>
          <w:rFonts w:ascii="Arial" w:hAnsi="Arial" w:cs="Arial"/>
        </w:rPr>
        <w:t>million surplus (201</w:t>
      </w:r>
      <w:r w:rsidR="005A2632" w:rsidRPr="00CA253D">
        <w:rPr>
          <w:rFonts w:ascii="Arial" w:hAnsi="Arial" w:cs="Arial"/>
        </w:rPr>
        <w:t>7</w:t>
      </w:r>
      <w:r w:rsidRPr="00CA253D">
        <w:rPr>
          <w:rFonts w:ascii="Arial" w:hAnsi="Arial" w:cs="Arial"/>
        </w:rPr>
        <w:t>/1</w:t>
      </w:r>
      <w:r w:rsidR="005A2632" w:rsidRPr="00CA253D">
        <w:rPr>
          <w:rFonts w:ascii="Arial" w:hAnsi="Arial" w:cs="Arial"/>
        </w:rPr>
        <w:t>8</w:t>
      </w:r>
      <w:r w:rsidRPr="00CA253D">
        <w:rPr>
          <w:rFonts w:ascii="Arial" w:hAnsi="Arial" w:cs="Arial"/>
        </w:rPr>
        <w:t>: £2</w:t>
      </w:r>
      <w:r w:rsidR="005A2632" w:rsidRPr="00CA253D">
        <w:rPr>
          <w:rFonts w:ascii="Arial" w:hAnsi="Arial" w:cs="Arial"/>
        </w:rPr>
        <w:t>14</w:t>
      </w:r>
      <w:r w:rsidRPr="00CA253D">
        <w:rPr>
          <w:rFonts w:ascii="Arial" w:hAnsi="Arial" w:cs="Arial"/>
        </w:rPr>
        <w:t xml:space="preserve"> million surplus) was in relation to the UK scheme. The </w:t>
      </w:r>
      <w:r w:rsidR="00CA253D" w:rsidRPr="00CA253D">
        <w:rPr>
          <w:rFonts w:ascii="Arial" w:hAnsi="Arial" w:cs="Arial"/>
        </w:rPr>
        <w:t>favourable</w:t>
      </w:r>
      <w:r w:rsidRPr="00CA253D">
        <w:rPr>
          <w:rFonts w:ascii="Arial" w:hAnsi="Arial" w:cs="Arial"/>
        </w:rPr>
        <w:t xml:space="preserve"> movement is </w:t>
      </w:r>
      <w:r w:rsidR="00CA253D" w:rsidRPr="00C2187E">
        <w:rPr>
          <w:rFonts w:ascii="Arial" w:hAnsi="Arial" w:cs="Arial"/>
        </w:rPr>
        <w:t>mainly due to continued UK employer contributions and a lower pension increase assumption used to measure the UK scheme liabilities</w:t>
      </w:r>
      <w:r w:rsidR="000B7DFF" w:rsidRPr="00CA253D">
        <w:rPr>
          <w:rFonts w:ascii="Arial" w:hAnsi="Arial" w:cs="Arial"/>
        </w:rPr>
        <w:t>.</w:t>
      </w:r>
      <w:r w:rsidRPr="00CA253D">
        <w:rPr>
          <w:rFonts w:ascii="Arial" w:hAnsi="Arial" w:cs="Arial"/>
        </w:rPr>
        <w:t xml:space="preserve"> This accounting valuation is sensitive to various assumptions and market rates which are likely to fluctuate in the future.</w:t>
      </w:r>
      <w:r w:rsidR="005A3517">
        <w:rPr>
          <w:rFonts w:ascii="Arial" w:hAnsi="Arial" w:cs="Arial"/>
        </w:rPr>
        <w:t xml:space="preserve"> </w:t>
      </w:r>
      <w:r w:rsidR="005A3517" w:rsidRPr="005A3517">
        <w:rPr>
          <w:rFonts w:ascii="Arial" w:hAnsi="Arial" w:cs="Arial"/>
        </w:rPr>
        <w:t>A £5</w:t>
      </w:r>
      <w:r w:rsidR="00162007">
        <w:rPr>
          <w:rFonts w:ascii="Arial" w:hAnsi="Arial" w:cs="Arial"/>
        </w:rPr>
        <w:t xml:space="preserve"> </w:t>
      </w:r>
      <w:r w:rsidR="005A3517" w:rsidRPr="005A3517">
        <w:rPr>
          <w:rFonts w:ascii="Arial" w:hAnsi="Arial" w:cs="Arial"/>
        </w:rPr>
        <w:t>m</w:t>
      </w:r>
      <w:r w:rsidR="00162007">
        <w:rPr>
          <w:rFonts w:ascii="Arial" w:hAnsi="Arial" w:cs="Arial"/>
        </w:rPr>
        <w:t>illion</w:t>
      </w:r>
      <w:r w:rsidR="005A3517" w:rsidRPr="005A3517">
        <w:rPr>
          <w:rFonts w:ascii="Arial" w:hAnsi="Arial" w:cs="Arial"/>
        </w:rPr>
        <w:t xml:space="preserve"> exceptional charge has</w:t>
      </w:r>
      <w:r w:rsidR="005A3517">
        <w:rPr>
          <w:rFonts w:ascii="Arial" w:hAnsi="Arial" w:cs="Arial"/>
        </w:rPr>
        <w:t xml:space="preserve"> </w:t>
      </w:r>
      <w:r w:rsidR="005A3517" w:rsidRPr="005A3517">
        <w:rPr>
          <w:rFonts w:ascii="Arial" w:hAnsi="Arial" w:cs="Arial"/>
        </w:rPr>
        <w:t>been recognised in the year relating to the equalisation of guaranteed minimum pension benefits between men and women.</w:t>
      </w:r>
    </w:p>
    <w:p w14:paraId="171048BB" w14:textId="77777777" w:rsidR="003C06D7" w:rsidRDefault="003C06D7" w:rsidP="00997637">
      <w:pPr>
        <w:jc w:val="left"/>
        <w:rPr>
          <w:rFonts w:ascii="Arial" w:hAnsi="Arial" w:cs="Arial"/>
          <w:b/>
        </w:rPr>
      </w:pPr>
      <w:bookmarkStart w:id="48" w:name="_Hlk506474828"/>
      <w:bookmarkEnd w:id="47"/>
    </w:p>
    <w:p w14:paraId="26AF6427" w14:textId="4653C744" w:rsidR="00997637" w:rsidRPr="00A845B7" w:rsidRDefault="00997637" w:rsidP="00997637">
      <w:pPr>
        <w:jc w:val="left"/>
        <w:rPr>
          <w:rFonts w:ascii="Arial" w:hAnsi="Arial" w:cs="Arial"/>
          <w:b/>
        </w:rPr>
      </w:pPr>
      <w:bookmarkStart w:id="49" w:name="_Hlk3409948"/>
      <w:r w:rsidRPr="00A845B7">
        <w:rPr>
          <w:rFonts w:ascii="Arial" w:hAnsi="Arial" w:cs="Arial" w:hint="eastAsia"/>
          <w:b/>
        </w:rPr>
        <w:t>Property</w:t>
      </w:r>
    </w:p>
    <w:p w14:paraId="31A1FBF8" w14:textId="77777777" w:rsidR="00997637" w:rsidRDefault="00997637" w:rsidP="00997637">
      <w:pPr>
        <w:jc w:val="left"/>
        <w:rPr>
          <w:rFonts w:ascii="Arial" w:hAnsi="Arial" w:cs="Arial"/>
          <w:b/>
          <w:sz w:val="24"/>
          <w:szCs w:val="24"/>
        </w:rPr>
      </w:pPr>
    </w:p>
    <w:p w14:paraId="2E4C1DBB" w14:textId="3225D3DD" w:rsidR="00997637" w:rsidRDefault="002A4FC2" w:rsidP="00997637">
      <w:pPr>
        <w:jc w:val="left"/>
        <w:rPr>
          <w:rFonts w:ascii="Arial" w:hAnsi="Arial" w:cs="Arial"/>
        </w:rPr>
      </w:pPr>
      <w:r w:rsidRPr="00342365">
        <w:rPr>
          <w:rFonts w:ascii="Arial" w:hAnsi="Arial" w:cs="Arial"/>
        </w:rPr>
        <w:t xml:space="preserve">Kingfisher owns a significant property portfolio, </w:t>
      </w:r>
      <w:r w:rsidR="00813CDE">
        <w:rPr>
          <w:rFonts w:ascii="Arial" w:hAnsi="Arial" w:cs="Arial"/>
        </w:rPr>
        <w:t xml:space="preserve">almost all </w:t>
      </w:r>
      <w:r w:rsidRPr="00342365">
        <w:rPr>
          <w:rFonts w:ascii="Arial" w:hAnsi="Arial" w:cs="Arial"/>
        </w:rPr>
        <w:t xml:space="preserve">of which is used for trading purposes. A valuation was performed for internal purposes </w:t>
      </w:r>
      <w:r w:rsidRPr="00E1060D">
        <w:rPr>
          <w:rFonts w:ascii="Arial" w:hAnsi="Arial" w:cs="Arial"/>
        </w:rPr>
        <w:t xml:space="preserve">in </w:t>
      </w:r>
      <w:r w:rsidRPr="0035009E">
        <w:rPr>
          <w:rFonts w:ascii="Arial" w:hAnsi="Arial" w:cs="Arial"/>
        </w:rPr>
        <w:t>October 201</w:t>
      </w:r>
      <w:r w:rsidR="00CE5A7A" w:rsidRPr="0035009E">
        <w:rPr>
          <w:rFonts w:ascii="Arial" w:hAnsi="Arial" w:cs="Arial"/>
        </w:rPr>
        <w:t>8</w:t>
      </w:r>
      <w:r w:rsidRPr="00342365">
        <w:rPr>
          <w:rFonts w:ascii="Arial" w:hAnsi="Arial" w:cs="Arial"/>
        </w:rPr>
        <w:t xml:space="preserve"> with the portfolio valued by external professional valuers. Based on this exercise, on a sale and leaseback basis with Kingfisher in occupancy, the value of property is £</w:t>
      </w:r>
      <w:r w:rsidR="009E6458">
        <w:rPr>
          <w:rFonts w:ascii="Arial" w:hAnsi="Arial" w:cs="Arial"/>
        </w:rPr>
        <w:t>3.</w:t>
      </w:r>
      <w:r w:rsidR="00241E62">
        <w:rPr>
          <w:rFonts w:ascii="Arial" w:hAnsi="Arial" w:cs="Arial"/>
        </w:rPr>
        <w:t>4</w:t>
      </w:r>
      <w:r w:rsidR="00CE5A7A" w:rsidRPr="00342365">
        <w:rPr>
          <w:rFonts w:ascii="Arial" w:hAnsi="Arial" w:cs="Arial"/>
        </w:rPr>
        <w:t xml:space="preserve"> </w:t>
      </w:r>
      <w:r w:rsidRPr="00342365">
        <w:rPr>
          <w:rFonts w:ascii="Arial" w:hAnsi="Arial" w:cs="Arial"/>
        </w:rPr>
        <w:t>billion at year end (201</w:t>
      </w:r>
      <w:r w:rsidR="005A2632">
        <w:rPr>
          <w:rFonts w:ascii="Arial" w:hAnsi="Arial" w:cs="Arial"/>
        </w:rPr>
        <w:t>7</w:t>
      </w:r>
      <w:r w:rsidR="00FC5F48" w:rsidRPr="00342365">
        <w:rPr>
          <w:rFonts w:ascii="Arial" w:hAnsi="Arial" w:cs="Arial"/>
        </w:rPr>
        <w:t>/1</w:t>
      </w:r>
      <w:r w:rsidR="005A2632">
        <w:rPr>
          <w:rFonts w:ascii="Arial" w:hAnsi="Arial" w:cs="Arial"/>
        </w:rPr>
        <w:t>8</w:t>
      </w:r>
      <w:r w:rsidRPr="00342365">
        <w:rPr>
          <w:rFonts w:ascii="Arial" w:hAnsi="Arial" w:cs="Arial"/>
        </w:rPr>
        <w:t>: £</w:t>
      </w:r>
      <w:r w:rsidR="00355EF2" w:rsidRPr="00342365">
        <w:rPr>
          <w:rFonts w:ascii="Arial" w:hAnsi="Arial" w:cs="Arial"/>
        </w:rPr>
        <w:t>3</w:t>
      </w:r>
      <w:r w:rsidRPr="00342365">
        <w:rPr>
          <w:rFonts w:ascii="Arial" w:hAnsi="Arial" w:cs="Arial"/>
        </w:rPr>
        <w:t>.</w:t>
      </w:r>
      <w:r w:rsidR="005A2632">
        <w:rPr>
          <w:rFonts w:ascii="Arial" w:hAnsi="Arial" w:cs="Arial"/>
        </w:rPr>
        <w:t>5</w:t>
      </w:r>
      <w:r w:rsidRPr="00342365">
        <w:rPr>
          <w:rFonts w:ascii="Arial" w:hAnsi="Arial" w:cs="Arial"/>
        </w:rPr>
        <w:t xml:space="preserve"> billion).</w:t>
      </w:r>
    </w:p>
    <w:p w14:paraId="391D5119" w14:textId="77777777" w:rsidR="002A4FC2" w:rsidRPr="00A845B7" w:rsidRDefault="002A4FC2" w:rsidP="00997637">
      <w:pPr>
        <w:jc w:val="left"/>
        <w:rPr>
          <w:rFonts w:ascii="Arial" w:hAnsi="Arial" w:cs="Arial"/>
        </w:rPr>
      </w:pPr>
    </w:p>
    <w:tbl>
      <w:tblPr>
        <w:tblW w:w="5000" w:type="pct"/>
        <w:tblLook w:val="04A0" w:firstRow="1" w:lastRow="0" w:firstColumn="1" w:lastColumn="0" w:noHBand="0" w:noVBand="1"/>
      </w:tblPr>
      <w:tblGrid>
        <w:gridCol w:w="4603"/>
        <w:gridCol w:w="1409"/>
        <w:gridCol w:w="1285"/>
        <w:gridCol w:w="1285"/>
        <w:gridCol w:w="1285"/>
      </w:tblGrid>
      <w:tr w:rsidR="00997637" w:rsidRPr="00A845B7" w14:paraId="6FB0AADF" w14:textId="77777777" w:rsidTr="0089005D">
        <w:trPr>
          <w:trHeight w:val="525"/>
        </w:trPr>
        <w:tc>
          <w:tcPr>
            <w:tcW w:w="2332" w:type="pct"/>
            <w:tcBorders>
              <w:top w:val="nil"/>
              <w:left w:val="nil"/>
              <w:bottom w:val="single" w:sz="4" w:space="0" w:color="auto"/>
              <w:right w:val="nil"/>
            </w:tcBorders>
            <w:vAlign w:val="bottom"/>
          </w:tcPr>
          <w:p w14:paraId="34BCEE78" w14:textId="77777777" w:rsidR="00997637" w:rsidRPr="00A845B7" w:rsidRDefault="00997637" w:rsidP="00F24C8A">
            <w:pPr>
              <w:jc w:val="left"/>
              <w:rPr>
                <w:rFonts w:ascii="Arial" w:hAnsi="Arial" w:cs="Arial"/>
                <w:bCs/>
              </w:rPr>
            </w:pPr>
          </w:p>
        </w:tc>
        <w:tc>
          <w:tcPr>
            <w:tcW w:w="714" w:type="pct"/>
            <w:tcBorders>
              <w:top w:val="nil"/>
              <w:left w:val="nil"/>
              <w:bottom w:val="single" w:sz="4" w:space="0" w:color="auto"/>
              <w:right w:val="nil"/>
            </w:tcBorders>
            <w:vAlign w:val="bottom"/>
            <w:hideMark/>
          </w:tcPr>
          <w:p w14:paraId="4F1548E2" w14:textId="542159AA" w:rsidR="00997637" w:rsidRPr="002A4FC2" w:rsidRDefault="00997637" w:rsidP="00F24C8A">
            <w:pPr>
              <w:jc w:val="right"/>
              <w:rPr>
                <w:rFonts w:ascii="Arial" w:hAnsi="Arial" w:cs="Arial"/>
                <w:b/>
                <w:bCs/>
              </w:rPr>
            </w:pPr>
            <w:r w:rsidRPr="002A4FC2">
              <w:rPr>
                <w:rFonts w:ascii="Arial" w:hAnsi="Arial" w:cs="Arial"/>
                <w:b/>
                <w:bCs/>
              </w:rPr>
              <w:t>201</w:t>
            </w:r>
            <w:r w:rsidR="0089005D">
              <w:rPr>
                <w:rFonts w:ascii="Arial" w:hAnsi="Arial" w:cs="Arial"/>
                <w:b/>
                <w:bCs/>
              </w:rPr>
              <w:t>8</w:t>
            </w:r>
            <w:r w:rsidRPr="002A4FC2">
              <w:rPr>
                <w:rFonts w:ascii="Arial" w:hAnsi="Arial" w:cs="Arial"/>
                <w:b/>
                <w:bCs/>
              </w:rPr>
              <w:t>/1</w:t>
            </w:r>
            <w:r w:rsidR="0089005D">
              <w:rPr>
                <w:rFonts w:ascii="Arial" w:hAnsi="Arial" w:cs="Arial"/>
                <w:b/>
                <w:bCs/>
              </w:rPr>
              <w:t>9</w:t>
            </w:r>
          </w:p>
          <w:p w14:paraId="7E99F764" w14:textId="77777777" w:rsidR="00997637" w:rsidRPr="002A4FC2" w:rsidRDefault="00997637" w:rsidP="00F24C8A">
            <w:pPr>
              <w:jc w:val="right"/>
              <w:rPr>
                <w:rFonts w:ascii="Arial" w:hAnsi="Arial" w:cs="Arial"/>
                <w:b/>
                <w:bCs/>
              </w:rPr>
            </w:pPr>
            <w:r w:rsidRPr="002A4FC2">
              <w:rPr>
                <w:rFonts w:ascii="Arial" w:hAnsi="Arial" w:cs="Arial"/>
                <w:b/>
                <w:bCs/>
              </w:rPr>
              <w:t>£bn</w:t>
            </w:r>
          </w:p>
        </w:tc>
        <w:tc>
          <w:tcPr>
            <w:tcW w:w="651" w:type="pct"/>
            <w:tcBorders>
              <w:top w:val="nil"/>
              <w:left w:val="nil"/>
              <w:bottom w:val="single" w:sz="4" w:space="0" w:color="auto"/>
              <w:right w:val="nil"/>
            </w:tcBorders>
            <w:vAlign w:val="bottom"/>
            <w:hideMark/>
          </w:tcPr>
          <w:p w14:paraId="73B4A9BE" w14:textId="3D11DE12" w:rsidR="00997637" w:rsidRPr="002A4FC2" w:rsidRDefault="00997637" w:rsidP="00F24C8A">
            <w:pPr>
              <w:jc w:val="right"/>
              <w:rPr>
                <w:rFonts w:ascii="Arial" w:hAnsi="Arial" w:cs="Arial"/>
                <w:b/>
                <w:bCs/>
              </w:rPr>
            </w:pPr>
            <w:r w:rsidRPr="002A4FC2">
              <w:rPr>
                <w:rFonts w:ascii="Arial" w:hAnsi="Arial" w:cs="Arial"/>
                <w:b/>
                <w:bCs/>
              </w:rPr>
              <w:t>201</w:t>
            </w:r>
            <w:r w:rsidR="0089005D">
              <w:rPr>
                <w:rFonts w:ascii="Arial" w:hAnsi="Arial" w:cs="Arial"/>
                <w:b/>
                <w:bCs/>
              </w:rPr>
              <w:t>8</w:t>
            </w:r>
            <w:r w:rsidRPr="002A4FC2">
              <w:rPr>
                <w:rFonts w:ascii="Arial" w:hAnsi="Arial" w:cs="Arial"/>
                <w:b/>
                <w:bCs/>
              </w:rPr>
              <w:t>/1</w:t>
            </w:r>
            <w:r w:rsidR="0089005D">
              <w:rPr>
                <w:rFonts w:ascii="Arial" w:hAnsi="Arial" w:cs="Arial"/>
                <w:b/>
                <w:bCs/>
              </w:rPr>
              <w:t>9</w:t>
            </w:r>
            <w:r w:rsidRPr="002A4FC2">
              <w:rPr>
                <w:rFonts w:ascii="Arial" w:hAnsi="Arial" w:cs="Arial"/>
                <w:b/>
                <w:bCs/>
              </w:rPr>
              <w:t xml:space="preserve"> Yields</w:t>
            </w:r>
          </w:p>
        </w:tc>
        <w:tc>
          <w:tcPr>
            <w:tcW w:w="651" w:type="pct"/>
            <w:tcBorders>
              <w:top w:val="nil"/>
              <w:left w:val="nil"/>
              <w:bottom w:val="single" w:sz="4" w:space="0" w:color="auto"/>
              <w:right w:val="nil"/>
            </w:tcBorders>
          </w:tcPr>
          <w:p w14:paraId="74E0C5F2" w14:textId="068A4CFD" w:rsidR="00997637" w:rsidRPr="00A845B7" w:rsidRDefault="00997637" w:rsidP="00F24C8A">
            <w:pPr>
              <w:jc w:val="right"/>
              <w:rPr>
                <w:rFonts w:ascii="Arial" w:hAnsi="Arial" w:cs="Arial"/>
                <w:bCs/>
              </w:rPr>
            </w:pPr>
            <w:r w:rsidRPr="00A845B7">
              <w:rPr>
                <w:rFonts w:ascii="Arial" w:hAnsi="Arial" w:cs="Arial"/>
                <w:bCs/>
              </w:rPr>
              <w:t>201</w:t>
            </w:r>
            <w:r w:rsidR="0089005D">
              <w:rPr>
                <w:rFonts w:ascii="Arial" w:hAnsi="Arial" w:cs="Arial"/>
                <w:bCs/>
              </w:rPr>
              <w:t>7</w:t>
            </w:r>
            <w:r w:rsidRPr="00A845B7">
              <w:rPr>
                <w:rFonts w:ascii="Arial" w:hAnsi="Arial" w:cs="Arial"/>
                <w:bCs/>
              </w:rPr>
              <w:t>/1</w:t>
            </w:r>
            <w:r w:rsidR="0089005D">
              <w:rPr>
                <w:rFonts w:ascii="Arial" w:hAnsi="Arial" w:cs="Arial"/>
                <w:bCs/>
              </w:rPr>
              <w:t>8</w:t>
            </w:r>
          </w:p>
          <w:p w14:paraId="6E16D2B7" w14:textId="77777777" w:rsidR="00997637" w:rsidRPr="00A845B7" w:rsidRDefault="00997637" w:rsidP="00F24C8A">
            <w:pPr>
              <w:jc w:val="right"/>
              <w:rPr>
                <w:rFonts w:ascii="Arial" w:hAnsi="Arial" w:cs="Arial"/>
                <w:bCs/>
              </w:rPr>
            </w:pPr>
            <w:r w:rsidRPr="00A845B7">
              <w:rPr>
                <w:rFonts w:ascii="Arial" w:hAnsi="Arial" w:cs="Arial"/>
                <w:bCs/>
              </w:rPr>
              <w:t>£bn</w:t>
            </w:r>
          </w:p>
        </w:tc>
        <w:tc>
          <w:tcPr>
            <w:tcW w:w="651" w:type="pct"/>
            <w:tcBorders>
              <w:top w:val="nil"/>
              <w:left w:val="nil"/>
              <w:bottom w:val="single" w:sz="4" w:space="0" w:color="auto"/>
              <w:right w:val="nil"/>
            </w:tcBorders>
          </w:tcPr>
          <w:p w14:paraId="7C9EB5C8" w14:textId="712AD4E0" w:rsidR="00997637" w:rsidRPr="00A845B7" w:rsidRDefault="00997637" w:rsidP="00F24C8A">
            <w:pPr>
              <w:jc w:val="right"/>
              <w:rPr>
                <w:rFonts w:ascii="Arial" w:hAnsi="Arial" w:cs="Arial"/>
                <w:bCs/>
              </w:rPr>
            </w:pPr>
            <w:r w:rsidRPr="00A845B7">
              <w:rPr>
                <w:rFonts w:ascii="Arial" w:hAnsi="Arial" w:cs="Arial"/>
                <w:bCs/>
              </w:rPr>
              <w:t>201</w:t>
            </w:r>
            <w:r w:rsidR="0089005D">
              <w:rPr>
                <w:rFonts w:ascii="Arial" w:hAnsi="Arial" w:cs="Arial"/>
                <w:bCs/>
              </w:rPr>
              <w:t>7</w:t>
            </w:r>
            <w:r w:rsidRPr="00A845B7">
              <w:rPr>
                <w:rFonts w:ascii="Arial" w:hAnsi="Arial" w:cs="Arial"/>
                <w:bCs/>
              </w:rPr>
              <w:t>/1</w:t>
            </w:r>
            <w:r w:rsidR="0089005D">
              <w:rPr>
                <w:rFonts w:ascii="Arial" w:hAnsi="Arial" w:cs="Arial"/>
                <w:bCs/>
              </w:rPr>
              <w:t>8</w:t>
            </w:r>
            <w:r w:rsidRPr="00A845B7">
              <w:rPr>
                <w:rFonts w:ascii="Arial" w:hAnsi="Arial" w:cs="Arial"/>
                <w:bCs/>
              </w:rPr>
              <w:t xml:space="preserve"> Yields</w:t>
            </w:r>
          </w:p>
        </w:tc>
      </w:tr>
      <w:tr w:rsidR="0089005D" w:rsidRPr="00A845B7" w14:paraId="3137CA10" w14:textId="77777777" w:rsidTr="0089005D">
        <w:trPr>
          <w:trHeight w:val="254"/>
        </w:trPr>
        <w:tc>
          <w:tcPr>
            <w:tcW w:w="2332" w:type="pct"/>
            <w:tcBorders>
              <w:top w:val="single" w:sz="4" w:space="0" w:color="auto"/>
            </w:tcBorders>
            <w:vAlign w:val="bottom"/>
          </w:tcPr>
          <w:p w14:paraId="67981888" w14:textId="77777777" w:rsidR="0089005D" w:rsidRPr="00A845B7" w:rsidRDefault="0089005D" w:rsidP="0089005D">
            <w:pPr>
              <w:rPr>
                <w:rFonts w:ascii="Arial" w:hAnsi="Arial" w:cs="Arial"/>
              </w:rPr>
            </w:pPr>
            <w:r w:rsidRPr="00A845B7">
              <w:rPr>
                <w:rFonts w:ascii="Arial" w:hAnsi="Arial" w:cs="Arial"/>
              </w:rPr>
              <w:t>France</w:t>
            </w:r>
          </w:p>
        </w:tc>
        <w:tc>
          <w:tcPr>
            <w:tcW w:w="714" w:type="pct"/>
            <w:tcBorders>
              <w:top w:val="single" w:sz="4" w:space="0" w:color="auto"/>
            </w:tcBorders>
            <w:vAlign w:val="bottom"/>
          </w:tcPr>
          <w:p w14:paraId="50F20C6C" w14:textId="5B129D7F" w:rsidR="0089005D" w:rsidRPr="0035009E" w:rsidRDefault="0089005D" w:rsidP="0089005D">
            <w:pPr>
              <w:jc w:val="right"/>
              <w:rPr>
                <w:rFonts w:ascii="Arial" w:hAnsi="Arial" w:cs="Arial"/>
                <w:b/>
              </w:rPr>
            </w:pPr>
            <w:r w:rsidRPr="0035009E">
              <w:rPr>
                <w:rFonts w:ascii="Arial" w:hAnsi="Arial" w:cs="Arial"/>
                <w:b/>
              </w:rPr>
              <w:t>1.8</w:t>
            </w:r>
          </w:p>
        </w:tc>
        <w:tc>
          <w:tcPr>
            <w:tcW w:w="651" w:type="pct"/>
            <w:tcBorders>
              <w:top w:val="single" w:sz="4" w:space="0" w:color="auto"/>
            </w:tcBorders>
            <w:vAlign w:val="bottom"/>
          </w:tcPr>
          <w:p w14:paraId="70D35E1A" w14:textId="073C5E3B" w:rsidR="0089005D" w:rsidRPr="0035009E" w:rsidRDefault="0089005D" w:rsidP="0089005D">
            <w:pPr>
              <w:jc w:val="right"/>
              <w:rPr>
                <w:rFonts w:ascii="Arial" w:hAnsi="Arial" w:cs="Arial"/>
                <w:b/>
              </w:rPr>
            </w:pPr>
            <w:r w:rsidRPr="0035009E">
              <w:rPr>
                <w:rFonts w:ascii="Arial" w:hAnsi="Arial" w:cs="Arial"/>
                <w:b/>
              </w:rPr>
              <w:t>7.</w:t>
            </w:r>
            <w:r w:rsidR="00241E62">
              <w:rPr>
                <w:rFonts w:ascii="Arial" w:hAnsi="Arial" w:cs="Arial"/>
                <w:b/>
              </w:rPr>
              <w:t>4</w:t>
            </w:r>
            <w:r w:rsidRPr="0035009E">
              <w:rPr>
                <w:rFonts w:ascii="Arial" w:hAnsi="Arial" w:cs="Arial"/>
                <w:b/>
              </w:rPr>
              <w:t>%</w:t>
            </w:r>
          </w:p>
        </w:tc>
        <w:tc>
          <w:tcPr>
            <w:tcW w:w="651" w:type="pct"/>
            <w:tcBorders>
              <w:top w:val="single" w:sz="4" w:space="0" w:color="auto"/>
            </w:tcBorders>
            <w:vAlign w:val="bottom"/>
          </w:tcPr>
          <w:p w14:paraId="77CE0799" w14:textId="1335840D" w:rsidR="0089005D" w:rsidRPr="0089005D" w:rsidRDefault="0089005D" w:rsidP="0089005D">
            <w:pPr>
              <w:jc w:val="right"/>
              <w:rPr>
                <w:rFonts w:ascii="Arial" w:hAnsi="Arial" w:cs="Arial"/>
              </w:rPr>
            </w:pPr>
            <w:r w:rsidRPr="005D6FAA">
              <w:rPr>
                <w:rFonts w:ascii="Arial" w:hAnsi="Arial" w:cs="Arial"/>
              </w:rPr>
              <w:t>1.8</w:t>
            </w:r>
          </w:p>
        </w:tc>
        <w:tc>
          <w:tcPr>
            <w:tcW w:w="651" w:type="pct"/>
            <w:tcBorders>
              <w:top w:val="single" w:sz="4" w:space="0" w:color="auto"/>
            </w:tcBorders>
            <w:vAlign w:val="bottom"/>
          </w:tcPr>
          <w:p w14:paraId="36067809" w14:textId="071795B5" w:rsidR="0089005D" w:rsidRPr="0089005D" w:rsidRDefault="0089005D" w:rsidP="0089005D">
            <w:pPr>
              <w:jc w:val="right"/>
              <w:rPr>
                <w:rFonts w:ascii="Arial" w:hAnsi="Arial" w:cs="Arial"/>
              </w:rPr>
            </w:pPr>
            <w:r w:rsidRPr="005D6FAA">
              <w:rPr>
                <w:rFonts w:ascii="Arial" w:hAnsi="Arial" w:cs="Arial"/>
              </w:rPr>
              <w:t>7.4%</w:t>
            </w:r>
          </w:p>
        </w:tc>
      </w:tr>
      <w:tr w:rsidR="0089005D" w:rsidRPr="00A845B7" w14:paraId="69B8FBC3" w14:textId="77777777" w:rsidTr="0089005D">
        <w:trPr>
          <w:trHeight w:val="254"/>
        </w:trPr>
        <w:tc>
          <w:tcPr>
            <w:tcW w:w="2332" w:type="pct"/>
            <w:tcBorders>
              <w:left w:val="nil"/>
              <w:bottom w:val="nil"/>
              <w:right w:val="nil"/>
            </w:tcBorders>
            <w:vAlign w:val="bottom"/>
          </w:tcPr>
          <w:p w14:paraId="444F84A8" w14:textId="77777777" w:rsidR="0089005D" w:rsidRPr="00A845B7" w:rsidRDefault="0089005D" w:rsidP="0089005D">
            <w:pPr>
              <w:rPr>
                <w:rFonts w:ascii="Arial" w:hAnsi="Arial" w:cs="Arial"/>
              </w:rPr>
            </w:pPr>
            <w:r w:rsidRPr="00A845B7">
              <w:rPr>
                <w:rFonts w:ascii="Arial" w:hAnsi="Arial" w:cs="Arial"/>
              </w:rPr>
              <w:t>UK</w:t>
            </w:r>
          </w:p>
        </w:tc>
        <w:tc>
          <w:tcPr>
            <w:tcW w:w="714" w:type="pct"/>
            <w:tcBorders>
              <w:left w:val="nil"/>
              <w:bottom w:val="nil"/>
              <w:right w:val="nil"/>
            </w:tcBorders>
            <w:vAlign w:val="bottom"/>
          </w:tcPr>
          <w:p w14:paraId="39A0E764" w14:textId="31F7BB67" w:rsidR="0089005D" w:rsidRPr="0035009E" w:rsidRDefault="0089005D" w:rsidP="0089005D">
            <w:pPr>
              <w:jc w:val="right"/>
              <w:rPr>
                <w:rFonts w:ascii="Arial" w:hAnsi="Arial" w:cs="Arial"/>
                <w:b/>
              </w:rPr>
            </w:pPr>
            <w:r w:rsidRPr="0035009E">
              <w:rPr>
                <w:rFonts w:ascii="Arial" w:hAnsi="Arial" w:cs="Arial"/>
                <w:b/>
              </w:rPr>
              <w:t>0.</w:t>
            </w:r>
            <w:r w:rsidR="00E1060D" w:rsidRPr="0035009E">
              <w:rPr>
                <w:rFonts w:ascii="Arial" w:hAnsi="Arial" w:cs="Arial"/>
                <w:b/>
              </w:rPr>
              <w:t>7</w:t>
            </w:r>
          </w:p>
        </w:tc>
        <w:tc>
          <w:tcPr>
            <w:tcW w:w="651" w:type="pct"/>
            <w:tcBorders>
              <w:left w:val="nil"/>
              <w:bottom w:val="nil"/>
              <w:right w:val="nil"/>
            </w:tcBorders>
            <w:vAlign w:val="bottom"/>
          </w:tcPr>
          <w:p w14:paraId="6CD9B04E" w14:textId="5C009489" w:rsidR="0089005D" w:rsidRPr="0035009E" w:rsidRDefault="00E02F4B" w:rsidP="0089005D">
            <w:pPr>
              <w:jc w:val="right"/>
              <w:rPr>
                <w:rFonts w:ascii="Arial" w:hAnsi="Arial" w:cs="Arial"/>
                <w:b/>
              </w:rPr>
            </w:pPr>
            <w:r>
              <w:rPr>
                <w:rFonts w:ascii="Arial" w:hAnsi="Arial" w:cs="Arial"/>
                <w:b/>
              </w:rPr>
              <w:t>5</w:t>
            </w:r>
            <w:r w:rsidR="003C2667" w:rsidRPr="0035009E">
              <w:rPr>
                <w:rFonts w:ascii="Arial" w:hAnsi="Arial" w:cs="Arial"/>
                <w:b/>
              </w:rPr>
              <w:t>.</w:t>
            </w:r>
            <w:r>
              <w:rPr>
                <w:rFonts w:ascii="Arial" w:hAnsi="Arial" w:cs="Arial"/>
                <w:b/>
              </w:rPr>
              <w:t>7</w:t>
            </w:r>
            <w:r w:rsidR="0089005D" w:rsidRPr="0035009E">
              <w:rPr>
                <w:rFonts w:ascii="Arial" w:hAnsi="Arial" w:cs="Arial"/>
                <w:b/>
              </w:rPr>
              <w:t>%</w:t>
            </w:r>
          </w:p>
        </w:tc>
        <w:tc>
          <w:tcPr>
            <w:tcW w:w="651" w:type="pct"/>
            <w:tcBorders>
              <w:left w:val="nil"/>
              <w:bottom w:val="nil"/>
              <w:right w:val="nil"/>
            </w:tcBorders>
            <w:vAlign w:val="bottom"/>
          </w:tcPr>
          <w:p w14:paraId="764D9D63" w14:textId="2ED6EFF6" w:rsidR="0089005D" w:rsidRPr="0089005D" w:rsidRDefault="0089005D" w:rsidP="0089005D">
            <w:pPr>
              <w:jc w:val="right"/>
              <w:rPr>
                <w:rFonts w:ascii="Arial" w:hAnsi="Arial" w:cs="Arial"/>
              </w:rPr>
            </w:pPr>
            <w:r w:rsidRPr="005D6FAA">
              <w:rPr>
                <w:rFonts w:ascii="Arial" w:hAnsi="Arial" w:cs="Arial"/>
              </w:rPr>
              <w:t>0.8</w:t>
            </w:r>
          </w:p>
        </w:tc>
        <w:tc>
          <w:tcPr>
            <w:tcW w:w="651" w:type="pct"/>
            <w:tcBorders>
              <w:left w:val="nil"/>
              <w:bottom w:val="nil"/>
              <w:right w:val="nil"/>
            </w:tcBorders>
            <w:vAlign w:val="bottom"/>
          </w:tcPr>
          <w:p w14:paraId="1A9BE550" w14:textId="06C0747B" w:rsidR="0089005D" w:rsidRPr="0089005D" w:rsidRDefault="0089005D" w:rsidP="0089005D">
            <w:pPr>
              <w:jc w:val="right"/>
              <w:rPr>
                <w:rFonts w:ascii="Arial" w:hAnsi="Arial" w:cs="Arial"/>
              </w:rPr>
            </w:pPr>
            <w:r w:rsidRPr="005D6FAA">
              <w:rPr>
                <w:rFonts w:ascii="Arial" w:hAnsi="Arial" w:cs="Arial"/>
              </w:rPr>
              <w:t>6.1%</w:t>
            </w:r>
          </w:p>
        </w:tc>
      </w:tr>
      <w:tr w:rsidR="0089005D" w:rsidRPr="00A845B7" w14:paraId="247E34FD" w14:textId="77777777" w:rsidTr="0089005D">
        <w:trPr>
          <w:trHeight w:val="254"/>
        </w:trPr>
        <w:tc>
          <w:tcPr>
            <w:tcW w:w="2332" w:type="pct"/>
            <w:vAlign w:val="bottom"/>
          </w:tcPr>
          <w:p w14:paraId="789F4F8A" w14:textId="77777777" w:rsidR="0089005D" w:rsidRPr="00A845B7" w:rsidRDefault="0089005D" w:rsidP="0089005D">
            <w:pPr>
              <w:rPr>
                <w:rFonts w:ascii="Arial" w:hAnsi="Arial" w:cs="Arial"/>
              </w:rPr>
            </w:pPr>
            <w:r w:rsidRPr="00A845B7">
              <w:rPr>
                <w:rFonts w:ascii="Arial" w:hAnsi="Arial" w:cs="Arial"/>
              </w:rPr>
              <w:t>Poland</w:t>
            </w:r>
          </w:p>
        </w:tc>
        <w:tc>
          <w:tcPr>
            <w:tcW w:w="714" w:type="pct"/>
            <w:vAlign w:val="bottom"/>
          </w:tcPr>
          <w:p w14:paraId="12BB49F6" w14:textId="77777777" w:rsidR="0089005D" w:rsidRPr="0035009E" w:rsidRDefault="0089005D" w:rsidP="0089005D">
            <w:pPr>
              <w:jc w:val="right"/>
              <w:rPr>
                <w:rFonts w:ascii="Arial" w:hAnsi="Arial" w:cs="Arial"/>
                <w:b/>
              </w:rPr>
            </w:pPr>
            <w:r w:rsidRPr="0035009E">
              <w:rPr>
                <w:rFonts w:ascii="Arial" w:hAnsi="Arial" w:cs="Arial"/>
                <w:b/>
              </w:rPr>
              <w:t>0.6</w:t>
            </w:r>
          </w:p>
        </w:tc>
        <w:tc>
          <w:tcPr>
            <w:tcW w:w="651" w:type="pct"/>
            <w:vAlign w:val="bottom"/>
          </w:tcPr>
          <w:p w14:paraId="36111A57" w14:textId="04E06F9E" w:rsidR="0089005D" w:rsidRPr="0035009E" w:rsidRDefault="003C2667" w:rsidP="0089005D">
            <w:pPr>
              <w:jc w:val="right"/>
              <w:rPr>
                <w:rFonts w:ascii="Arial" w:hAnsi="Arial" w:cs="Arial"/>
                <w:b/>
              </w:rPr>
            </w:pPr>
            <w:r w:rsidRPr="0035009E">
              <w:rPr>
                <w:rFonts w:ascii="Arial" w:hAnsi="Arial" w:cs="Arial"/>
                <w:b/>
              </w:rPr>
              <w:t>7.</w:t>
            </w:r>
            <w:r w:rsidR="00241E62">
              <w:rPr>
                <w:rFonts w:ascii="Arial" w:hAnsi="Arial" w:cs="Arial"/>
                <w:b/>
              </w:rPr>
              <w:t>7</w:t>
            </w:r>
            <w:r w:rsidR="0089005D" w:rsidRPr="0035009E">
              <w:rPr>
                <w:rFonts w:ascii="Arial" w:hAnsi="Arial" w:cs="Arial"/>
                <w:b/>
              </w:rPr>
              <w:t>%</w:t>
            </w:r>
          </w:p>
        </w:tc>
        <w:tc>
          <w:tcPr>
            <w:tcW w:w="651" w:type="pct"/>
            <w:vAlign w:val="bottom"/>
          </w:tcPr>
          <w:p w14:paraId="492C4961" w14:textId="20414A6F" w:rsidR="0089005D" w:rsidRPr="0089005D" w:rsidRDefault="0089005D" w:rsidP="0089005D">
            <w:pPr>
              <w:jc w:val="right"/>
              <w:rPr>
                <w:rFonts w:ascii="Arial" w:hAnsi="Arial" w:cs="Arial"/>
              </w:rPr>
            </w:pPr>
            <w:r w:rsidRPr="005D6FAA">
              <w:rPr>
                <w:rFonts w:ascii="Arial" w:hAnsi="Arial" w:cs="Arial"/>
              </w:rPr>
              <w:t>0.6</w:t>
            </w:r>
          </w:p>
        </w:tc>
        <w:tc>
          <w:tcPr>
            <w:tcW w:w="651" w:type="pct"/>
            <w:vAlign w:val="bottom"/>
          </w:tcPr>
          <w:p w14:paraId="4307FCE8" w14:textId="03D13D33" w:rsidR="0089005D" w:rsidRPr="0089005D" w:rsidRDefault="0089005D" w:rsidP="0089005D">
            <w:pPr>
              <w:jc w:val="right"/>
              <w:rPr>
                <w:rFonts w:ascii="Arial" w:hAnsi="Arial" w:cs="Arial"/>
              </w:rPr>
            </w:pPr>
            <w:r w:rsidRPr="005D6FAA">
              <w:rPr>
                <w:rFonts w:ascii="Arial" w:hAnsi="Arial" w:cs="Arial"/>
              </w:rPr>
              <w:t>7.7%</w:t>
            </w:r>
          </w:p>
        </w:tc>
      </w:tr>
      <w:tr w:rsidR="0089005D" w:rsidRPr="00A845B7" w14:paraId="0B3A2BAC" w14:textId="77777777" w:rsidTr="0089005D">
        <w:trPr>
          <w:trHeight w:val="308"/>
        </w:trPr>
        <w:tc>
          <w:tcPr>
            <w:tcW w:w="2332" w:type="pct"/>
            <w:tcBorders>
              <w:top w:val="nil"/>
              <w:left w:val="nil"/>
              <w:bottom w:val="single" w:sz="4" w:space="0" w:color="auto"/>
              <w:right w:val="nil"/>
            </w:tcBorders>
            <w:vAlign w:val="bottom"/>
          </w:tcPr>
          <w:p w14:paraId="18C3862F" w14:textId="77777777" w:rsidR="0089005D" w:rsidRPr="00A845B7" w:rsidRDefault="0089005D" w:rsidP="0089005D">
            <w:pPr>
              <w:jc w:val="left"/>
              <w:rPr>
                <w:rFonts w:ascii="Arial" w:hAnsi="Arial" w:cs="Arial"/>
              </w:rPr>
            </w:pPr>
            <w:r w:rsidRPr="00A845B7">
              <w:rPr>
                <w:rFonts w:ascii="Arial" w:hAnsi="Arial" w:cs="Arial"/>
              </w:rPr>
              <w:t>Other</w:t>
            </w:r>
          </w:p>
        </w:tc>
        <w:tc>
          <w:tcPr>
            <w:tcW w:w="714" w:type="pct"/>
            <w:tcBorders>
              <w:top w:val="nil"/>
              <w:left w:val="nil"/>
              <w:bottom w:val="single" w:sz="4" w:space="0" w:color="auto"/>
              <w:right w:val="nil"/>
            </w:tcBorders>
            <w:vAlign w:val="bottom"/>
          </w:tcPr>
          <w:p w14:paraId="1FFF7C5D" w14:textId="77777777" w:rsidR="0089005D" w:rsidRPr="0035009E" w:rsidRDefault="0089005D" w:rsidP="0089005D">
            <w:pPr>
              <w:jc w:val="right"/>
              <w:rPr>
                <w:rFonts w:ascii="Arial" w:hAnsi="Arial" w:cs="Arial"/>
                <w:b/>
              </w:rPr>
            </w:pPr>
            <w:r w:rsidRPr="0035009E">
              <w:rPr>
                <w:rFonts w:ascii="Arial" w:hAnsi="Arial" w:cs="Arial"/>
                <w:b/>
              </w:rPr>
              <w:t>0.3</w:t>
            </w:r>
          </w:p>
        </w:tc>
        <w:tc>
          <w:tcPr>
            <w:tcW w:w="651" w:type="pct"/>
            <w:tcBorders>
              <w:top w:val="nil"/>
              <w:left w:val="nil"/>
              <w:bottom w:val="single" w:sz="4" w:space="0" w:color="auto"/>
              <w:right w:val="nil"/>
            </w:tcBorders>
            <w:vAlign w:val="bottom"/>
          </w:tcPr>
          <w:p w14:paraId="2752B39C" w14:textId="77777777" w:rsidR="0089005D" w:rsidRPr="0035009E" w:rsidRDefault="0089005D" w:rsidP="0089005D">
            <w:pPr>
              <w:jc w:val="right"/>
              <w:rPr>
                <w:rFonts w:ascii="Arial" w:hAnsi="Arial" w:cs="Arial"/>
                <w:b/>
              </w:rPr>
            </w:pPr>
            <w:r w:rsidRPr="0035009E">
              <w:rPr>
                <w:rFonts w:ascii="Arial" w:hAnsi="Arial" w:cs="Arial"/>
                <w:b/>
              </w:rPr>
              <w:t>-</w:t>
            </w:r>
          </w:p>
        </w:tc>
        <w:tc>
          <w:tcPr>
            <w:tcW w:w="651" w:type="pct"/>
            <w:tcBorders>
              <w:top w:val="nil"/>
              <w:left w:val="nil"/>
              <w:bottom w:val="single" w:sz="4" w:space="0" w:color="auto"/>
              <w:right w:val="nil"/>
            </w:tcBorders>
            <w:vAlign w:val="bottom"/>
          </w:tcPr>
          <w:p w14:paraId="2AC12783" w14:textId="0D257BD6" w:rsidR="0089005D" w:rsidRPr="0089005D" w:rsidRDefault="0089005D" w:rsidP="0089005D">
            <w:pPr>
              <w:jc w:val="right"/>
              <w:rPr>
                <w:rFonts w:ascii="Arial" w:hAnsi="Arial" w:cs="Arial"/>
              </w:rPr>
            </w:pPr>
            <w:r w:rsidRPr="005D6FAA">
              <w:rPr>
                <w:rFonts w:ascii="Arial" w:hAnsi="Arial" w:cs="Arial"/>
              </w:rPr>
              <w:t>0.3</w:t>
            </w:r>
          </w:p>
        </w:tc>
        <w:tc>
          <w:tcPr>
            <w:tcW w:w="651" w:type="pct"/>
            <w:tcBorders>
              <w:top w:val="nil"/>
              <w:left w:val="nil"/>
              <w:bottom w:val="single" w:sz="4" w:space="0" w:color="auto"/>
              <w:right w:val="nil"/>
            </w:tcBorders>
            <w:vAlign w:val="bottom"/>
          </w:tcPr>
          <w:p w14:paraId="4F159D23" w14:textId="720C7DF5" w:rsidR="0089005D" w:rsidRPr="0089005D" w:rsidRDefault="0089005D" w:rsidP="0089005D">
            <w:pPr>
              <w:jc w:val="right"/>
              <w:rPr>
                <w:rFonts w:ascii="Arial" w:hAnsi="Arial" w:cs="Arial"/>
              </w:rPr>
            </w:pPr>
            <w:r w:rsidRPr="005D6FAA">
              <w:rPr>
                <w:rFonts w:ascii="Arial" w:hAnsi="Arial" w:cs="Arial"/>
              </w:rPr>
              <w:t>-</w:t>
            </w:r>
          </w:p>
        </w:tc>
      </w:tr>
      <w:tr w:rsidR="0089005D" w:rsidRPr="00A845B7" w14:paraId="7E7B0409" w14:textId="77777777" w:rsidTr="0089005D">
        <w:trPr>
          <w:trHeight w:val="308"/>
        </w:trPr>
        <w:tc>
          <w:tcPr>
            <w:tcW w:w="2332" w:type="pct"/>
            <w:tcBorders>
              <w:top w:val="single" w:sz="4" w:space="0" w:color="auto"/>
              <w:left w:val="nil"/>
              <w:bottom w:val="single" w:sz="4" w:space="0" w:color="auto"/>
              <w:right w:val="nil"/>
            </w:tcBorders>
            <w:vAlign w:val="bottom"/>
          </w:tcPr>
          <w:p w14:paraId="51AA24CC" w14:textId="77777777" w:rsidR="0089005D" w:rsidRPr="00A845B7" w:rsidRDefault="0089005D" w:rsidP="0089005D">
            <w:pPr>
              <w:jc w:val="left"/>
              <w:rPr>
                <w:rFonts w:ascii="Arial" w:hAnsi="Arial" w:cs="Arial"/>
                <w:b/>
              </w:rPr>
            </w:pPr>
            <w:r w:rsidRPr="00A845B7">
              <w:rPr>
                <w:rFonts w:ascii="Arial" w:hAnsi="Arial" w:cs="Arial"/>
                <w:b/>
              </w:rPr>
              <w:t>Total</w:t>
            </w:r>
          </w:p>
        </w:tc>
        <w:tc>
          <w:tcPr>
            <w:tcW w:w="714" w:type="pct"/>
            <w:tcBorders>
              <w:top w:val="single" w:sz="4" w:space="0" w:color="auto"/>
              <w:left w:val="nil"/>
              <w:bottom w:val="single" w:sz="4" w:space="0" w:color="auto"/>
              <w:right w:val="nil"/>
            </w:tcBorders>
            <w:vAlign w:val="bottom"/>
          </w:tcPr>
          <w:p w14:paraId="0752929C" w14:textId="3126B4A0" w:rsidR="0089005D" w:rsidRPr="0035009E" w:rsidRDefault="0089005D" w:rsidP="0089005D">
            <w:pPr>
              <w:jc w:val="right"/>
              <w:rPr>
                <w:rFonts w:ascii="Arial" w:hAnsi="Arial" w:cs="Arial"/>
                <w:b/>
              </w:rPr>
            </w:pPr>
            <w:r w:rsidRPr="0035009E">
              <w:rPr>
                <w:rFonts w:ascii="Arial" w:hAnsi="Arial" w:cs="Arial"/>
                <w:b/>
              </w:rPr>
              <w:t>3.</w:t>
            </w:r>
            <w:r w:rsidR="00241E62">
              <w:rPr>
                <w:rFonts w:ascii="Arial" w:hAnsi="Arial" w:cs="Arial"/>
                <w:b/>
              </w:rPr>
              <w:t>4</w:t>
            </w:r>
          </w:p>
        </w:tc>
        <w:tc>
          <w:tcPr>
            <w:tcW w:w="651" w:type="pct"/>
            <w:tcBorders>
              <w:top w:val="single" w:sz="4" w:space="0" w:color="auto"/>
              <w:left w:val="nil"/>
              <w:right w:val="nil"/>
            </w:tcBorders>
            <w:vAlign w:val="bottom"/>
          </w:tcPr>
          <w:p w14:paraId="05CF1EC0" w14:textId="77777777" w:rsidR="0089005D" w:rsidRPr="0035009E" w:rsidRDefault="0089005D" w:rsidP="0089005D">
            <w:pPr>
              <w:jc w:val="right"/>
              <w:rPr>
                <w:rFonts w:ascii="Arial" w:hAnsi="Arial" w:cs="Arial"/>
              </w:rPr>
            </w:pPr>
          </w:p>
        </w:tc>
        <w:tc>
          <w:tcPr>
            <w:tcW w:w="651" w:type="pct"/>
            <w:tcBorders>
              <w:top w:val="single" w:sz="4" w:space="0" w:color="auto"/>
              <w:left w:val="nil"/>
              <w:bottom w:val="single" w:sz="4" w:space="0" w:color="auto"/>
              <w:right w:val="nil"/>
            </w:tcBorders>
            <w:vAlign w:val="bottom"/>
          </w:tcPr>
          <w:p w14:paraId="75DB6870" w14:textId="64490934" w:rsidR="0089005D" w:rsidRPr="0089005D" w:rsidRDefault="0089005D" w:rsidP="0089005D">
            <w:pPr>
              <w:jc w:val="right"/>
              <w:rPr>
                <w:rFonts w:ascii="Arial" w:hAnsi="Arial" w:cs="Arial"/>
              </w:rPr>
            </w:pPr>
            <w:r w:rsidRPr="005D6FAA">
              <w:rPr>
                <w:rFonts w:ascii="Arial" w:hAnsi="Arial" w:cs="Arial"/>
              </w:rPr>
              <w:t>3.5</w:t>
            </w:r>
          </w:p>
        </w:tc>
        <w:tc>
          <w:tcPr>
            <w:tcW w:w="651" w:type="pct"/>
            <w:tcBorders>
              <w:top w:val="single" w:sz="4" w:space="0" w:color="auto"/>
              <w:left w:val="nil"/>
              <w:right w:val="nil"/>
            </w:tcBorders>
            <w:vAlign w:val="bottom"/>
          </w:tcPr>
          <w:p w14:paraId="7D4295D5" w14:textId="77777777" w:rsidR="0089005D" w:rsidRPr="00A845B7" w:rsidRDefault="0089005D" w:rsidP="0089005D">
            <w:pPr>
              <w:jc w:val="right"/>
              <w:rPr>
                <w:rFonts w:ascii="Arial" w:hAnsi="Arial" w:cs="Arial"/>
              </w:rPr>
            </w:pPr>
          </w:p>
        </w:tc>
      </w:tr>
    </w:tbl>
    <w:p w14:paraId="5056D09E" w14:textId="77777777" w:rsidR="00997637" w:rsidRDefault="00997637" w:rsidP="00997637">
      <w:pPr>
        <w:jc w:val="left"/>
        <w:rPr>
          <w:rFonts w:ascii="Arial" w:hAnsi="Arial" w:cs="Arial"/>
          <w:bCs/>
          <w:sz w:val="24"/>
          <w:szCs w:val="24"/>
        </w:rPr>
      </w:pPr>
    </w:p>
    <w:p w14:paraId="2D8E2746" w14:textId="5C23293A" w:rsidR="00997637" w:rsidRPr="00686C6E" w:rsidRDefault="00997637" w:rsidP="00997637">
      <w:pPr>
        <w:jc w:val="left"/>
        <w:rPr>
          <w:rFonts w:ascii="Arial" w:hAnsi="Arial" w:cs="Arial"/>
          <w:b/>
        </w:rPr>
      </w:pPr>
      <w:r w:rsidRPr="004F2746">
        <w:rPr>
          <w:rFonts w:ascii="Arial" w:hAnsi="Arial" w:cs="Arial"/>
        </w:rPr>
        <w:t xml:space="preserve">This is compared to the net book value of </w:t>
      </w:r>
      <w:r w:rsidRPr="002146A2">
        <w:rPr>
          <w:rFonts w:ascii="Arial" w:hAnsi="Arial" w:cs="Arial"/>
        </w:rPr>
        <w:t>£</w:t>
      </w:r>
      <w:r w:rsidR="001373C4" w:rsidRPr="0035009E">
        <w:rPr>
          <w:rFonts w:ascii="Arial" w:hAnsi="Arial" w:cs="Arial"/>
        </w:rPr>
        <w:t>2</w:t>
      </w:r>
      <w:r w:rsidR="002A4FC2" w:rsidRPr="0035009E">
        <w:rPr>
          <w:rFonts w:ascii="Arial" w:hAnsi="Arial" w:cs="Arial"/>
        </w:rPr>
        <w:t>.</w:t>
      </w:r>
      <w:r w:rsidR="00241E62">
        <w:rPr>
          <w:rFonts w:ascii="Arial" w:hAnsi="Arial" w:cs="Arial"/>
        </w:rPr>
        <w:t>7</w:t>
      </w:r>
      <w:r w:rsidRPr="002146A2">
        <w:rPr>
          <w:rFonts w:ascii="Arial" w:hAnsi="Arial" w:cs="Arial"/>
        </w:rPr>
        <w:t xml:space="preserve"> billion</w:t>
      </w:r>
      <w:r w:rsidRPr="00FC5F48">
        <w:rPr>
          <w:rFonts w:ascii="Arial" w:hAnsi="Arial" w:cs="Arial"/>
        </w:rPr>
        <w:t xml:space="preserve"> (201</w:t>
      </w:r>
      <w:r w:rsidR="005A2632">
        <w:rPr>
          <w:rFonts w:ascii="Arial" w:hAnsi="Arial" w:cs="Arial"/>
        </w:rPr>
        <w:t>7</w:t>
      </w:r>
      <w:r w:rsidRPr="00FC5F48">
        <w:rPr>
          <w:rFonts w:ascii="Arial" w:hAnsi="Arial" w:cs="Arial"/>
        </w:rPr>
        <w:t>/1</w:t>
      </w:r>
      <w:r w:rsidR="005A2632">
        <w:rPr>
          <w:rFonts w:ascii="Arial" w:hAnsi="Arial" w:cs="Arial"/>
        </w:rPr>
        <w:t>8</w:t>
      </w:r>
      <w:r w:rsidRPr="00FC5F48">
        <w:rPr>
          <w:rFonts w:ascii="Arial" w:hAnsi="Arial" w:cs="Arial"/>
        </w:rPr>
        <w:t>: £2.</w:t>
      </w:r>
      <w:r w:rsidR="005A2632">
        <w:rPr>
          <w:rFonts w:ascii="Arial" w:hAnsi="Arial" w:cs="Arial"/>
        </w:rPr>
        <w:t>8</w:t>
      </w:r>
      <w:r w:rsidRPr="00FC5F48">
        <w:rPr>
          <w:rFonts w:ascii="Arial" w:hAnsi="Arial" w:cs="Arial"/>
        </w:rPr>
        <w:t xml:space="preserve"> billion) recorded in the financial statements</w:t>
      </w:r>
      <w:r w:rsidR="00054408">
        <w:rPr>
          <w:rFonts w:ascii="Arial" w:hAnsi="Arial" w:cs="Arial"/>
        </w:rPr>
        <w:t xml:space="preserve"> (including investment property and property held for resale)</w:t>
      </w:r>
      <w:r w:rsidRPr="00FC5F48">
        <w:rPr>
          <w:rFonts w:ascii="Arial" w:hAnsi="Arial" w:cs="Arial"/>
        </w:rPr>
        <w:t xml:space="preserve">. </w:t>
      </w:r>
      <w:r w:rsidRPr="00FC5F48">
        <w:rPr>
          <w:rFonts w:ascii="Arial" w:hAnsi="Arial" w:cs="Arial"/>
          <w:bCs/>
        </w:rPr>
        <w:t>Balance sheet values were frozen at 1 February 2004 on the transition to IFRS.</w:t>
      </w:r>
      <w:r w:rsidRPr="00686C6E">
        <w:rPr>
          <w:rFonts w:ascii="Arial" w:hAnsi="Arial" w:cs="Arial"/>
          <w:bCs/>
        </w:rPr>
        <w:t xml:space="preserve"> </w:t>
      </w:r>
    </w:p>
    <w:bookmarkEnd w:id="48"/>
    <w:bookmarkEnd w:id="49"/>
    <w:p w14:paraId="41857528" w14:textId="77777777" w:rsidR="00997637" w:rsidRPr="00686C6E" w:rsidRDefault="00997637" w:rsidP="00997637">
      <w:pPr>
        <w:jc w:val="left"/>
        <w:rPr>
          <w:rFonts w:ascii="Arial" w:hAnsi="Arial" w:cs="Arial"/>
          <w:highlight w:val="yellow"/>
        </w:rPr>
      </w:pPr>
    </w:p>
    <w:p w14:paraId="37EC595F" w14:textId="54998574" w:rsidR="00997637" w:rsidRPr="00A845B7" w:rsidRDefault="00997637" w:rsidP="00997637">
      <w:pPr>
        <w:jc w:val="left"/>
        <w:rPr>
          <w:rFonts w:ascii="Arial" w:hAnsi="Arial" w:cs="Arial"/>
          <w:b/>
        </w:rPr>
      </w:pPr>
      <w:r w:rsidRPr="00A845B7">
        <w:rPr>
          <w:rFonts w:ascii="Arial" w:hAnsi="Arial" w:cs="Arial"/>
          <w:b/>
        </w:rPr>
        <w:t>Retail profit on a fully rented basis</w:t>
      </w:r>
    </w:p>
    <w:p w14:paraId="012D6330" w14:textId="77777777" w:rsidR="00997637" w:rsidRPr="00A845B7" w:rsidRDefault="00997637" w:rsidP="00997637">
      <w:pPr>
        <w:jc w:val="left"/>
        <w:rPr>
          <w:rFonts w:ascii="Arial" w:hAnsi="Arial" w:cs="Arial"/>
          <w:b/>
        </w:rPr>
      </w:pPr>
    </w:p>
    <w:p w14:paraId="4542DB77" w14:textId="77777777" w:rsidR="00997637" w:rsidRPr="00A845B7" w:rsidRDefault="00997637" w:rsidP="00997637">
      <w:pPr>
        <w:jc w:val="left"/>
        <w:rPr>
          <w:rFonts w:ascii="Arial" w:hAnsi="Arial" w:cs="Arial"/>
          <w:bCs/>
        </w:rPr>
      </w:pPr>
      <w:r w:rsidRPr="00A845B7">
        <w:rPr>
          <w:rFonts w:ascii="Arial" w:hAnsi="Arial" w:cs="Arial"/>
          <w:bCs/>
        </w:rPr>
        <w:t>The Group currently operates out of a mix of freehold and leasehold property, with the mix varying significantly between our geographic markets. In order to more easily compare divisional performance, a summary of the retail profit margins on a fully rented basis are set out below:</w:t>
      </w:r>
    </w:p>
    <w:p w14:paraId="30EA3275" w14:textId="77777777" w:rsidR="00997637" w:rsidRPr="00A845B7" w:rsidRDefault="00997637" w:rsidP="00997637">
      <w:pPr>
        <w:jc w:val="left"/>
        <w:rPr>
          <w:rFonts w:ascii="Arial" w:hAnsi="Arial" w:cs="Arial"/>
          <w:bCs/>
        </w:rPr>
      </w:pPr>
    </w:p>
    <w:tbl>
      <w:tblPr>
        <w:tblW w:w="5000" w:type="pct"/>
        <w:tblLook w:val="04A0" w:firstRow="1" w:lastRow="0" w:firstColumn="1" w:lastColumn="0" w:noHBand="0" w:noVBand="1"/>
      </w:tblPr>
      <w:tblGrid>
        <w:gridCol w:w="4938"/>
        <w:gridCol w:w="1849"/>
        <w:gridCol w:w="1541"/>
        <w:gridCol w:w="1539"/>
      </w:tblGrid>
      <w:tr w:rsidR="00997637" w:rsidRPr="00A845B7" w14:paraId="0E3ED8A1" w14:textId="77777777" w:rsidTr="006F78D1">
        <w:trPr>
          <w:trHeight w:val="254"/>
        </w:trPr>
        <w:tc>
          <w:tcPr>
            <w:tcW w:w="2502" w:type="pct"/>
            <w:tcBorders>
              <w:bottom w:val="single" w:sz="4" w:space="0" w:color="auto"/>
            </w:tcBorders>
          </w:tcPr>
          <w:p w14:paraId="239E89B9" w14:textId="77777777" w:rsidR="00997637" w:rsidRPr="00A845B7" w:rsidRDefault="00997637" w:rsidP="00F24C8A">
            <w:pPr>
              <w:rPr>
                <w:rFonts w:ascii="Arial" w:hAnsi="Arial" w:cs="Arial"/>
              </w:rPr>
            </w:pPr>
          </w:p>
        </w:tc>
        <w:tc>
          <w:tcPr>
            <w:tcW w:w="937" w:type="pct"/>
            <w:tcBorders>
              <w:bottom w:val="single" w:sz="4" w:space="0" w:color="auto"/>
            </w:tcBorders>
            <w:shd w:val="clear" w:color="000000" w:fill="FFFFFF"/>
            <w:vAlign w:val="bottom"/>
          </w:tcPr>
          <w:p w14:paraId="1416422C" w14:textId="77777777" w:rsidR="00997637" w:rsidRPr="00A845B7" w:rsidRDefault="00997637" w:rsidP="00F24C8A">
            <w:pPr>
              <w:jc w:val="right"/>
              <w:rPr>
                <w:rFonts w:ascii="Arial" w:hAnsi="Arial" w:cs="Arial"/>
              </w:rPr>
            </w:pPr>
            <w:r w:rsidRPr="00A845B7">
              <w:rPr>
                <w:rFonts w:ascii="Arial" w:hAnsi="Arial" w:cs="Arial"/>
                <w:b/>
                <w:bCs/>
              </w:rPr>
              <w:t xml:space="preserve">UK &amp; Ireland </w:t>
            </w:r>
          </w:p>
        </w:tc>
        <w:tc>
          <w:tcPr>
            <w:tcW w:w="781" w:type="pct"/>
            <w:tcBorders>
              <w:bottom w:val="single" w:sz="4" w:space="0" w:color="auto"/>
            </w:tcBorders>
            <w:shd w:val="clear" w:color="000000" w:fill="FFFFFF"/>
            <w:vAlign w:val="bottom"/>
          </w:tcPr>
          <w:p w14:paraId="34F53BCC" w14:textId="77777777" w:rsidR="00997637" w:rsidRPr="00A845B7" w:rsidRDefault="00997637" w:rsidP="00F24C8A">
            <w:pPr>
              <w:jc w:val="right"/>
              <w:rPr>
                <w:rFonts w:ascii="Arial" w:hAnsi="Arial" w:cs="Arial"/>
                <w:b/>
                <w:bCs/>
              </w:rPr>
            </w:pPr>
            <w:r w:rsidRPr="00A845B7">
              <w:rPr>
                <w:rFonts w:ascii="Arial" w:hAnsi="Arial" w:cs="Arial"/>
                <w:b/>
                <w:bCs/>
              </w:rPr>
              <w:t>France</w:t>
            </w:r>
          </w:p>
        </w:tc>
        <w:tc>
          <w:tcPr>
            <w:tcW w:w="780" w:type="pct"/>
            <w:tcBorders>
              <w:bottom w:val="single" w:sz="4" w:space="0" w:color="auto"/>
            </w:tcBorders>
            <w:shd w:val="clear" w:color="000000" w:fill="FFFFFF"/>
            <w:vAlign w:val="bottom"/>
          </w:tcPr>
          <w:p w14:paraId="3F03C239" w14:textId="77777777" w:rsidR="00997637" w:rsidRPr="00A845B7" w:rsidRDefault="00997637" w:rsidP="00F24C8A">
            <w:pPr>
              <w:jc w:val="right"/>
              <w:rPr>
                <w:rFonts w:ascii="Arial" w:hAnsi="Arial" w:cs="Arial"/>
              </w:rPr>
            </w:pPr>
            <w:r w:rsidRPr="00A845B7">
              <w:rPr>
                <w:rFonts w:ascii="Arial" w:hAnsi="Arial" w:cs="Arial"/>
                <w:b/>
                <w:bCs/>
              </w:rPr>
              <w:t>Poland</w:t>
            </w:r>
          </w:p>
        </w:tc>
      </w:tr>
      <w:tr w:rsidR="00997637" w:rsidRPr="00A845B7" w14:paraId="30982702" w14:textId="77777777" w:rsidTr="006F78D1">
        <w:trPr>
          <w:trHeight w:val="254"/>
        </w:trPr>
        <w:tc>
          <w:tcPr>
            <w:tcW w:w="2502" w:type="pct"/>
            <w:tcBorders>
              <w:top w:val="single" w:sz="4" w:space="0" w:color="auto"/>
            </w:tcBorders>
            <w:shd w:val="clear" w:color="auto" w:fill="auto"/>
            <w:vAlign w:val="center"/>
          </w:tcPr>
          <w:p w14:paraId="1C095CC0" w14:textId="77777777" w:rsidR="00997637" w:rsidRPr="00A845B7" w:rsidRDefault="00997637" w:rsidP="00F24C8A">
            <w:pPr>
              <w:rPr>
                <w:rFonts w:ascii="Arial" w:hAnsi="Arial" w:cs="Arial"/>
              </w:rPr>
            </w:pPr>
            <w:r w:rsidRPr="00A845B7">
              <w:rPr>
                <w:rFonts w:ascii="Arial" w:hAnsi="Arial" w:cs="Arial"/>
              </w:rPr>
              <w:t>Retail Profit %</w:t>
            </w:r>
          </w:p>
        </w:tc>
        <w:tc>
          <w:tcPr>
            <w:tcW w:w="937" w:type="pct"/>
            <w:tcBorders>
              <w:top w:val="single" w:sz="4" w:space="0" w:color="auto"/>
            </w:tcBorders>
            <w:shd w:val="clear" w:color="auto" w:fill="auto"/>
          </w:tcPr>
          <w:p w14:paraId="2E37F76F" w14:textId="0082455F" w:rsidR="00997637" w:rsidRPr="0035009E" w:rsidRDefault="00997637" w:rsidP="00F24C8A">
            <w:pPr>
              <w:jc w:val="right"/>
              <w:rPr>
                <w:rFonts w:ascii="Arial" w:hAnsi="Arial" w:cs="Arial"/>
              </w:rPr>
            </w:pPr>
            <w:r w:rsidRPr="0035009E">
              <w:rPr>
                <w:rFonts w:ascii="Arial" w:hAnsi="Arial" w:cs="Arial"/>
              </w:rPr>
              <w:t>7.</w:t>
            </w:r>
            <w:r w:rsidR="001373C4" w:rsidRPr="0035009E">
              <w:rPr>
                <w:rFonts w:ascii="Arial" w:hAnsi="Arial" w:cs="Arial"/>
              </w:rPr>
              <w:t>9</w:t>
            </w:r>
            <w:r w:rsidRPr="0035009E">
              <w:rPr>
                <w:rFonts w:ascii="Arial" w:hAnsi="Arial" w:cs="Arial"/>
              </w:rPr>
              <w:t>%</w:t>
            </w:r>
          </w:p>
        </w:tc>
        <w:tc>
          <w:tcPr>
            <w:tcW w:w="781" w:type="pct"/>
            <w:tcBorders>
              <w:top w:val="single" w:sz="4" w:space="0" w:color="auto"/>
            </w:tcBorders>
          </w:tcPr>
          <w:p w14:paraId="341C3451" w14:textId="00BD4673" w:rsidR="00997637" w:rsidRPr="0035009E" w:rsidRDefault="001373C4" w:rsidP="00F24C8A">
            <w:pPr>
              <w:jc w:val="right"/>
              <w:rPr>
                <w:rFonts w:ascii="Arial" w:hAnsi="Arial" w:cs="Arial"/>
              </w:rPr>
            </w:pPr>
            <w:r w:rsidRPr="0035009E">
              <w:rPr>
                <w:rFonts w:ascii="Arial" w:hAnsi="Arial" w:cs="Arial"/>
              </w:rPr>
              <w:t>4</w:t>
            </w:r>
            <w:r w:rsidR="00997637" w:rsidRPr="0035009E">
              <w:rPr>
                <w:rFonts w:ascii="Arial" w:hAnsi="Arial" w:cs="Arial"/>
              </w:rPr>
              <w:t>.</w:t>
            </w:r>
            <w:r w:rsidRPr="0035009E">
              <w:rPr>
                <w:rFonts w:ascii="Arial" w:hAnsi="Arial" w:cs="Arial"/>
              </w:rPr>
              <w:t>9</w:t>
            </w:r>
            <w:r w:rsidR="00997637" w:rsidRPr="0035009E">
              <w:rPr>
                <w:rFonts w:ascii="Arial" w:hAnsi="Arial" w:cs="Arial"/>
              </w:rPr>
              <w:t>%</w:t>
            </w:r>
          </w:p>
        </w:tc>
        <w:tc>
          <w:tcPr>
            <w:tcW w:w="780" w:type="pct"/>
            <w:tcBorders>
              <w:top w:val="single" w:sz="4" w:space="0" w:color="auto"/>
            </w:tcBorders>
            <w:shd w:val="clear" w:color="auto" w:fill="auto"/>
          </w:tcPr>
          <w:p w14:paraId="390FDCD8" w14:textId="78446933" w:rsidR="00997637" w:rsidRPr="0035009E" w:rsidRDefault="00997637" w:rsidP="00F24C8A">
            <w:pPr>
              <w:jc w:val="right"/>
              <w:rPr>
                <w:rFonts w:ascii="Arial" w:hAnsi="Arial" w:cs="Arial"/>
              </w:rPr>
            </w:pPr>
            <w:r w:rsidRPr="0035009E">
              <w:rPr>
                <w:rFonts w:ascii="Arial" w:hAnsi="Arial" w:cs="Arial"/>
              </w:rPr>
              <w:t>12.</w:t>
            </w:r>
            <w:r w:rsidR="001373C4" w:rsidRPr="0035009E">
              <w:rPr>
                <w:rFonts w:ascii="Arial" w:hAnsi="Arial" w:cs="Arial"/>
              </w:rPr>
              <w:t>7</w:t>
            </w:r>
            <w:r w:rsidRPr="0035009E">
              <w:rPr>
                <w:rFonts w:ascii="Arial" w:hAnsi="Arial" w:cs="Arial"/>
              </w:rPr>
              <w:t>%</w:t>
            </w:r>
          </w:p>
        </w:tc>
      </w:tr>
      <w:tr w:rsidR="00997637" w:rsidRPr="00A845B7" w14:paraId="7FF2FEC5" w14:textId="77777777" w:rsidTr="006F78D1">
        <w:trPr>
          <w:trHeight w:val="254"/>
        </w:trPr>
        <w:tc>
          <w:tcPr>
            <w:tcW w:w="2502" w:type="pct"/>
            <w:shd w:val="clear" w:color="auto" w:fill="auto"/>
            <w:vAlign w:val="center"/>
          </w:tcPr>
          <w:p w14:paraId="581D37B7" w14:textId="77777777" w:rsidR="00997637" w:rsidRPr="00A845B7" w:rsidRDefault="00997637" w:rsidP="00F24C8A">
            <w:pPr>
              <w:rPr>
                <w:rFonts w:ascii="Arial" w:hAnsi="Arial" w:cs="Arial"/>
              </w:rPr>
            </w:pPr>
            <w:r w:rsidRPr="00A845B7">
              <w:rPr>
                <w:rFonts w:ascii="Arial" w:hAnsi="Arial" w:cs="Arial"/>
              </w:rPr>
              <w:t>Adjustment to Leasehold Basis</w:t>
            </w:r>
          </w:p>
        </w:tc>
        <w:tc>
          <w:tcPr>
            <w:tcW w:w="937" w:type="pct"/>
            <w:shd w:val="clear" w:color="auto" w:fill="auto"/>
          </w:tcPr>
          <w:p w14:paraId="73EF45F6" w14:textId="77777777" w:rsidR="00997637" w:rsidRPr="0035009E" w:rsidRDefault="00997637" w:rsidP="00F24C8A">
            <w:pPr>
              <w:jc w:val="right"/>
              <w:rPr>
                <w:rFonts w:ascii="Arial" w:hAnsi="Arial" w:cs="Arial"/>
              </w:rPr>
            </w:pPr>
            <w:r w:rsidRPr="0035009E">
              <w:rPr>
                <w:rFonts w:ascii="Arial" w:hAnsi="Arial" w:cs="Arial"/>
              </w:rPr>
              <w:t>(</w:t>
            </w:r>
            <w:proofErr w:type="gramStart"/>
            <w:r w:rsidRPr="0035009E">
              <w:rPr>
                <w:rFonts w:ascii="Arial" w:hAnsi="Arial" w:cs="Arial"/>
              </w:rPr>
              <w:t>0.9)%</w:t>
            </w:r>
            <w:proofErr w:type="gramEnd"/>
          </w:p>
        </w:tc>
        <w:tc>
          <w:tcPr>
            <w:tcW w:w="781" w:type="pct"/>
          </w:tcPr>
          <w:p w14:paraId="3D5BF071" w14:textId="49B8C70C" w:rsidR="00997637" w:rsidRPr="0035009E" w:rsidRDefault="00997637" w:rsidP="00F24C8A">
            <w:pPr>
              <w:jc w:val="right"/>
              <w:rPr>
                <w:rFonts w:ascii="Arial" w:hAnsi="Arial" w:cs="Arial"/>
              </w:rPr>
            </w:pPr>
            <w:r w:rsidRPr="0035009E">
              <w:rPr>
                <w:rFonts w:ascii="Arial" w:hAnsi="Arial" w:cs="Arial"/>
              </w:rPr>
              <w:t>(</w:t>
            </w:r>
            <w:proofErr w:type="gramStart"/>
            <w:r w:rsidR="001373C4" w:rsidRPr="0035009E">
              <w:rPr>
                <w:rFonts w:ascii="Arial" w:hAnsi="Arial" w:cs="Arial"/>
              </w:rPr>
              <w:t>3</w:t>
            </w:r>
            <w:r w:rsidRPr="0035009E">
              <w:rPr>
                <w:rFonts w:ascii="Arial" w:hAnsi="Arial" w:cs="Arial"/>
              </w:rPr>
              <w:t>.</w:t>
            </w:r>
            <w:r w:rsidR="001373C4" w:rsidRPr="0035009E">
              <w:rPr>
                <w:rFonts w:ascii="Arial" w:hAnsi="Arial" w:cs="Arial"/>
              </w:rPr>
              <w:t>0</w:t>
            </w:r>
            <w:r w:rsidRPr="0035009E">
              <w:rPr>
                <w:rFonts w:ascii="Arial" w:hAnsi="Arial" w:cs="Arial"/>
              </w:rPr>
              <w:t>)%</w:t>
            </w:r>
            <w:proofErr w:type="gramEnd"/>
          </w:p>
        </w:tc>
        <w:tc>
          <w:tcPr>
            <w:tcW w:w="780" w:type="pct"/>
            <w:shd w:val="clear" w:color="auto" w:fill="auto"/>
          </w:tcPr>
          <w:p w14:paraId="0B24057B" w14:textId="61018F18" w:rsidR="00997637" w:rsidRPr="0035009E" w:rsidRDefault="00997637" w:rsidP="00F24C8A">
            <w:pPr>
              <w:jc w:val="right"/>
              <w:rPr>
                <w:rFonts w:ascii="Arial" w:hAnsi="Arial" w:cs="Arial"/>
              </w:rPr>
            </w:pPr>
            <w:r w:rsidRPr="0035009E">
              <w:rPr>
                <w:rFonts w:ascii="Arial" w:hAnsi="Arial" w:cs="Arial"/>
              </w:rPr>
              <w:t>(</w:t>
            </w:r>
            <w:proofErr w:type="gramStart"/>
            <w:r w:rsidR="001373C4" w:rsidRPr="0035009E">
              <w:rPr>
                <w:rFonts w:ascii="Arial" w:hAnsi="Arial" w:cs="Arial"/>
              </w:rPr>
              <w:t>2</w:t>
            </w:r>
            <w:r w:rsidRPr="0035009E">
              <w:rPr>
                <w:rFonts w:ascii="Arial" w:hAnsi="Arial" w:cs="Arial"/>
              </w:rPr>
              <w:t>.</w:t>
            </w:r>
            <w:r w:rsidR="001373C4" w:rsidRPr="0035009E">
              <w:rPr>
                <w:rFonts w:ascii="Arial" w:hAnsi="Arial" w:cs="Arial"/>
              </w:rPr>
              <w:t>6</w:t>
            </w:r>
            <w:r w:rsidRPr="0035009E">
              <w:rPr>
                <w:rFonts w:ascii="Arial" w:hAnsi="Arial" w:cs="Arial"/>
              </w:rPr>
              <w:t>)%</w:t>
            </w:r>
            <w:proofErr w:type="gramEnd"/>
          </w:p>
        </w:tc>
      </w:tr>
      <w:tr w:rsidR="00997637" w:rsidRPr="00A845B7" w14:paraId="43EE00BD" w14:textId="77777777" w:rsidTr="006F78D1">
        <w:trPr>
          <w:trHeight w:val="254"/>
        </w:trPr>
        <w:tc>
          <w:tcPr>
            <w:tcW w:w="2502" w:type="pct"/>
            <w:tcBorders>
              <w:bottom w:val="single" w:sz="4" w:space="0" w:color="auto"/>
            </w:tcBorders>
            <w:shd w:val="clear" w:color="auto" w:fill="auto"/>
            <w:vAlign w:val="center"/>
          </w:tcPr>
          <w:p w14:paraId="2824C986" w14:textId="77777777" w:rsidR="00997637" w:rsidRPr="00A845B7" w:rsidRDefault="00997637" w:rsidP="00F24C8A">
            <w:pPr>
              <w:rPr>
                <w:rFonts w:ascii="Arial" w:hAnsi="Arial" w:cs="Arial"/>
              </w:rPr>
            </w:pPr>
            <w:r w:rsidRPr="00A845B7">
              <w:rPr>
                <w:rFonts w:ascii="Arial" w:hAnsi="Arial" w:cs="Arial"/>
              </w:rPr>
              <w:t>Retail Profit % on Leasehold Basis</w:t>
            </w:r>
          </w:p>
        </w:tc>
        <w:tc>
          <w:tcPr>
            <w:tcW w:w="937" w:type="pct"/>
            <w:tcBorders>
              <w:bottom w:val="single" w:sz="4" w:space="0" w:color="auto"/>
            </w:tcBorders>
            <w:shd w:val="clear" w:color="auto" w:fill="auto"/>
          </w:tcPr>
          <w:p w14:paraId="2653DA32" w14:textId="67D5F6F1" w:rsidR="00997637" w:rsidRPr="0035009E" w:rsidRDefault="001373C4" w:rsidP="00F24C8A">
            <w:pPr>
              <w:jc w:val="right"/>
              <w:rPr>
                <w:rFonts w:ascii="Arial" w:hAnsi="Arial" w:cs="Arial"/>
              </w:rPr>
            </w:pPr>
            <w:r w:rsidRPr="0035009E">
              <w:rPr>
                <w:rFonts w:ascii="Arial" w:hAnsi="Arial" w:cs="Arial"/>
              </w:rPr>
              <w:t>7</w:t>
            </w:r>
            <w:r w:rsidR="00997637" w:rsidRPr="0035009E">
              <w:rPr>
                <w:rFonts w:ascii="Arial" w:hAnsi="Arial" w:cs="Arial"/>
              </w:rPr>
              <w:t>.</w:t>
            </w:r>
            <w:r w:rsidRPr="0035009E">
              <w:rPr>
                <w:rFonts w:ascii="Arial" w:hAnsi="Arial" w:cs="Arial"/>
              </w:rPr>
              <w:t>0</w:t>
            </w:r>
            <w:r w:rsidR="00997637" w:rsidRPr="0035009E">
              <w:rPr>
                <w:rFonts w:ascii="Arial" w:hAnsi="Arial" w:cs="Arial"/>
              </w:rPr>
              <w:t>%</w:t>
            </w:r>
          </w:p>
        </w:tc>
        <w:tc>
          <w:tcPr>
            <w:tcW w:w="781" w:type="pct"/>
            <w:tcBorders>
              <w:bottom w:val="single" w:sz="4" w:space="0" w:color="auto"/>
            </w:tcBorders>
          </w:tcPr>
          <w:p w14:paraId="79E672B2" w14:textId="489EA9D4" w:rsidR="00997637" w:rsidRPr="0035009E" w:rsidRDefault="001373C4" w:rsidP="00F24C8A">
            <w:pPr>
              <w:jc w:val="right"/>
              <w:rPr>
                <w:rFonts w:ascii="Arial" w:hAnsi="Arial" w:cs="Arial"/>
              </w:rPr>
            </w:pPr>
            <w:r w:rsidRPr="0035009E">
              <w:rPr>
                <w:rFonts w:ascii="Arial" w:hAnsi="Arial" w:cs="Arial"/>
              </w:rPr>
              <w:t>1</w:t>
            </w:r>
            <w:r w:rsidR="00A5019B" w:rsidRPr="0035009E">
              <w:rPr>
                <w:rFonts w:ascii="Arial" w:hAnsi="Arial" w:cs="Arial"/>
              </w:rPr>
              <w:t>.</w:t>
            </w:r>
            <w:r w:rsidRPr="0035009E">
              <w:rPr>
                <w:rFonts w:ascii="Arial" w:hAnsi="Arial" w:cs="Arial"/>
              </w:rPr>
              <w:t>9</w:t>
            </w:r>
            <w:r w:rsidR="00997637" w:rsidRPr="0035009E">
              <w:rPr>
                <w:rFonts w:ascii="Arial" w:hAnsi="Arial" w:cs="Arial"/>
              </w:rPr>
              <w:t>%</w:t>
            </w:r>
          </w:p>
        </w:tc>
        <w:tc>
          <w:tcPr>
            <w:tcW w:w="780" w:type="pct"/>
            <w:tcBorders>
              <w:bottom w:val="single" w:sz="4" w:space="0" w:color="auto"/>
            </w:tcBorders>
            <w:shd w:val="clear" w:color="auto" w:fill="auto"/>
          </w:tcPr>
          <w:p w14:paraId="18CB2242" w14:textId="09E5F805" w:rsidR="00997637" w:rsidRPr="0035009E" w:rsidRDefault="001373C4" w:rsidP="00F24C8A">
            <w:pPr>
              <w:jc w:val="right"/>
              <w:rPr>
                <w:rFonts w:ascii="Arial" w:hAnsi="Arial" w:cs="Arial"/>
              </w:rPr>
            </w:pPr>
            <w:r w:rsidRPr="0035009E">
              <w:rPr>
                <w:rFonts w:ascii="Arial" w:hAnsi="Arial" w:cs="Arial"/>
              </w:rPr>
              <w:t>10</w:t>
            </w:r>
            <w:r w:rsidR="00A5019B" w:rsidRPr="0035009E">
              <w:rPr>
                <w:rFonts w:ascii="Arial" w:hAnsi="Arial" w:cs="Arial"/>
              </w:rPr>
              <w:t>.</w:t>
            </w:r>
            <w:r w:rsidR="006766EB" w:rsidRPr="0035009E">
              <w:rPr>
                <w:rFonts w:ascii="Arial" w:hAnsi="Arial" w:cs="Arial"/>
              </w:rPr>
              <w:t>1</w:t>
            </w:r>
            <w:r w:rsidR="00997637" w:rsidRPr="0035009E">
              <w:rPr>
                <w:rFonts w:ascii="Arial" w:hAnsi="Arial" w:cs="Arial"/>
              </w:rPr>
              <w:t>%</w:t>
            </w:r>
          </w:p>
        </w:tc>
      </w:tr>
    </w:tbl>
    <w:p w14:paraId="1C9F266F" w14:textId="77777777" w:rsidR="00997637" w:rsidRDefault="00997637" w:rsidP="00997637">
      <w:pPr>
        <w:jc w:val="left"/>
        <w:rPr>
          <w:rFonts w:ascii="Arial" w:hAnsi="Arial" w:cs="Arial"/>
          <w:b/>
          <w:sz w:val="24"/>
          <w:szCs w:val="24"/>
        </w:rPr>
      </w:pPr>
    </w:p>
    <w:p w14:paraId="3EAAEFEF" w14:textId="41999CCF" w:rsidR="00552AAB" w:rsidRPr="00C2187E" w:rsidRDefault="00125D27" w:rsidP="00552AAB">
      <w:pPr>
        <w:jc w:val="left"/>
        <w:rPr>
          <w:rFonts w:ascii="Arial" w:hAnsi="Arial" w:cs="Arial"/>
          <w:b/>
        </w:rPr>
      </w:pPr>
      <w:bookmarkStart w:id="50" w:name="FR"/>
      <w:bookmarkEnd w:id="50"/>
      <w:r w:rsidRPr="00C2187E">
        <w:rPr>
          <w:rFonts w:ascii="Arial" w:hAnsi="Arial" w:cs="Arial"/>
          <w:b/>
        </w:rPr>
        <w:t xml:space="preserve">Impact of </w:t>
      </w:r>
      <w:r w:rsidR="00552AAB" w:rsidRPr="00C2187E">
        <w:rPr>
          <w:rFonts w:ascii="Arial" w:hAnsi="Arial" w:cs="Arial"/>
          <w:b/>
        </w:rPr>
        <w:t xml:space="preserve">IFRS16 </w:t>
      </w:r>
      <w:r w:rsidRPr="00C2187E">
        <w:rPr>
          <w:rFonts w:ascii="Arial" w:hAnsi="Arial" w:cs="Arial"/>
          <w:b/>
        </w:rPr>
        <w:t>– Leases</w:t>
      </w:r>
    </w:p>
    <w:p w14:paraId="3EC374F9" w14:textId="77777777" w:rsidR="00552AAB" w:rsidRPr="005D6FAA" w:rsidRDefault="00552AAB" w:rsidP="00552AAB">
      <w:pPr>
        <w:jc w:val="left"/>
        <w:rPr>
          <w:rFonts w:ascii="Arial" w:hAnsi="Arial" w:cs="Arial"/>
          <w:b/>
          <w:highlight w:val="yellow"/>
        </w:rPr>
      </w:pPr>
    </w:p>
    <w:p w14:paraId="679DB034" w14:textId="30E0C593" w:rsidR="008835FE" w:rsidRPr="005B131D" w:rsidRDefault="00AA6F62" w:rsidP="005B131D">
      <w:pPr>
        <w:jc w:val="left"/>
        <w:rPr>
          <w:rFonts w:ascii="Arial" w:hAnsi="Arial" w:cs="Arial"/>
          <w:bCs/>
        </w:rPr>
      </w:pPr>
      <w:r w:rsidRPr="00AA6F62">
        <w:rPr>
          <w:rFonts w:ascii="Arial" w:hAnsi="Arial" w:cs="Arial"/>
          <w:bCs/>
        </w:rPr>
        <w:t>IFRS 16 provides a single lessee accounting model and requires a lessee to recognise assets and liabilities for most leases, largely eliminating the current off-balance sheet accounting under IAS 17.</w:t>
      </w:r>
      <w:r>
        <w:rPr>
          <w:rFonts w:ascii="Arial" w:hAnsi="Arial" w:cs="Arial"/>
          <w:bCs/>
        </w:rPr>
        <w:t xml:space="preserve"> </w:t>
      </w:r>
      <w:r w:rsidRPr="005B131D">
        <w:rPr>
          <w:rFonts w:ascii="Arial" w:hAnsi="Arial" w:cs="Arial"/>
          <w:bCs/>
        </w:rPr>
        <w:t xml:space="preserve">IFRS 16 ‘Leases’ </w:t>
      </w:r>
      <w:r w:rsidRPr="008835FE">
        <w:rPr>
          <w:rFonts w:ascii="Arial" w:hAnsi="Arial" w:cs="Arial"/>
          <w:bCs/>
        </w:rPr>
        <w:t xml:space="preserve">supersedes IAS 17 ‘Leases’ and is effective for periods beginning on or after 1 January 2019. </w:t>
      </w:r>
      <w:r w:rsidR="008835FE" w:rsidRPr="008835FE">
        <w:rPr>
          <w:rFonts w:ascii="Arial" w:hAnsi="Arial" w:cs="Arial"/>
          <w:bCs/>
        </w:rPr>
        <w:t xml:space="preserve">The adoption of IFRS 16 will have a material impact on the Group’s primary financial statements, including impacts on operating profit, profit before tax, total assets and total liabilities lines. </w:t>
      </w:r>
    </w:p>
    <w:p w14:paraId="7B64F8CF" w14:textId="77777777" w:rsidR="005B131D" w:rsidRPr="005B131D" w:rsidRDefault="005B131D" w:rsidP="005B131D">
      <w:pPr>
        <w:jc w:val="left"/>
        <w:rPr>
          <w:rFonts w:ascii="Arial" w:hAnsi="Arial" w:cs="Arial"/>
          <w:bCs/>
        </w:rPr>
      </w:pPr>
    </w:p>
    <w:p w14:paraId="708480EA" w14:textId="77777777" w:rsidR="00AD45A9" w:rsidRPr="00AD45A9" w:rsidRDefault="005B131D" w:rsidP="00AD45A9">
      <w:pPr>
        <w:jc w:val="left"/>
        <w:rPr>
          <w:rFonts w:ascii="Arial" w:hAnsi="Arial" w:cs="Arial"/>
          <w:bCs/>
        </w:rPr>
      </w:pPr>
      <w:r w:rsidRPr="005B131D">
        <w:rPr>
          <w:rFonts w:ascii="Arial" w:hAnsi="Arial" w:cs="Arial"/>
          <w:bCs/>
        </w:rPr>
        <w:t>Lessee accounting</w:t>
      </w:r>
      <w:r w:rsidR="00125D27">
        <w:rPr>
          <w:rFonts w:ascii="Arial" w:hAnsi="Arial" w:cs="Arial"/>
          <w:bCs/>
        </w:rPr>
        <w:t xml:space="preserve">: </w:t>
      </w:r>
      <w:r w:rsidR="00AD45A9" w:rsidRPr="00AD45A9">
        <w:rPr>
          <w:rFonts w:ascii="Arial" w:hAnsi="Arial" w:cs="Arial"/>
          <w:bCs/>
        </w:rPr>
        <w:t>For operating leases in which the Group is a lessee, the Group will recognise a new right-of-use asset and a new lease liability for its leases of properties and equipment assets. Existing finance leases and onerous lease provisions for rental charges will be derecognised under IFRS 16.</w:t>
      </w:r>
    </w:p>
    <w:p w14:paraId="265296D5" w14:textId="77777777" w:rsidR="00AD45A9" w:rsidRPr="00AD45A9" w:rsidRDefault="00AD45A9" w:rsidP="00AD45A9">
      <w:pPr>
        <w:jc w:val="left"/>
        <w:rPr>
          <w:rFonts w:ascii="Arial" w:hAnsi="Arial" w:cs="Arial"/>
          <w:bCs/>
        </w:rPr>
      </w:pPr>
    </w:p>
    <w:p w14:paraId="49712CBD" w14:textId="51D25998" w:rsidR="00AD45A9" w:rsidRPr="00AD45A9" w:rsidRDefault="00AD45A9" w:rsidP="00AD45A9">
      <w:pPr>
        <w:jc w:val="left"/>
        <w:rPr>
          <w:rFonts w:ascii="Arial" w:hAnsi="Arial" w:cs="Arial"/>
          <w:bCs/>
        </w:rPr>
      </w:pPr>
      <w:r w:rsidRPr="00AD45A9">
        <w:rPr>
          <w:rFonts w:ascii="Arial" w:hAnsi="Arial" w:cs="Arial"/>
          <w:bCs/>
        </w:rPr>
        <w:t xml:space="preserve">Under IFRS 16 the income statement expense comprises a straight-line depreciation charge on the right-of-use asset and a front-loaded interest charge on the lease liability, both over the term of the </w:t>
      </w:r>
      <w:r w:rsidRPr="00AD45A9">
        <w:rPr>
          <w:rFonts w:ascii="Arial" w:hAnsi="Arial" w:cs="Arial"/>
          <w:bCs/>
        </w:rPr>
        <w:lastRenderedPageBreak/>
        <w:t xml:space="preserve">lease. For an individual lease, this provides </w:t>
      </w:r>
      <w:r w:rsidR="00F12F4E">
        <w:rPr>
          <w:rFonts w:ascii="Arial" w:hAnsi="Arial" w:cs="Arial"/>
          <w:bCs/>
        </w:rPr>
        <w:t xml:space="preserve">an overall front-loaded </w:t>
      </w:r>
      <w:r w:rsidRPr="00AD45A9">
        <w:rPr>
          <w:rFonts w:ascii="Arial" w:hAnsi="Arial" w:cs="Arial"/>
          <w:bCs/>
        </w:rPr>
        <w:t xml:space="preserve">expense profile </w:t>
      </w:r>
      <w:r w:rsidR="00F12F4E">
        <w:rPr>
          <w:rFonts w:ascii="Arial" w:hAnsi="Arial" w:cs="Arial"/>
          <w:bCs/>
        </w:rPr>
        <w:t xml:space="preserve">compared with </w:t>
      </w:r>
      <w:r w:rsidRPr="00AD45A9">
        <w:rPr>
          <w:rFonts w:ascii="Arial" w:hAnsi="Arial" w:cs="Arial"/>
          <w:bCs/>
        </w:rPr>
        <w:t xml:space="preserve">the straight-line rental charge recognised under IAS 17. </w:t>
      </w:r>
    </w:p>
    <w:p w14:paraId="15CE33D1" w14:textId="77777777" w:rsidR="00AD45A9" w:rsidRPr="00AD45A9" w:rsidRDefault="00AD45A9" w:rsidP="00AD45A9">
      <w:pPr>
        <w:jc w:val="left"/>
        <w:rPr>
          <w:rFonts w:ascii="Arial" w:hAnsi="Arial" w:cs="Arial"/>
          <w:bCs/>
        </w:rPr>
      </w:pPr>
    </w:p>
    <w:p w14:paraId="265B54B8" w14:textId="6A4721E4" w:rsidR="00AD45A9" w:rsidRPr="005B131D" w:rsidRDefault="00AD45A9" w:rsidP="00AD45A9">
      <w:pPr>
        <w:jc w:val="left"/>
        <w:rPr>
          <w:rFonts w:ascii="Arial" w:hAnsi="Arial" w:cs="Arial"/>
          <w:bCs/>
        </w:rPr>
      </w:pPr>
      <w:r w:rsidRPr="00AD45A9">
        <w:rPr>
          <w:rFonts w:ascii="Arial" w:hAnsi="Arial" w:cs="Arial"/>
          <w:bCs/>
        </w:rPr>
        <w:t>The historical discount rates applied have been based on the incremental borrowing rate where the implicit rate in the lease is not readily determinable. The lease term comprises the non-cancellable lease term, in addition to optional periods when the Group is reasonably certain to exercise an option to extend (or not to terminate) a lease.</w:t>
      </w:r>
    </w:p>
    <w:p w14:paraId="09991B6C" w14:textId="77777777" w:rsidR="005B131D" w:rsidRPr="005B131D" w:rsidRDefault="005B131D" w:rsidP="00AD45A9">
      <w:pPr>
        <w:jc w:val="left"/>
        <w:rPr>
          <w:rFonts w:ascii="Arial" w:hAnsi="Arial" w:cs="Arial"/>
          <w:bCs/>
        </w:rPr>
      </w:pPr>
    </w:p>
    <w:p w14:paraId="3AA78855" w14:textId="4F65A436" w:rsidR="008835FE" w:rsidRPr="005B131D" w:rsidRDefault="005B131D" w:rsidP="005B131D">
      <w:pPr>
        <w:jc w:val="left"/>
        <w:rPr>
          <w:rFonts w:ascii="Arial" w:hAnsi="Arial" w:cs="Arial"/>
          <w:bCs/>
        </w:rPr>
      </w:pPr>
      <w:r w:rsidRPr="005B131D">
        <w:rPr>
          <w:rFonts w:ascii="Arial" w:hAnsi="Arial" w:cs="Arial"/>
          <w:bCs/>
        </w:rPr>
        <w:t>Lessor accounting</w:t>
      </w:r>
      <w:r w:rsidR="00125D27">
        <w:rPr>
          <w:rFonts w:ascii="Arial" w:hAnsi="Arial" w:cs="Arial"/>
          <w:bCs/>
        </w:rPr>
        <w:t xml:space="preserve">: </w:t>
      </w:r>
      <w:r w:rsidR="008835FE" w:rsidRPr="008835FE">
        <w:rPr>
          <w:rFonts w:ascii="Arial" w:hAnsi="Arial" w:cs="Arial"/>
          <w:bCs/>
        </w:rPr>
        <w:t xml:space="preserve">No significant impact is expected for leases in which the Group is a lessor. Where the Group subleases assets, it is determined whether the sublease should be classified as an operating lease or a finance lease, applying IFRS 16. </w:t>
      </w:r>
    </w:p>
    <w:p w14:paraId="2EAAB53A" w14:textId="77777777" w:rsidR="005B131D" w:rsidRPr="005B131D" w:rsidRDefault="005B131D" w:rsidP="005B131D">
      <w:pPr>
        <w:jc w:val="left"/>
        <w:rPr>
          <w:rFonts w:ascii="Arial" w:hAnsi="Arial" w:cs="Arial"/>
          <w:bCs/>
        </w:rPr>
      </w:pPr>
    </w:p>
    <w:p w14:paraId="55B72EA5" w14:textId="1249CC20" w:rsidR="008835FE" w:rsidRPr="005B131D" w:rsidRDefault="008835FE" w:rsidP="005B131D">
      <w:pPr>
        <w:jc w:val="left"/>
        <w:rPr>
          <w:rFonts w:ascii="Arial" w:hAnsi="Arial" w:cs="Arial"/>
          <w:bCs/>
        </w:rPr>
      </w:pPr>
      <w:r w:rsidRPr="008835FE">
        <w:rPr>
          <w:rFonts w:ascii="Arial" w:hAnsi="Arial" w:cs="Arial"/>
          <w:bCs/>
        </w:rPr>
        <w:t>The Group plans to apply IFRS 16 from 1 February 2019 using the full retrospective method and will thereby restate the comparatives for the year ended 31 January 2019. The Group plans to apply the practical expedient available for low-value items and short-term leases, recognising rental payments for these leases on a straight-line basis but not recognising a right-of-use asset or lease liability.</w:t>
      </w:r>
    </w:p>
    <w:p w14:paraId="6D6FC664" w14:textId="77777777" w:rsidR="005B131D" w:rsidRPr="005B131D" w:rsidRDefault="005B131D" w:rsidP="005B131D">
      <w:pPr>
        <w:jc w:val="left"/>
        <w:rPr>
          <w:rFonts w:ascii="Arial" w:hAnsi="Arial" w:cs="Arial"/>
          <w:bCs/>
        </w:rPr>
      </w:pPr>
    </w:p>
    <w:p w14:paraId="741AEDC0" w14:textId="77777777" w:rsidR="005B131D" w:rsidRPr="00C2187E" w:rsidRDefault="005B131D" w:rsidP="005B131D">
      <w:pPr>
        <w:jc w:val="left"/>
        <w:rPr>
          <w:rFonts w:ascii="Arial" w:hAnsi="Arial" w:cs="Arial"/>
          <w:b/>
          <w:bCs/>
        </w:rPr>
      </w:pPr>
      <w:r w:rsidRPr="00C2187E">
        <w:rPr>
          <w:rFonts w:ascii="Arial" w:hAnsi="Arial" w:cs="Arial"/>
          <w:b/>
          <w:bCs/>
        </w:rPr>
        <w:t>Impact of the new standard</w:t>
      </w:r>
    </w:p>
    <w:p w14:paraId="481FCFAB" w14:textId="77777777" w:rsidR="005B131D" w:rsidRPr="005B131D" w:rsidRDefault="005B131D" w:rsidP="005B131D">
      <w:pPr>
        <w:jc w:val="left"/>
        <w:rPr>
          <w:rFonts w:ascii="Arial" w:hAnsi="Arial" w:cs="Arial"/>
          <w:bCs/>
        </w:rPr>
      </w:pPr>
    </w:p>
    <w:p w14:paraId="511D92AC" w14:textId="29011AEB" w:rsidR="008835FE" w:rsidRPr="005B131D" w:rsidRDefault="008835FE" w:rsidP="005B131D">
      <w:pPr>
        <w:jc w:val="left"/>
        <w:rPr>
          <w:rFonts w:ascii="Arial" w:hAnsi="Arial" w:cs="Arial"/>
          <w:bCs/>
        </w:rPr>
      </w:pPr>
      <w:r w:rsidRPr="008835FE">
        <w:rPr>
          <w:rFonts w:ascii="Arial" w:hAnsi="Arial" w:cs="Arial"/>
          <w:bCs/>
        </w:rPr>
        <w:t>The Group has assessed the impact that the application of IFRS 16 has on its income statement for the year ended 31 January 2019 and on its balance sheet as at that date. The standard is not expected to result in a material impact on restated underlying profit before tax. It is expected that the right-of-use asset recognised on the restated balance sheet as at 31 January 2019 will be c.£</w:t>
      </w:r>
      <w:r w:rsidR="00AA6F62">
        <w:rPr>
          <w:rFonts w:ascii="Arial" w:hAnsi="Arial" w:cs="Arial"/>
          <w:bCs/>
        </w:rPr>
        <w:t>2.0</w:t>
      </w:r>
      <w:r>
        <w:rPr>
          <w:rFonts w:ascii="Arial" w:hAnsi="Arial" w:cs="Arial"/>
          <w:bCs/>
        </w:rPr>
        <w:t xml:space="preserve"> </w:t>
      </w:r>
      <w:r w:rsidRPr="008835FE">
        <w:rPr>
          <w:rFonts w:ascii="Arial" w:hAnsi="Arial" w:cs="Arial"/>
          <w:bCs/>
        </w:rPr>
        <w:t>b</w:t>
      </w:r>
      <w:r>
        <w:rPr>
          <w:rFonts w:ascii="Arial" w:hAnsi="Arial" w:cs="Arial"/>
          <w:bCs/>
        </w:rPr>
        <w:t>illion</w:t>
      </w:r>
      <w:r w:rsidRPr="008835FE">
        <w:rPr>
          <w:rFonts w:ascii="Arial" w:hAnsi="Arial" w:cs="Arial"/>
          <w:bCs/>
        </w:rPr>
        <w:t>, whilst the lease liability will be c.£2.6</w:t>
      </w:r>
      <w:r>
        <w:rPr>
          <w:rFonts w:ascii="Arial" w:hAnsi="Arial" w:cs="Arial"/>
          <w:bCs/>
        </w:rPr>
        <w:t xml:space="preserve"> </w:t>
      </w:r>
      <w:r w:rsidRPr="008835FE">
        <w:rPr>
          <w:rFonts w:ascii="Arial" w:hAnsi="Arial" w:cs="Arial"/>
          <w:bCs/>
        </w:rPr>
        <w:t>b</w:t>
      </w:r>
      <w:r>
        <w:rPr>
          <w:rFonts w:ascii="Arial" w:hAnsi="Arial" w:cs="Arial"/>
          <w:bCs/>
        </w:rPr>
        <w:t>illion</w:t>
      </w:r>
      <w:r w:rsidRPr="008835FE">
        <w:rPr>
          <w:rFonts w:ascii="Arial" w:hAnsi="Arial" w:cs="Arial"/>
          <w:bCs/>
        </w:rPr>
        <w:t>.</w:t>
      </w:r>
    </w:p>
    <w:p w14:paraId="3A673CA1" w14:textId="77777777" w:rsidR="005B131D" w:rsidRPr="005B131D" w:rsidRDefault="005B131D" w:rsidP="005B131D">
      <w:pPr>
        <w:jc w:val="left"/>
        <w:rPr>
          <w:rFonts w:ascii="Arial" w:hAnsi="Arial" w:cs="Arial"/>
          <w:bCs/>
        </w:rPr>
      </w:pPr>
    </w:p>
    <w:p w14:paraId="0E65F1A9" w14:textId="77777777" w:rsidR="008835FE" w:rsidRPr="0035009E" w:rsidRDefault="008835FE" w:rsidP="008835FE">
      <w:pPr>
        <w:rPr>
          <w:rFonts w:ascii="Arial" w:hAnsi="Arial" w:cs="Arial"/>
          <w:b/>
          <w:szCs w:val="18"/>
        </w:rPr>
      </w:pPr>
      <w:r w:rsidRPr="0035009E">
        <w:rPr>
          <w:rFonts w:ascii="Arial" w:hAnsi="Arial" w:cs="Arial"/>
          <w:b/>
          <w:szCs w:val="18"/>
        </w:rPr>
        <w:t>IFRS 16 indicative impact on FY 2018/19 income statement</w:t>
      </w:r>
    </w:p>
    <w:p w14:paraId="77F4A5ED" w14:textId="77777777" w:rsidR="008835FE" w:rsidRDefault="008835FE" w:rsidP="008835FE"/>
    <w:tbl>
      <w:tblPr>
        <w:tblW w:w="9234" w:type="dxa"/>
        <w:tblLook w:val="04A0" w:firstRow="1" w:lastRow="0" w:firstColumn="1" w:lastColumn="0" w:noHBand="0" w:noVBand="1"/>
      </w:tblPr>
      <w:tblGrid>
        <w:gridCol w:w="4724"/>
        <w:gridCol w:w="1446"/>
        <w:gridCol w:w="1618"/>
        <w:gridCol w:w="1446"/>
      </w:tblGrid>
      <w:tr w:rsidR="008835FE" w:rsidRPr="00491202" w14:paraId="41CA5500" w14:textId="77777777" w:rsidTr="0035009E">
        <w:trPr>
          <w:trHeight w:val="256"/>
        </w:trPr>
        <w:tc>
          <w:tcPr>
            <w:tcW w:w="4724" w:type="dxa"/>
            <w:tcBorders>
              <w:top w:val="nil"/>
              <w:left w:val="nil"/>
              <w:bottom w:val="nil"/>
              <w:right w:val="nil"/>
            </w:tcBorders>
            <w:shd w:val="clear" w:color="auto" w:fill="auto"/>
            <w:noWrap/>
            <w:vAlign w:val="bottom"/>
            <w:hideMark/>
          </w:tcPr>
          <w:p w14:paraId="7F8E6483" w14:textId="77777777" w:rsidR="008835FE" w:rsidRPr="0035009E" w:rsidRDefault="008835FE" w:rsidP="00ED4277">
            <w:pPr>
              <w:rPr>
                <w:rFonts w:ascii="Arial" w:hAnsi="Arial" w:cs="Arial"/>
                <w:b/>
                <w:bCs/>
                <w:szCs w:val="16"/>
              </w:rPr>
            </w:pPr>
            <w:r w:rsidRPr="0035009E">
              <w:rPr>
                <w:rFonts w:ascii="Arial" w:hAnsi="Arial" w:cs="Arial"/>
                <w:b/>
                <w:bCs/>
                <w:szCs w:val="16"/>
              </w:rPr>
              <w:t>£m</w:t>
            </w:r>
          </w:p>
        </w:tc>
        <w:tc>
          <w:tcPr>
            <w:tcW w:w="1446" w:type="dxa"/>
            <w:tcBorders>
              <w:top w:val="nil"/>
              <w:left w:val="nil"/>
              <w:bottom w:val="nil"/>
              <w:right w:val="nil"/>
            </w:tcBorders>
            <w:shd w:val="clear" w:color="auto" w:fill="auto"/>
            <w:noWrap/>
            <w:vAlign w:val="bottom"/>
            <w:hideMark/>
          </w:tcPr>
          <w:p w14:paraId="14B2F9B1" w14:textId="77777777" w:rsidR="008835FE" w:rsidRPr="0035009E" w:rsidRDefault="008835FE" w:rsidP="00ED4277">
            <w:pPr>
              <w:jc w:val="center"/>
              <w:rPr>
                <w:rFonts w:ascii="Arial" w:hAnsi="Arial" w:cs="Arial"/>
                <w:b/>
                <w:bCs/>
                <w:szCs w:val="16"/>
              </w:rPr>
            </w:pPr>
            <w:r w:rsidRPr="0035009E">
              <w:rPr>
                <w:rFonts w:ascii="Arial" w:hAnsi="Arial" w:cs="Arial"/>
                <w:b/>
                <w:bCs/>
                <w:szCs w:val="16"/>
              </w:rPr>
              <w:t>IAS 17</w:t>
            </w:r>
          </w:p>
        </w:tc>
        <w:tc>
          <w:tcPr>
            <w:tcW w:w="1618" w:type="dxa"/>
            <w:tcBorders>
              <w:top w:val="nil"/>
              <w:left w:val="nil"/>
              <w:bottom w:val="nil"/>
              <w:right w:val="nil"/>
            </w:tcBorders>
            <w:shd w:val="clear" w:color="auto" w:fill="auto"/>
            <w:noWrap/>
            <w:vAlign w:val="bottom"/>
            <w:hideMark/>
          </w:tcPr>
          <w:p w14:paraId="3121B7C5" w14:textId="29E2BF75" w:rsidR="008835FE" w:rsidRPr="0035009E" w:rsidRDefault="008835FE" w:rsidP="00ED4277">
            <w:pPr>
              <w:jc w:val="center"/>
              <w:rPr>
                <w:rFonts w:ascii="Arial" w:hAnsi="Arial" w:cs="Arial"/>
                <w:b/>
                <w:bCs/>
                <w:szCs w:val="16"/>
              </w:rPr>
            </w:pPr>
            <w:proofErr w:type="gramStart"/>
            <w:r w:rsidRPr="0035009E">
              <w:rPr>
                <w:rFonts w:ascii="Arial" w:hAnsi="Arial" w:cs="Arial"/>
                <w:b/>
                <w:bCs/>
                <w:szCs w:val="16"/>
              </w:rPr>
              <w:t>Adjustment</w:t>
            </w:r>
            <w:r w:rsidRPr="0035009E">
              <w:rPr>
                <w:rFonts w:ascii="Arial" w:hAnsi="Arial" w:cs="Arial"/>
                <w:b/>
                <w:bCs/>
                <w:szCs w:val="16"/>
                <w:vertAlign w:val="superscript"/>
              </w:rPr>
              <w:t>(</w:t>
            </w:r>
            <w:proofErr w:type="gramEnd"/>
            <w:r w:rsidRPr="0035009E">
              <w:rPr>
                <w:rFonts w:ascii="Arial" w:hAnsi="Arial" w:cs="Arial"/>
                <w:b/>
                <w:bCs/>
                <w:szCs w:val="16"/>
                <w:vertAlign w:val="superscript"/>
              </w:rPr>
              <w:t>1)</w:t>
            </w:r>
          </w:p>
        </w:tc>
        <w:tc>
          <w:tcPr>
            <w:tcW w:w="1446" w:type="dxa"/>
            <w:tcBorders>
              <w:top w:val="nil"/>
              <w:left w:val="nil"/>
              <w:bottom w:val="nil"/>
              <w:right w:val="nil"/>
            </w:tcBorders>
            <w:shd w:val="clear" w:color="auto" w:fill="auto"/>
            <w:noWrap/>
            <w:vAlign w:val="bottom"/>
            <w:hideMark/>
          </w:tcPr>
          <w:p w14:paraId="7593CA71" w14:textId="77777777" w:rsidR="008835FE" w:rsidRPr="0035009E" w:rsidRDefault="008835FE" w:rsidP="00ED4277">
            <w:pPr>
              <w:jc w:val="center"/>
              <w:rPr>
                <w:rFonts w:ascii="Arial" w:hAnsi="Arial" w:cs="Arial"/>
                <w:b/>
                <w:bCs/>
                <w:szCs w:val="16"/>
              </w:rPr>
            </w:pPr>
            <w:r w:rsidRPr="0035009E">
              <w:rPr>
                <w:rFonts w:ascii="Arial" w:hAnsi="Arial" w:cs="Arial"/>
                <w:b/>
                <w:bCs/>
                <w:szCs w:val="16"/>
              </w:rPr>
              <w:t>IFRS 16</w:t>
            </w:r>
          </w:p>
        </w:tc>
      </w:tr>
      <w:tr w:rsidR="008835FE" w:rsidRPr="00491202" w14:paraId="3F1CD2DF" w14:textId="77777777" w:rsidTr="0035009E">
        <w:trPr>
          <w:trHeight w:val="256"/>
        </w:trPr>
        <w:tc>
          <w:tcPr>
            <w:tcW w:w="4724" w:type="dxa"/>
            <w:tcBorders>
              <w:top w:val="nil"/>
              <w:left w:val="nil"/>
              <w:bottom w:val="nil"/>
              <w:right w:val="nil"/>
            </w:tcBorders>
            <w:shd w:val="clear" w:color="auto" w:fill="auto"/>
            <w:noWrap/>
            <w:vAlign w:val="bottom"/>
            <w:hideMark/>
          </w:tcPr>
          <w:p w14:paraId="0A2BB5E6" w14:textId="77777777" w:rsidR="008835FE" w:rsidRPr="0035009E" w:rsidRDefault="008835FE" w:rsidP="00ED4277">
            <w:pPr>
              <w:rPr>
                <w:rFonts w:ascii="Arial" w:hAnsi="Arial" w:cs="Arial"/>
                <w:b/>
                <w:bCs/>
                <w:szCs w:val="16"/>
              </w:rPr>
            </w:pPr>
            <w:r w:rsidRPr="0035009E">
              <w:rPr>
                <w:rFonts w:ascii="Arial" w:hAnsi="Arial" w:cs="Arial"/>
                <w:b/>
                <w:bCs/>
                <w:szCs w:val="16"/>
              </w:rPr>
              <w:t> </w:t>
            </w:r>
          </w:p>
        </w:tc>
        <w:tc>
          <w:tcPr>
            <w:tcW w:w="1446" w:type="dxa"/>
            <w:tcBorders>
              <w:top w:val="nil"/>
              <w:left w:val="nil"/>
              <w:bottom w:val="nil"/>
              <w:right w:val="nil"/>
            </w:tcBorders>
            <w:shd w:val="clear" w:color="auto" w:fill="auto"/>
            <w:noWrap/>
            <w:vAlign w:val="bottom"/>
            <w:hideMark/>
          </w:tcPr>
          <w:p w14:paraId="49EDE450"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618" w:type="dxa"/>
            <w:tcBorders>
              <w:top w:val="nil"/>
              <w:left w:val="nil"/>
              <w:bottom w:val="nil"/>
              <w:right w:val="nil"/>
            </w:tcBorders>
            <w:shd w:val="clear" w:color="auto" w:fill="auto"/>
            <w:noWrap/>
            <w:vAlign w:val="bottom"/>
            <w:hideMark/>
          </w:tcPr>
          <w:p w14:paraId="465CADE6"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446" w:type="dxa"/>
            <w:tcBorders>
              <w:top w:val="nil"/>
              <w:left w:val="nil"/>
              <w:bottom w:val="nil"/>
              <w:right w:val="nil"/>
            </w:tcBorders>
            <w:shd w:val="clear" w:color="auto" w:fill="auto"/>
            <w:noWrap/>
            <w:vAlign w:val="bottom"/>
            <w:hideMark/>
          </w:tcPr>
          <w:p w14:paraId="6C882C6A" w14:textId="77777777" w:rsidR="008835FE" w:rsidRPr="0035009E" w:rsidRDefault="008835FE" w:rsidP="00ED4277">
            <w:pPr>
              <w:jc w:val="center"/>
              <w:rPr>
                <w:rFonts w:ascii="Arial" w:hAnsi="Arial" w:cs="Arial"/>
                <w:szCs w:val="16"/>
              </w:rPr>
            </w:pPr>
            <w:r w:rsidRPr="0035009E">
              <w:rPr>
                <w:rFonts w:ascii="Arial" w:hAnsi="Arial" w:cs="Arial"/>
                <w:szCs w:val="16"/>
              </w:rPr>
              <w:t> </w:t>
            </w:r>
          </w:p>
        </w:tc>
      </w:tr>
      <w:tr w:rsidR="008835FE" w:rsidRPr="00491202" w14:paraId="6BDB57A5" w14:textId="77777777" w:rsidTr="0035009E">
        <w:trPr>
          <w:trHeight w:val="256"/>
        </w:trPr>
        <w:tc>
          <w:tcPr>
            <w:tcW w:w="4724" w:type="dxa"/>
            <w:tcBorders>
              <w:top w:val="nil"/>
              <w:left w:val="nil"/>
              <w:bottom w:val="single" w:sz="4" w:space="0" w:color="auto"/>
              <w:right w:val="nil"/>
            </w:tcBorders>
            <w:shd w:val="clear" w:color="auto" w:fill="auto"/>
            <w:noWrap/>
            <w:vAlign w:val="bottom"/>
            <w:hideMark/>
          </w:tcPr>
          <w:p w14:paraId="4FD2924C" w14:textId="03DA4888" w:rsidR="008835FE" w:rsidRPr="0035009E" w:rsidRDefault="00F12F4E" w:rsidP="00ED4277">
            <w:pPr>
              <w:rPr>
                <w:rFonts w:ascii="Arial" w:hAnsi="Arial" w:cs="Arial"/>
                <w:b/>
                <w:bCs/>
                <w:szCs w:val="16"/>
              </w:rPr>
            </w:pPr>
            <w:r>
              <w:rPr>
                <w:rFonts w:ascii="Arial" w:hAnsi="Arial" w:cs="Arial"/>
                <w:b/>
                <w:bCs/>
                <w:szCs w:val="16"/>
              </w:rPr>
              <w:t>Sales</w:t>
            </w:r>
          </w:p>
        </w:tc>
        <w:tc>
          <w:tcPr>
            <w:tcW w:w="1446" w:type="dxa"/>
            <w:tcBorders>
              <w:top w:val="nil"/>
              <w:left w:val="nil"/>
              <w:bottom w:val="single" w:sz="4" w:space="0" w:color="auto"/>
              <w:right w:val="nil"/>
            </w:tcBorders>
            <w:shd w:val="clear" w:color="auto" w:fill="auto"/>
            <w:noWrap/>
            <w:vAlign w:val="bottom"/>
            <w:hideMark/>
          </w:tcPr>
          <w:p w14:paraId="5C434CEB" w14:textId="77777777" w:rsidR="008835FE" w:rsidRPr="0035009E" w:rsidRDefault="008835FE" w:rsidP="00ED4277">
            <w:pPr>
              <w:jc w:val="center"/>
              <w:rPr>
                <w:rFonts w:ascii="Arial" w:hAnsi="Arial" w:cs="Arial"/>
                <w:b/>
                <w:bCs/>
                <w:szCs w:val="16"/>
              </w:rPr>
            </w:pPr>
            <w:r w:rsidRPr="0035009E">
              <w:rPr>
                <w:rFonts w:ascii="Arial" w:hAnsi="Arial" w:cs="Arial"/>
                <w:b/>
                <w:bCs/>
                <w:szCs w:val="16"/>
              </w:rPr>
              <w:t>11,685</w:t>
            </w:r>
          </w:p>
        </w:tc>
        <w:tc>
          <w:tcPr>
            <w:tcW w:w="1618" w:type="dxa"/>
            <w:tcBorders>
              <w:top w:val="nil"/>
              <w:left w:val="nil"/>
              <w:bottom w:val="single" w:sz="4" w:space="0" w:color="auto"/>
              <w:right w:val="nil"/>
            </w:tcBorders>
            <w:shd w:val="clear" w:color="auto" w:fill="auto"/>
            <w:noWrap/>
            <w:vAlign w:val="bottom"/>
            <w:hideMark/>
          </w:tcPr>
          <w:p w14:paraId="1CEAAF03" w14:textId="77777777" w:rsidR="008835FE" w:rsidRPr="0035009E" w:rsidRDefault="008835FE" w:rsidP="00ED4277">
            <w:pPr>
              <w:jc w:val="center"/>
              <w:rPr>
                <w:rFonts w:ascii="Arial" w:hAnsi="Arial" w:cs="Arial"/>
                <w:b/>
                <w:bCs/>
                <w:szCs w:val="16"/>
              </w:rPr>
            </w:pPr>
            <w:r w:rsidRPr="0035009E">
              <w:rPr>
                <w:rFonts w:ascii="Arial" w:hAnsi="Arial" w:cs="Arial"/>
                <w:b/>
                <w:bCs/>
                <w:szCs w:val="16"/>
              </w:rPr>
              <w:t>-</w:t>
            </w:r>
          </w:p>
        </w:tc>
        <w:tc>
          <w:tcPr>
            <w:tcW w:w="1446" w:type="dxa"/>
            <w:tcBorders>
              <w:top w:val="nil"/>
              <w:left w:val="nil"/>
              <w:bottom w:val="single" w:sz="4" w:space="0" w:color="auto"/>
              <w:right w:val="nil"/>
            </w:tcBorders>
            <w:shd w:val="clear" w:color="auto" w:fill="auto"/>
            <w:noWrap/>
            <w:vAlign w:val="bottom"/>
            <w:hideMark/>
          </w:tcPr>
          <w:p w14:paraId="7248BF2F" w14:textId="77777777" w:rsidR="008835FE" w:rsidRPr="0035009E" w:rsidRDefault="008835FE" w:rsidP="00ED4277">
            <w:pPr>
              <w:jc w:val="center"/>
              <w:rPr>
                <w:rFonts w:ascii="Arial" w:hAnsi="Arial" w:cs="Arial"/>
                <w:b/>
                <w:bCs/>
                <w:szCs w:val="16"/>
              </w:rPr>
            </w:pPr>
            <w:r w:rsidRPr="0035009E">
              <w:rPr>
                <w:rFonts w:ascii="Arial" w:hAnsi="Arial" w:cs="Arial"/>
                <w:b/>
                <w:bCs/>
                <w:szCs w:val="16"/>
              </w:rPr>
              <w:t>11,685</w:t>
            </w:r>
          </w:p>
        </w:tc>
      </w:tr>
      <w:tr w:rsidR="008835FE" w:rsidRPr="00491202" w14:paraId="79096A8F" w14:textId="77777777" w:rsidTr="0035009E">
        <w:trPr>
          <w:trHeight w:val="256"/>
        </w:trPr>
        <w:tc>
          <w:tcPr>
            <w:tcW w:w="4724" w:type="dxa"/>
            <w:tcBorders>
              <w:top w:val="nil"/>
              <w:left w:val="nil"/>
              <w:bottom w:val="nil"/>
              <w:right w:val="nil"/>
            </w:tcBorders>
            <w:shd w:val="clear" w:color="auto" w:fill="auto"/>
            <w:noWrap/>
            <w:vAlign w:val="bottom"/>
            <w:hideMark/>
          </w:tcPr>
          <w:p w14:paraId="58BE5298" w14:textId="77777777" w:rsidR="008835FE" w:rsidRPr="0035009E" w:rsidRDefault="008835FE" w:rsidP="00ED4277">
            <w:pPr>
              <w:rPr>
                <w:rFonts w:ascii="Arial" w:hAnsi="Arial" w:cs="Arial"/>
                <w:b/>
                <w:bCs/>
                <w:szCs w:val="16"/>
              </w:rPr>
            </w:pPr>
            <w:r w:rsidRPr="0035009E">
              <w:rPr>
                <w:rFonts w:ascii="Arial" w:hAnsi="Arial" w:cs="Arial"/>
                <w:b/>
                <w:bCs/>
                <w:szCs w:val="16"/>
              </w:rPr>
              <w:t>Retail profit</w:t>
            </w:r>
          </w:p>
        </w:tc>
        <w:tc>
          <w:tcPr>
            <w:tcW w:w="1446" w:type="dxa"/>
            <w:tcBorders>
              <w:top w:val="nil"/>
              <w:left w:val="nil"/>
              <w:bottom w:val="nil"/>
              <w:right w:val="nil"/>
            </w:tcBorders>
            <w:shd w:val="clear" w:color="auto" w:fill="auto"/>
            <w:noWrap/>
            <w:vAlign w:val="bottom"/>
            <w:hideMark/>
          </w:tcPr>
          <w:p w14:paraId="18738297" w14:textId="77777777" w:rsidR="008835FE" w:rsidRPr="0035009E" w:rsidRDefault="008835FE" w:rsidP="00ED4277">
            <w:pPr>
              <w:jc w:val="center"/>
              <w:rPr>
                <w:rFonts w:ascii="Arial" w:hAnsi="Arial" w:cs="Arial"/>
                <w:b/>
                <w:bCs/>
                <w:szCs w:val="16"/>
              </w:rPr>
            </w:pPr>
            <w:r w:rsidRPr="0035009E">
              <w:rPr>
                <w:rFonts w:ascii="Arial" w:hAnsi="Arial" w:cs="Arial"/>
                <w:b/>
                <w:bCs/>
                <w:szCs w:val="16"/>
              </w:rPr>
              <w:t>753</w:t>
            </w:r>
          </w:p>
        </w:tc>
        <w:tc>
          <w:tcPr>
            <w:tcW w:w="1618" w:type="dxa"/>
            <w:tcBorders>
              <w:top w:val="nil"/>
              <w:left w:val="nil"/>
              <w:bottom w:val="nil"/>
              <w:right w:val="nil"/>
            </w:tcBorders>
            <w:shd w:val="clear" w:color="auto" w:fill="auto"/>
            <w:noWrap/>
            <w:vAlign w:val="bottom"/>
            <w:hideMark/>
          </w:tcPr>
          <w:p w14:paraId="22658784" w14:textId="77777777" w:rsidR="008835FE" w:rsidRPr="0035009E" w:rsidRDefault="008835FE" w:rsidP="00ED4277">
            <w:pPr>
              <w:jc w:val="center"/>
              <w:rPr>
                <w:rFonts w:ascii="Arial" w:hAnsi="Arial" w:cs="Arial"/>
                <w:b/>
                <w:bCs/>
                <w:szCs w:val="16"/>
              </w:rPr>
            </w:pPr>
            <w:r w:rsidRPr="0035009E">
              <w:rPr>
                <w:rFonts w:ascii="Arial" w:hAnsi="Arial" w:cs="Arial"/>
                <w:b/>
                <w:bCs/>
                <w:szCs w:val="16"/>
              </w:rPr>
              <w:t>160</w:t>
            </w:r>
          </w:p>
        </w:tc>
        <w:tc>
          <w:tcPr>
            <w:tcW w:w="1446" w:type="dxa"/>
            <w:tcBorders>
              <w:top w:val="nil"/>
              <w:left w:val="nil"/>
              <w:bottom w:val="nil"/>
              <w:right w:val="nil"/>
            </w:tcBorders>
            <w:shd w:val="clear" w:color="auto" w:fill="auto"/>
            <w:noWrap/>
            <w:vAlign w:val="bottom"/>
            <w:hideMark/>
          </w:tcPr>
          <w:p w14:paraId="2C0C9052" w14:textId="77777777" w:rsidR="008835FE" w:rsidRPr="0035009E" w:rsidRDefault="008835FE" w:rsidP="00ED4277">
            <w:pPr>
              <w:jc w:val="center"/>
              <w:rPr>
                <w:rFonts w:ascii="Arial" w:hAnsi="Arial" w:cs="Arial"/>
                <w:b/>
                <w:bCs/>
                <w:szCs w:val="16"/>
              </w:rPr>
            </w:pPr>
            <w:r w:rsidRPr="0035009E">
              <w:rPr>
                <w:rFonts w:ascii="Arial" w:hAnsi="Arial" w:cs="Arial"/>
                <w:b/>
                <w:bCs/>
                <w:szCs w:val="16"/>
              </w:rPr>
              <w:t>913</w:t>
            </w:r>
          </w:p>
        </w:tc>
      </w:tr>
      <w:tr w:rsidR="008835FE" w:rsidRPr="00491202" w14:paraId="0DB15779" w14:textId="77777777" w:rsidTr="00D72F65">
        <w:trPr>
          <w:trHeight w:val="256"/>
        </w:trPr>
        <w:tc>
          <w:tcPr>
            <w:tcW w:w="4724" w:type="dxa"/>
            <w:tcBorders>
              <w:top w:val="nil"/>
              <w:left w:val="nil"/>
              <w:right w:val="nil"/>
            </w:tcBorders>
            <w:shd w:val="clear" w:color="auto" w:fill="auto"/>
            <w:noWrap/>
            <w:vAlign w:val="bottom"/>
            <w:hideMark/>
          </w:tcPr>
          <w:p w14:paraId="7949E8CE" w14:textId="77777777" w:rsidR="008835FE" w:rsidRPr="0035009E" w:rsidRDefault="008835FE" w:rsidP="00ED4277">
            <w:pPr>
              <w:rPr>
                <w:rFonts w:ascii="Arial" w:hAnsi="Arial" w:cs="Arial"/>
                <w:szCs w:val="16"/>
              </w:rPr>
            </w:pPr>
            <w:r w:rsidRPr="0035009E">
              <w:rPr>
                <w:rFonts w:ascii="Arial" w:hAnsi="Arial" w:cs="Arial"/>
                <w:szCs w:val="16"/>
              </w:rPr>
              <w:t>Central costs &amp; JV/associate interest/tax</w:t>
            </w:r>
          </w:p>
        </w:tc>
        <w:tc>
          <w:tcPr>
            <w:tcW w:w="1446" w:type="dxa"/>
            <w:tcBorders>
              <w:top w:val="nil"/>
              <w:left w:val="nil"/>
              <w:right w:val="nil"/>
            </w:tcBorders>
            <w:shd w:val="clear" w:color="auto" w:fill="auto"/>
            <w:noWrap/>
            <w:vAlign w:val="bottom"/>
            <w:hideMark/>
          </w:tcPr>
          <w:p w14:paraId="23752697" w14:textId="77777777" w:rsidR="008835FE" w:rsidRPr="0035009E" w:rsidRDefault="008835FE" w:rsidP="00ED4277">
            <w:pPr>
              <w:jc w:val="center"/>
              <w:rPr>
                <w:rFonts w:ascii="Arial" w:hAnsi="Arial" w:cs="Arial"/>
                <w:szCs w:val="16"/>
              </w:rPr>
            </w:pPr>
            <w:r w:rsidRPr="0035009E">
              <w:rPr>
                <w:rFonts w:ascii="Arial" w:hAnsi="Arial" w:cs="Arial"/>
                <w:szCs w:val="16"/>
              </w:rPr>
              <w:t>(53)</w:t>
            </w:r>
          </w:p>
        </w:tc>
        <w:tc>
          <w:tcPr>
            <w:tcW w:w="1618" w:type="dxa"/>
            <w:tcBorders>
              <w:top w:val="nil"/>
              <w:left w:val="nil"/>
              <w:right w:val="nil"/>
            </w:tcBorders>
            <w:shd w:val="clear" w:color="auto" w:fill="auto"/>
            <w:noWrap/>
            <w:vAlign w:val="bottom"/>
            <w:hideMark/>
          </w:tcPr>
          <w:p w14:paraId="60563D27" w14:textId="77777777" w:rsidR="008835FE" w:rsidRPr="0035009E" w:rsidRDefault="008835FE" w:rsidP="00ED4277">
            <w:pPr>
              <w:jc w:val="center"/>
              <w:rPr>
                <w:rFonts w:ascii="Arial" w:hAnsi="Arial" w:cs="Arial"/>
                <w:szCs w:val="16"/>
              </w:rPr>
            </w:pPr>
            <w:r w:rsidRPr="0035009E">
              <w:rPr>
                <w:rFonts w:ascii="Arial" w:hAnsi="Arial" w:cs="Arial"/>
                <w:szCs w:val="16"/>
              </w:rPr>
              <w:t>-</w:t>
            </w:r>
          </w:p>
        </w:tc>
        <w:tc>
          <w:tcPr>
            <w:tcW w:w="1446" w:type="dxa"/>
            <w:tcBorders>
              <w:top w:val="nil"/>
              <w:left w:val="nil"/>
              <w:right w:val="nil"/>
            </w:tcBorders>
            <w:shd w:val="clear" w:color="auto" w:fill="auto"/>
            <w:noWrap/>
            <w:vAlign w:val="bottom"/>
            <w:hideMark/>
          </w:tcPr>
          <w:p w14:paraId="6774FA40" w14:textId="77777777" w:rsidR="008835FE" w:rsidRPr="0035009E" w:rsidRDefault="008835FE" w:rsidP="00ED4277">
            <w:pPr>
              <w:jc w:val="center"/>
              <w:rPr>
                <w:rFonts w:ascii="Arial" w:hAnsi="Arial" w:cs="Arial"/>
                <w:szCs w:val="16"/>
              </w:rPr>
            </w:pPr>
            <w:r w:rsidRPr="0035009E">
              <w:rPr>
                <w:rFonts w:ascii="Arial" w:hAnsi="Arial" w:cs="Arial"/>
                <w:szCs w:val="16"/>
              </w:rPr>
              <w:t>(53)</w:t>
            </w:r>
          </w:p>
        </w:tc>
      </w:tr>
      <w:tr w:rsidR="008835FE" w:rsidRPr="00491202" w14:paraId="15050BED" w14:textId="77777777" w:rsidTr="00D72F65">
        <w:trPr>
          <w:trHeight w:val="256"/>
        </w:trPr>
        <w:tc>
          <w:tcPr>
            <w:tcW w:w="4724" w:type="dxa"/>
            <w:tcBorders>
              <w:top w:val="nil"/>
              <w:left w:val="nil"/>
              <w:bottom w:val="single" w:sz="4" w:space="0" w:color="auto"/>
              <w:right w:val="nil"/>
            </w:tcBorders>
            <w:shd w:val="clear" w:color="auto" w:fill="auto"/>
            <w:noWrap/>
            <w:vAlign w:val="bottom"/>
            <w:hideMark/>
          </w:tcPr>
          <w:p w14:paraId="677577D9" w14:textId="2A72653E" w:rsidR="008835FE" w:rsidRPr="0035009E" w:rsidRDefault="00AA6F62" w:rsidP="00ED4277">
            <w:pPr>
              <w:rPr>
                <w:rFonts w:ascii="Arial" w:hAnsi="Arial" w:cs="Arial"/>
                <w:szCs w:val="16"/>
              </w:rPr>
            </w:pPr>
            <w:r>
              <w:rPr>
                <w:rFonts w:ascii="Arial" w:hAnsi="Arial" w:cs="Arial"/>
                <w:szCs w:val="16"/>
              </w:rPr>
              <w:t>Finance costs</w:t>
            </w:r>
            <w:r w:rsidRPr="0035009E">
              <w:rPr>
                <w:rFonts w:ascii="Arial" w:hAnsi="Arial" w:cs="Arial"/>
                <w:szCs w:val="16"/>
              </w:rPr>
              <w:t xml:space="preserve"> </w:t>
            </w:r>
            <w:r w:rsidR="008835FE" w:rsidRPr="0035009E">
              <w:rPr>
                <w:rFonts w:ascii="Arial" w:hAnsi="Arial" w:cs="Arial"/>
                <w:szCs w:val="16"/>
              </w:rPr>
              <w:t xml:space="preserve">(excl. lease FX) </w:t>
            </w:r>
            <w:r w:rsidR="008835FE" w:rsidRPr="0035009E">
              <w:rPr>
                <w:rFonts w:ascii="Arial" w:hAnsi="Arial" w:cs="Arial"/>
                <w:szCs w:val="16"/>
                <w:vertAlign w:val="superscript"/>
              </w:rPr>
              <w:t>(2)</w:t>
            </w:r>
          </w:p>
        </w:tc>
        <w:tc>
          <w:tcPr>
            <w:tcW w:w="1446" w:type="dxa"/>
            <w:tcBorders>
              <w:top w:val="nil"/>
              <w:left w:val="nil"/>
              <w:bottom w:val="single" w:sz="4" w:space="0" w:color="auto"/>
              <w:right w:val="nil"/>
            </w:tcBorders>
            <w:shd w:val="clear" w:color="auto" w:fill="auto"/>
            <w:noWrap/>
            <w:vAlign w:val="bottom"/>
            <w:hideMark/>
          </w:tcPr>
          <w:p w14:paraId="2083B732" w14:textId="77777777" w:rsidR="008835FE" w:rsidRPr="0035009E" w:rsidRDefault="008835FE" w:rsidP="00ED4277">
            <w:pPr>
              <w:jc w:val="center"/>
              <w:rPr>
                <w:rFonts w:ascii="Arial" w:hAnsi="Arial" w:cs="Arial"/>
                <w:szCs w:val="16"/>
              </w:rPr>
            </w:pPr>
            <w:r w:rsidRPr="0035009E">
              <w:rPr>
                <w:rFonts w:ascii="Arial" w:hAnsi="Arial" w:cs="Arial"/>
                <w:szCs w:val="16"/>
              </w:rPr>
              <w:t>(7)</w:t>
            </w:r>
          </w:p>
        </w:tc>
        <w:tc>
          <w:tcPr>
            <w:tcW w:w="1618" w:type="dxa"/>
            <w:tcBorders>
              <w:top w:val="nil"/>
              <w:left w:val="nil"/>
              <w:bottom w:val="single" w:sz="4" w:space="0" w:color="auto"/>
              <w:right w:val="nil"/>
            </w:tcBorders>
            <w:shd w:val="clear" w:color="auto" w:fill="auto"/>
            <w:noWrap/>
            <w:vAlign w:val="bottom"/>
            <w:hideMark/>
          </w:tcPr>
          <w:p w14:paraId="7817BA33" w14:textId="77777777" w:rsidR="008835FE" w:rsidRPr="0035009E" w:rsidRDefault="008835FE" w:rsidP="00ED4277">
            <w:pPr>
              <w:jc w:val="center"/>
              <w:rPr>
                <w:rFonts w:ascii="Arial" w:hAnsi="Arial" w:cs="Arial"/>
                <w:szCs w:val="16"/>
              </w:rPr>
            </w:pPr>
            <w:r w:rsidRPr="0035009E">
              <w:rPr>
                <w:rFonts w:ascii="Arial" w:hAnsi="Arial" w:cs="Arial"/>
                <w:szCs w:val="16"/>
              </w:rPr>
              <w:t>(170)</w:t>
            </w:r>
          </w:p>
        </w:tc>
        <w:tc>
          <w:tcPr>
            <w:tcW w:w="1446" w:type="dxa"/>
            <w:tcBorders>
              <w:top w:val="nil"/>
              <w:left w:val="nil"/>
              <w:bottom w:val="single" w:sz="4" w:space="0" w:color="auto"/>
              <w:right w:val="nil"/>
            </w:tcBorders>
            <w:shd w:val="clear" w:color="auto" w:fill="auto"/>
            <w:noWrap/>
            <w:vAlign w:val="bottom"/>
            <w:hideMark/>
          </w:tcPr>
          <w:p w14:paraId="414F29D8" w14:textId="77777777" w:rsidR="008835FE" w:rsidRPr="0035009E" w:rsidRDefault="008835FE" w:rsidP="00ED4277">
            <w:pPr>
              <w:jc w:val="center"/>
              <w:rPr>
                <w:rFonts w:ascii="Arial" w:hAnsi="Arial" w:cs="Arial"/>
                <w:szCs w:val="16"/>
              </w:rPr>
            </w:pPr>
            <w:r w:rsidRPr="0035009E">
              <w:rPr>
                <w:rFonts w:ascii="Arial" w:hAnsi="Arial" w:cs="Arial"/>
                <w:szCs w:val="16"/>
              </w:rPr>
              <w:t>(177)</w:t>
            </w:r>
          </w:p>
        </w:tc>
      </w:tr>
      <w:tr w:rsidR="008835FE" w:rsidRPr="00491202" w14:paraId="60E9E2BC" w14:textId="77777777" w:rsidTr="00D72F65">
        <w:trPr>
          <w:trHeight w:val="271"/>
        </w:trPr>
        <w:tc>
          <w:tcPr>
            <w:tcW w:w="4724" w:type="dxa"/>
            <w:tcBorders>
              <w:top w:val="single" w:sz="4" w:space="0" w:color="auto"/>
              <w:left w:val="nil"/>
              <w:bottom w:val="single" w:sz="4" w:space="0" w:color="auto"/>
              <w:right w:val="nil"/>
            </w:tcBorders>
            <w:shd w:val="clear" w:color="auto" w:fill="auto"/>
            <w:noWrap/>
            <w:vAlign w:val="bottom"/>
            <w:hideMark/>
          </w:tcPr>
          <w:p w14:paraId="7DA74F5F" w14:textId="77777777" w:rsidR="008835FE" w:rsidRPr="0035009E" w:rsidRDefault="008835FE" w:rsidP="00ED4277">
            <w:pPr>
              <w:rPr>
                <w:rFonts w:ascii="Arial" w:hAnsi="Arial" w:cs="Arial"/>
                <w:b/>
                <w:bCs/>
                <w:szCs w:val="16"/>
              </w:rPr>
            </w:pPr>
            <w:r w:rsidRPr="0035009E">
              <w:rPr>
                <w:rFonts w:ascii="Arial" w:hAnsi="Arial" w:cs="Arial"/>
                <w:b/>
                <w:bCs/>
                <w:szCs w:val="16"/>
              </w:rPr>
              <w:t>Underlying pre-tax profit</w:t>
            </w:r>
          </w:p>
        </w:tc>
        <w:tc>
          <w:tcPr>
            <w:tcW w:w="1446" w:type="dxa"/>
            <w:tcBorders>
              <w:top w:val="single" w:sz="4" w:space="0" w:color="auto"/>
              <w:left w:val="nil"/>
              <w:bottom w:val="single" w:sz="4" w:space="0" w:color="auto"/>
              <w:right w:val="nil"/>
            </w:tcBorders>
            <w:shd w:val="clear" w:color="auto" w:fill="auto"/>
            <w:noWrap/>
            <w:vAlign w:val="bottom"/>
            <w:hideMark/>
          </w:tcPr>
          <w:p w14:paraId="169CEC45" w14:textId="77777777" w:rsidR="008835FE" w:rsidRPr="0035009E" w:rsidRDefault="008835FE" w:rsidP="00ED4277">
            <w:pPr>
              <w:jc w:val="center"/>
              <w:rPr>
                <w:rFonts w:ascii="Arial" w:hAnsi="Arial" w:cs="Arial"/>
                <w:b/>
                <w:bCs/>
                <w:szCs w:val="16"/>
              </w:rPr>
            </w:pPr>
            <w:r w:rsidRPr="0035009E">
              <w:rPr>
                <w:rFonts w:ascii="Arial" w:hAnsi="Arial" w:cs="Arial"/>
                <w:b/>
                <w:bCs/>
                <w:szCs w:val="16"/>
              </w:rPr>
              <w:t>693</w:t>
            </w:r>
          </w:p>
        </w:tc>
        <w:tc>
          <w:tcPr>
            <w:tcW w:w="1618" w:type="dxa"/>
            <w:tcBorders>
              <w:top w:val="single" w:sz="4" w:space="0" w:color="auto"/>
              <w:left w:val="nil"/>
              <w:bottom w:val="single" w:sz="4" w:space="0" w:color="auto"/>
              <w:right w:val="nil"/>
            </w:tcBorders>
            <w:shd w:val="clear" w:color="auto" w:fill="auto"/>
            <w:noWrap/>
            <w:vAlign w:val="bottom"/>
            <w:hideMark/>
          </w:tcPr>
          <w:p w14:paraId="1D20D72E" w14:textId="77777777" w:rsidR="008835FE" w:rsidRPr="0035009E" w:rsidRDefault="008835FE" w:rsidP="00ED4277">
            <w:pPr>
              <w:jc w:val="center"/>
              <w:rPr>
                <w:rFonts w:ascii="Arial" w:hAnsi="Arial" w:cs="Arial"/>
                <w:b/>
                <w:bCs/>
                <w:szCs w:val="16"/>
              </w:rPr>
            </w:pPr>
            <w:r w:rsidRPr="0035009E">
              <w:rPr>
                <w:rFonts w:ascii="Arial" w:hAnsi="Arial" w:cs="Arial"/>
                <w:b/>
                <w:bCs/>
                <w:szCs w:val="16"/>
              </w:rPr>
              <w:t>(10)</w:t>
            </w:r>
          </w:p>
        </w:tc>
        <w:tc>
          <w:tcPr>
            <w:tcW w:w="1446" w:type="dxa"/>
            <w:tcBorders>
              <w:top w:val="single" w:sz="4" w:space="0" w:color="auto"/>
              <w:left w:val="nil"/>
              <w:bottom w:val="single" w:sz="4" w:space="0" w:color="auto"/>
              <w:right w:val="nil"/>
            </w:tcBorders>
            <w:shd w:val="clear" w:color="auto" w:fill="auto"/>
            <w:noWrap/>
            <w:vAlign w:val="bottom"/>
            <w:hideMark/>
          </w:tcPr>
          <w:p w14:paraId="0FEBB776" w14:textId="77777777" w:rsidR="008835FE" w:rsidRPr="0035009E" w:rsidRDefault="008835FE" w:rsidP="00ED4277">
            <w:pPr>
              <w:jc w:val="center"/>
              <w:rPr>
                <w:rFonts w:ascii="Arial" w:hAnsi="Arial" w:cs="Arial"/>
                <w:b/>
                <w:bCs/>
                <w:szCs w:val="16"/>
              </w:rPr>
            </w:pPr>
            <w:r w:rsidRPr="0035009E">
              <w:rPr>
                <w:rFonts w:ascii="Arial" w:hAnsi="Arial" w:cs="Arial"/>
                <w:b/>
                <w:bCs/>
                <w:szCs w:val="16"/>
              </w:rPr>
              <w:t>683</w:t>
            </w:r>
          </w:p>
        </w:tc>
      </w:tr>
      <w:tr w:rsidR="008835FE" w:rsidRPr="00491202" w14:paraId="7AFD50CF" w14:textId="77777777" w:rsidTr="0035009E">
        <w:trPr>
          <w:trHeight w:val="256"/>
        </w:trPr>
        <w:tc>
          <w:tcPr>
            <w:tcW w:w="4724" w:type="dxa"/>
            <w:tcBorders>
              <w:top w:val="single" w:sz="4" w:space="0" w:color="auto"/>
              <w:left w:val="nil"/>
              <w:bottom w:val="nil"/>
              <w:right w:val="nil"/>
            </w:tcBorders>
            <w:shd w:val="clear" w:color="auto" w:fill="auto"/>
            <w:noWrap/>
            <w:vAlign w:val="bottom"/>
            <w:hideMark/>
          </w:tcPr>
          <w:p w14:paraId="07AC4155" w14:textId="77777777" w:rsidR="008835FE" w:rsidRPr="0035009E" w:rsidRDefault="008835FE" w:rsidP="00ED4277">
            <w:pPr>
              <w:rPr>
                <w:rFonts w:ascii="Arial" w:hAnsi="Arial" w:cs="Arial"/>
                <w:szCs w:val="16"/>
              </w:rPr>
            </w:pPr>
            <w:r w:rsidRPr="0035009E">
              <w:rPr>
                <w:rFonts w:ascii="Arial" w:hAnsi="Arial" w:cs="Arial"/>
                <w:szCs w:val="16"/>
              </w:rPr>
              <w:t> </w:t>
            </w:r>
          </w:p>
        </w:tc>
        <w:tc>
          <w:tcPr>
            <w:tcW w:w="1446" w:type="dxa"/>
            <w:tcBorders>
              <w:top w:val="single" w:sz="4" w:space="0" w:color="auto"/>
              <w:left w:val="nil"/>
              <w:bottom w:val="nil"/>
              <w:right w:val="nil"/>
            </w:tcBorders>
            <w:shd w:val="clear" w:color="auto" w:fill="auto"/>
            <w:noWrap/>
            <w:vAlign w:val="bottom"/>
            <w:hideMark/>
          </w:tcPr>
          <w:p w14:paraId="76531718"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618" w:type="dxa"/>
            <w:tcBorders>
              <w:top w:val="single" w:sz="4" w:space="0" w:color="auto"/>
              <w:left w:val="nil"/>
              <w:bottom w:val="nil"/>
              <w:right w:val="nil"/>
            </w:tcBorders>
            <w:shd w:val="clear" w:color="auto" w:fill="auto"/>
            <w:noWrap/>
            <w:vAlign w:val="bottom"/>
            <w:hideMark/>
          </w:tcPr>
          <w:p w14:paraId="6CA9DCEA"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446" w:type="dxa"/>
            <w:tcBorders>
              <w:top w:val="single" w:sz="4" w:space="0" w:color="auto"/>
              <w:left w:val="nil"/>
              <w:bottom w:val="nil"/>
              <w:right w:val="nil"/>
            </w:tcBorders>
            <w:shd w:val="clear" w:color="auto" w:fill="auto"/>
            <w:noWrap/>
            <w:vAlign w:val="bottom"/>
            <w:hideMark/>
          </w:tcPr>
          <w:p w14:paraId="4B8CFE1C" w14:textId="77777777" w:rsidR="008835FE" w:rsidRPr="0035009E" w:rsidRDefault="008835FE" w:rsidP="00ED4277">
            <w:pPr>
              <w:jc w:val="center"/>
              <w:rPr>
                <w:rFonts w:ascii="Arial" w:hAnsi="Arial" w:cs="Arial"/>
                <w:szCs w:val="16"/>
              </w:rPr>
            </w:pPr>
            <w:r w:rsidRPr="0035009E">
              <w:rPr>
                <w:rFonts w:ascii="Arial" w:hAnsi="Arial" w:cs="Arial"/>
                <w:szCs w:val="16"/>
              </w:rPr>
              <w:t> </w:t>
            </w:r>
          </w:p>
        </w:tc>
      </w:tr>
      <w:tr w:rsidR="008835FE" w:rsidRPr="00491202" w14:paraId="435987AF" w14:textId="77777777" w:rsidTr="00D72F65">
        <w:trPr>
          <w:trHeight w:val="256"/>
        </w:trPr>
        <w:tc>
          <w:tcPr>
            <w:tcW w:w="4724" w:type="dxa"/>
            <w:tcBorders>
              <w:top w:val="nil"/>
              <w:left w:val="nil"/>
              <w:right w:val="nil"/>
            </w:tcBorders>
            <w:shd w:val="clear" w:color="auto" w:fill="auto"/>
            <w:noWrap/>
            <w:vAlign w:val="bottom"/>
            <w:hideMark/>
          </w:tcPr>
          <w:p w14:paraId="631210D4" w14:textId="77777777" w:rsidR="008835FE" w:rsidRPr="0035009E" w:rsidRDefault="008835FE" w:rsidP="00ED4277">
            <w:pPr>
              <w:rPr>
                <w:rFonts w:ascii="Arial" w:hAnsi="Arial" w:cs="Arial"/>
                <w:iCs/>
                <w:szCs w:val="16"/>
              </w:rPr>
            </w:pPr>
            <w:r w:rsidRPr="0035009E">
              <w:rPr>
                <w:rFonts w:ascii="Arial" w:hAnsi="Arial" w:cs="Arial"/>
                <w:iCs/>
                <w:szCs w:val="16"/>
              </w:rPr>
              <w:t>Rent elimination</w:t>
            </w:r>
          </w:p>
        </w:tc>
        <w:tc>
          <w:tcPr>
            <w:tcW w:w="1446" w:type="dxa"/>
            <w:tcBorders>
              <w:top w:val="nil"/>
              <w:left w:val="nil"/>
              <w:right w:val="nil"/>
            </w:tcBorders>
            <w:shd w:val="clear" w:color="auto" w:fill="auto"/>
            <w:noWrap/>
            <w:vAlign w:val="bottom"/>
            <w:hideMark/>
          </w:tcPr>
          <w:p w14:paraId="471C8A21"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618" w:type="dxa"/>
            <w:tcBorders>
              <w:top w:val="nil"/>
              <w:left w:val="nil"/>
              <w:right w:val="nil"/>
            </w:tcBorders>
            <w:shd w:val="clear" w:color="auto" w:fill="auto"/>
            <w:noWrap/>
            <w:vAlign w:val="bottom"/>
            <w:hideMark/>
          </w:tcPr>
          <w:p w14:paraId="2CEBEA28" w14:textId="77777777" w:rsidR="008835FE" w:rsidRPr="0035009E" w:rsidRDefault="008835FE" w:rsidP="00ED4277">
            <w:pPr>
              <w:jc w:val="center"/>
              <w:rPr>
                <w:rFonts w:ascii="Arial" w:hAnsi="Arial" w:cs="Arial"/>
                <w:szCs w:val="16"/>
              </w:rPr>
            </w:pPr>
            <w:r w:rsidRPr="0035009E">
              <w:rPr>
                <w:rFonts w:ascii="Arial" w:hAnsi="Arial" w:cs="Arial"/>
                <w:szCs w:val="16"/>
              </w:rPr>
              <w:t>430</w:t>
            </w:r>
          </w:p>
        </w:tc>
        <w:tc>
          <w:tcPr>
            <w:tcW w:w="1446" w:type="dxa"/>
            <w:tcBorders>
              <w:top w:val="nil"/>
              <w:left w:val="nil"/>
              <w:right w:val="nil"/>
            </w:tcBorders>
            <w:shd w:val="clear" w:color="auto" w:fill="auto"/>
            <w:noWrap/>
            <w:vAlign w:val="bottom"/>
            <w:hideMark/>
          </w:tcPr>
          <w:p w14:paraId="7182D606" w14:textId="77777777" w:rsidR="008835FE" w:rsidRPr="0035009E" w:rsidRDefault="008835FE" w:rsidP="00ED4277">
            <w:pPr>
              <w:jc w:val="center"/>
              <w:rPr>
                <w:rFonts w:ascii="Arial" w:hAnsi="Arial" w:cs="Arial"/>
                <w:szCs w:val="16"/>
              </w:rPr>
            </w:pPr>
            <w:r w:rsidRPr="0035009E">
              <w:rPr>
                <w:rFonts w:ascii="Arial" w:hAnsi="Arial" w:cs="Arial"/>
                <w:szCs w:val="16"/>
              </w:rPr>
              <w:t> </w:t>
            </w:r>
          </w:p>
        </w:tc>
      </w:tr>
      <w:tr w:rsidR="008835FE" w:rsidRPr="00491202" w14:paraId="57B1E26F" w14:textId="77777777" w:rsidTr="00D72F65">
        <w:trPr>
          <w:trHeight w:val="256"/>
        </w:trPr>
        <w:tc>
          <w:tcPr>
            <w:tcW w:w="4724" w:type="dxa"/>
            <w:tcBorders>
              <w:top w:val="nil"/>
              <w:left w:val="nil"/>
              <w:bottom w:val="single" w:sz="4" w:space="0" w:color="auto"/>
              <w:right w:val="nil"/>
            </w:tcBorders>
            <w:shd w:val="clear" w:color="auto" w:fill="auto"/>
            <w:noWrap/>
            <w:vAlign w:val="bottom"/>
            <w:hideMark/>
          </w:tcPr>
          <w:p w14:paraId="5CB726CE" w14:textId="77777777" w:rsidR="008835FE" w:rsidRPr="0035009E" w:rsidRDefault="008835FE" w:rsidP="00ED4277">
            <w:pPr>
              <w:rPr>
                <w:rFonts w:ascii="Arial" w:hAnsi="Arial" w:cs="Arial"/>
                <w:iCs/>
                <w:szCs w:val="16"/>
              </w:rPr>
            </w:pPr>
            <w:r w:rsidRPr="0035009E">
              <w:rPr>
                <w:rFonts w:ascii="Arial" w:hAnsi="Arial" w:cs="Arial"/>
                <w:iCs/>
                <w:szCs w:val="16"/>
              </w:rPr>
              <w:t>Right-of-use asset depreciation</w:t>
            </w:r>
          </w:p>
        </w:tc>
        <w:tc>
          <w:tcPr>
            <w:tcW w:w="1446" w:type="dxa"/>
            <w:tcBorders>
              <w:top w:val="nil"/>
              <w:left w:val="nil"/>
              <w:bottom w:val="single" w:sz="4" w:space="0" w:color="auto"/>
              <w:right w:val="nil"/>
            </w:tcBorders>
            <w:shd w:val="clear" w:color="auto" w:fill="auto"/>
            <w:noWrap/>
            <w:vAlign w:val="bottom"/>
            <w:hideMark/>
          </w:tcPr>
          <w:p w14:paraId="79588BB1"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618" w:type="dxa"/>
            <w:tcBorders>
              <w:top w:val="nil"/>
              <w:left w:val="nil"/>
              <w:bottom w:val="single" w:sz="4" w:space="0" w:color="auto"/>
              <w:right w:val="nil"/>
            </w:tcBorders>
            <w:shd w:val="clear" w:color="auto" w:fill="auto"/>
            <w:noWrap/>
            <w:vAlign w:val="bottom"/>
            <w:hideMark/>
          </w:tcPr>
          <w:p w14:paraId="54F403DB" w14:textId="77777777" w:rsidR="008835FE" w:rsidRPr="0035009E" w:rsidRDefault="008835FE" w:rsidP="00ED4277">
            <w:pPr>
              <w:jc w:val="center"/>
              <w:rPr>
                <w:rFonts w:ascii="Arial" w:hAnsi="Arial" w:cs="Arial"/>
                <w:szCs w:val="16"/>
              </w:rPr>
            </w:pPr>
            <w:r w:rsidRPr="0035009E">
              <w:rPr>
                <w:rFonts w:ascii="Arial" w:hAnsi="Arial" w:cs="Arial"/>
                <w:szCs w:val="16"/>
              </w:rPr>
              <w:t>(270)</w:t>
            </w:r>
          </w:p>
        </w:tc>
        <w:tc>
          <w:tcPr>
            <w:tcW w:w="1446" w:type="dxa"/>
            <w:tcBorders>
              <w:top w:val="nil"/>
              <w:left w:val="nil"/>
              <w:bottom w:val="single" w:sz="4" w:space="0" w:color="auto"/>
              <w:right w:val="nil"/>
            </w:tcBorders>
            <w:shd w:val="clear" w:color="auto" w:fill="auto"/>
            <w:noWrap/>
            <w:vAlign w:val="bottom"/>
            <w:hideMark/>
          </w:tcPr>
          <w:p w14:paraId="3044BA75" w14:textId="77777777" w:rsidR="008835FE" w:rsidRPr="0035009E" w:rsidRDefault="008835FE" w:rsidP="00ED4277">
            <w:pPr>
              <w:jc w:val="center"/>
              <w:rPr>
                <w:rFonts w:ascii="Arial" w:hAnsi="Arial" w:cs="Arial"/>
                <w:szCs w:val="16"/>
              </w:rPr>
            </w:pPr>
            <w:r w:rsidRPr="0035009E">
              <w:rPr>
                <w:rFonts w:ascii="Arial" w:hAnsi="Arial" w:cs="Arial"/>
                <w:szCs w:val="16"/>
              </w:rPr>
              <w:t> </w:t>
            </w:r>
          </w:p>
        </w:tc>
      </w:tr>
      <w:tr w:rsidR="008835FE" w:rsidRPr="00491202" w14:paraId="10E353D6" w14:textId="77777777" w:rsidTr="00D72F65">
        <w:trPr>
          <w:trHeight w:val="271"/>
        </w:trPr>
        <w:tc>
          <w:tcPr>
            <w:tcW w:w="4724" w:type="dxa"/>
            <w:tcBorders>
              <w:top w:val="single" w:sz="4" w:space="0" w:color="auto"/>
              <w:left w:val="nil"/>
              <w:bottom w:val="single" w:sz="4" w:space="0" w:color="auto"/>
              <w:right w:val="nil"/>
            </w:tcBorders>
            <w:shd w:val="clear" w:color="auto" w:fill="auto"/>
            <w:noWrap/>
            <w:vAlign w:val="bottom"/>
            <w:hideMark/>
          </w:tcPr>
          <w:p w14:paraId="5E48A48C" w14:textId="77777777" w:rsidR="008835FE" w:rsidRPr="0035009E" w:rsidRDefault="008835FE" w:rsidP="00ED4277">
            <w:pPr>
              <w:rPr>
                <w:rFonts w:ascii="Arial" w:hAnsi="Arial" w:cs="Arial"/>
                <w:iCs/>
                <w:szCs w:val="16"/>
              </w:rPr>
            </w:pPr>
            <w:r w:rsidRPr="0035009E">
              <w:rPr>
                <w:rFonts w:ascii="Arial" w:hAnsi="Arial" w:cs="Arial"/>
                <w:b/>
                <w:bCs/>
                <w:iCs/>
                <w:szCs w:val="16"/>
              </w:rPr>
              <w:t>Retail profit adjustment</w:t>
            </w:r>
          </w:p>
        </w:tc>
        <w:tc>
          <w:tcPr>
            <w:tcW w:w="1446" w:type="dxa"/>
            <w:tcBorders>
              <w:top w:val="single" w:sz="4" w:space="0" w:color="auto"/>
              <w:left w:val="nil"/>
              <w:bottom w:val="single" w:sz="4" w:space="0" w:color="auto"/>
              <w:right w:val="nil"/>
            </w:tcBorders>
            <w:shd w:val="clear" w:color="auto" w:fill="auto"/>
            <w:noWrap/>
            <w:vAlign w:val="bottom"/>
            <w:hideMark/>
          </w:tcPr>
          <w:p w14:paraId="23DD821A" w14:textId="77777777" w:rsidR="008835FE" w:rsidRPr="0035009E" w:rsidRDefault="008835FE" w:rsidP="00ED4277">
            <w:pPr>
              <w:jc w:val="center"/>
              <w:rPr>
                <w:rFonts w:ascii="Arial" w:hAnsi="Arial" w:cs="Arial"/>
                <w:szCs w:val="16"/>
              </w:rPr>
            </w:pPr>
            <w:r w:rsidRPr="0035009E">
              <w:rPr>
                <w:rFonts w:ascii="Arial" w:hAnsi="Arial" w:cs="Arial"/>
                <w:b/>
                <w:bCs/>
                <w:iCs/>
                <w:szCs w:val="16"/>
              </w:rPr>
              <w:t> </w:t>
            </w:r>
          </w:p>
        </w:tc>
        <w:tc>
          <w:tcPr>
            <w:tcW w:w="1618" w:type="dxa"/>
            <w:tcBorders>
              <w:top w:val="single" w:sz="4" w:space="0" w:color="auto"/>
              <w:left w:val="nil"/>
              <w:bottom w:val="single" w:sz="4" w:space="0" w:color="auto"/>
              <w:right w:val="nil"/>
            </w:tcBorders>
            <w:shd w:val="clear" w:color="auto" w:fill="auto"/>
            <w:noWrap/>
            <w:vAlign w:val="bottom"/>
            <w:hideMark/>
          </w:tcPr>
          <w:p w14:paraId="03D4E0DD" w14:textId="77777777" w:rsidR="008835FE" w:rsidRPr="0035009E" w:rsidRDefault="008835FE" w:rsidP="00ED4277">
            <w:pPr>
              <w:jc w:val="center"/>
              <w:rPr>
                <w:rFonts w:ascii="Arial" w:hAnsi="Arial" w:cs="Arial"/>
                <w:szCs w:val="16"/>
              </w:rPr>
            </w:pPr>
            <w:r w:rsidRPr="0035009E">
              <w:rPr>
                <w:rFonts w:ascii="Arial" w:hAnsi="Arial" w:cs="Arial"/>
                <w:b/>
                <w:bCs/>
                <w:iCs/>
                <w:szCs w:val="16"/>
              </w:rPr>
              <w:t>160</w:t>
            </w:r>
          </w:p>
        </w:tc>
        <w:tc>
          <w:tcPr>
            <w:tcW w:w="1446" w:type="dxa"/>
            <w:tcBorders>
              <w:top w:val="single" w:sz="4" w:space="0" w:color="auto"/>
              <w:left w:val="nil"/>
              <w:bottom w:val="single" w:sz="4" w:space="0" w:color="auto"/>
              <w:right w:val="nil"/>
            </w:tcBorders>
            <w:shd w:val="clear" w:color="auto" w:fill="auto"/>
            <w:noWrap/>
            <w:vAlign w:val="bottom"/>
            <w:hideMark/>
          </w:tcPr>
          <w:p w14:paraId="18C3215B" w14:textId="77777777" w:rsidR="008835FE" w:rsidRPr="0035009E" w:rsidRDefault="008835FE" w:rsidP="00ED4277">
            <w:pPr>
              <w:jc w:val="center"/>
              <w:rPr>
                <w:rFonts w:ascii="Arial" w:hAnsi="Arial" w:cs="Arial"/>
                <w:szCs w:val="16"/>
              </w:rPr>
            </w:pPr>
            <w:r w:rsidRPr="0035009E">
              <w:rPr>
                <w:rFonts w:ascii="Arial" w:hAnsi="Arial" w:cs="Arial"/>
                <w:szCs w:val="16"/>
              </w:rPr>
              <w:t> </w:t>
            </w:r>
          </w:p>
        </w:tc>
      </w:tr>
    </w:tbl>
    <w:p w14:paraId="7C13FFEC" w14:textId="77777777" w:rsidR="008835FE" w:rsidRDefault="008835FE" w:rsidP="008835FE">
      <w:pPr>
        <w:rPr>
          <w:i/>
          <w:sz w:val="16"/>
        </w:rPr>
      </w:pPr>
    </w:p>
    <w:p w14:paraId="264DF001" w14:textId="77777777" w:rsidR="008835FE" w:rsidRPr="0035009E" w:rsidRDefault="008835FE" w:rsidP="008835FE">
      <w:pPr>
        <w:rPr>
          <w:rFonts w:ascii="Arial" w:hAnsi="Arial" w:cs="Arial"/>
          <w:sz w:val="16"/>
        </w:rPr>
      </w:pPr>
      <w:r w:rsidRPr="0035009E">
        <w:rPr>
          <w:rFonts w:ascii="Arial" w:hAnsi="Arial" w:cs="Arial"/>
          <w:sz w:val="16"/>
        </w:rPr>
        <w:t>(1) Numbers are rounded to the nearest £10m</w:t>
      </w:r>
    </w:p>
    <w:p w14:paraId="16FD262A" w14:textId="77777777" w:rsidR="008835FE" w:rsidRPr="0035009E" w:rsidRDefault="008835FE" w:rsidP="008835FE">
      <w:pPr>
        <w:rPr>
          <w:rFonts w:ascii="Arial" w:hAnsi="Arial" w:cs="Arial"/>
          <w:sz w:val="16"/>
        </w:rPr>
      </w:pPr>
      <w:r w:rsidRPr="0035009E">
        <w:rPr>
          <w:rFonts w:ascii="Arial" w:hAnsi="Arial" w:cs="Arial"/>
          <w:sz w:val="16"/>
        </w:rPr>
        <w:t>(2) Excludes FX relating to translation of leases denominated in non-functional currencies</w:t>
      </w:r>
    </w:p>
    <w:p w14:paraId="08ADDDE5" w14:textId="77777777" w:rsidR="008835FE" w:rsidRDefault="008835FE" w:rsidP="008835FE">
      <w:pPr>
        <w:rPr>
          <w:sz w:val="24"/>
        </w:rPr>
      </w:pPr>
    </w:p>
    <w:p w14:paraId="375B8C21" w14:textId="26A812C4" w:rsidR="00AA6F62" w:rsidRDefault="00AA6F62" w:rsidP="008835FE">
      <w:pPr>
        <w:rPr>
          <w:rFonts w:ascii="Arial" w:hAnsi="Arial" w:cs="Arial"/>
          <w:b/>
          <w:szCs w:val="18"/>
        </w:rPr>
      </w:pPr>
    </w:p>
    <w:p w14:paraId="18E4A6CC" w14:textId="16DF9F6D" w:rsidR="00742E71" w:rsidRDefault="00742E71" w:rsidP="008835FE">
      <w:pPr>
        <w:rPr>
          <w:rFonts w:ascii="Arial" w:hAnsi="Arial" w:cs="Arial"/>
          <w:b/>
          <w:szCs w:val="18"/>
        </w:rPr>
      </w:pPr>
    </w:p>
    <w:p w14:paraId="1BF3DEBC" w14:textId="75B4865E" w:rsidR="00742E71" w:rsidRDefault="00742E71" w:rsidP="008835FE">
      <w:pPr>
        <w:rPr>
          <w:rFonts w:ascii="Arial" w:hAnsi="Arial" w:cs="Arial"/>
          <w:b/>
          <w:szCs w:val="18"/>
        </w:rPr>
      </w:pPr>
    </w:p>
    <w:p w14:paraId="2993CD92" w14:textId="2642129D" w:rsidR="00742E71" w:rsidRDefault="00742E71" w:rsidP="008835FE">
      <w:pPr>
        <w:rPr>
          <w:rFonts w:ascii="Arial" w:hAnsi="Arial" w:cs="Arial"/>
          <w:b/>
          <w:szCs w:val="18"/>
        </w:rPr>
      </w:pPr>
    </w:p>
    <w:p w14:paraId="4FD0C9D5" w14:textId="17DBBE15" w:rsidR="00742E71" w:rsidRDefault="00742E71" w:rsidP="008835FE">
      <w:pPr>
        <w:rPr>
          <w:rFonts w:ascii="Arial" w:hAnsi="Arial" w:cs="Arial"/>
          <w:b/>
          <w:szCs w:val="18"/>
        </w:rPr>
      </w:pPr>
    </w:p>
    <w:p w14:paraId="6417ECF7" w14:textId="04EAA88F" w:rsidR="00742E71" w:rsidRDefault="00742E71" w:rsidP="008835FE">
      <w:pPr>
        <w:rPr>
          <w:rFonts w:ascii="Arial" w:hAnsi="Arial" w:cs="Arial"/>
          <w:b/>
          <w:szCs w:val="18"/>
        </w:rPr>
      </w:pPr>
    </w:p>
    <w:p w14:paraId="39512DD9" w14:textId="7A58A4A3" w:rsidR="00742E71" w:rsidRDefault="00742E71" w:rsidP="008835FE">
      <w:pPr>
        <w:rPr>
          <w:rFonts w:ascii="Arial" w:hAnsi="Arial" w:cs="Arial"/>
          <w:b/>
          <w:szCs w:val="18"/>
        </w:rPr>
      </w:pPr>
    </w:p>
    <w:p w14:paraId="35B0F402" w14:textId="77777777" w:rsidR="00742E71" w:rsidRDefault="00742E71" w:rsidP="008835FE">
      <w:pPr>
        <w:rPr>
          <w:rFonts w:ascii="Arial" w:hAnsi="Arial" w:cs="Arial"/>
          <w:b/>
          <w:szCs w:val="18"/>
        </w:rPr>
      </w:pPr>
    </w:p>
    <w:p w14:paraId="1472B3AB" w14:textId="77777777" w:rsidR="00AA6F62" w:rsidRDefault="00AA6F62" w:rsidP="008835FE">
      <w:pPr>
        <w:rPr>
          <w:rFonts w:ascii="Arial" w:hAnsi="Arial" w:cs="Arial"/>
          <w:b/>
          <w:szCs w:val="18"/>
        </w:rPr>
      </w:pPr>
    </w:p>
    <w:p w14:paraId="7121968E" w14:textId="5E2DA532" w:rsidR="00AA6F62" w:rsidRDefault="00AA6F62" w:rsidP="008835FE">
      <w:pPr>
        <w:rPr>
          <w:rFonts w:ascii="Arial" w:hAnsi="Arial" w:cs="Arial"/>
          <w:b/>
          <w:szCs w:val="18"/>
        </w:rPr>
      </w:pPr>
    </w:p>
    <w:p w14:paraId="18275C43" w14:textId="390B3BCD" w:rsidR="00191935" w:rsidRDefault="00191935" w:rsidP="008835FE">
      <w:pPr>
        <w:rPr>
          <w:rFonts w:ascii="Arial" w:hAnsi="Arial" w:cs="Arial"/>
          <w:b/>
          <w:szCs w:val="18"/>
        </w:rPr>
      </w:pPr>
    </w:p>
    <w:p w14:paraId="7F01E98E" w14:textId="77777777" w:rsidR="00191935" w:rsidRDefault="00191935" w:rsidP="008835FE">
      <w:pPr>
        <w:rPr>
          <w:rFonts w:ascii="Arial" w:hAnsi="Arial" w:cs="Arial"/>
          <w:b/>
          <w:szCs w:val="18"/>
        </w:rPr>
      </w:pPr>
    </w:p>
    <w:p w14:paraId="12C7B047" w14:textId="648C7A6D" w:rsidR="00AA6F62" w:rsidRDefault="00AA6F62" w:rsidP="008835FE">
      <w:pPr>
        <w:rPr>
          <w:rFonts w:ascii="Arial" w:hAnsi="Arial" w:cs="Arial"/>
          <w:b/>
          <w:szCs w:val="18"/>
        </w:rPr>
      </w:pPr>
    </w:p>
    <w:p w14:paraId="7C41876D" w14:textId="78F56D03" w:rsidR="009275D1" w:rsidRDefault="009275D1" w:rsidP="008835FE">
      <w:pPr>
        <w:rPr>
          <w:rFonts w:ascii="Arial" w:hAnsi="Arial" w:cs="Arial"/>
          <w:b/>
          <w:szCs w:val="18"/>
        </w:rPr>
      </w:pPr>
    </w:p>
    <w:p w14:paraId="7A63F536" w14:textId="67C312D3" w:rsidR="009275D1" w:rsidRDefault="009275D1" w:rsidP="008835FE">
      <w:pPr>
        <w:rPr>
          <w:rFonts w:ascii="Arial" w:hAnsi="Arial" w:cs="Arial"/>
          <w:b/>
          <w:szCs w:val="18"/>
        </w:rPr>
      </w:pPr>
    </w:p>
    <w:p w14:paraId="41B60C62" w14:textId="77777777" w:rsidR="009275D1" w:rsidRDefault="009275D1" w:rsidP="008835FE">
      <w:pPr>
        <w:rPr>
          <w:rFonts w:ascii="Arial" w:hAnsi="Arial" w:cs="Arial"/>
          <w:b/>
          <w:szCs w:val="18"/>
        </w:rPr>
      </w:pPr>
    </w:p>
    <w:p w14:paraId="11265C5B" w14:textId="2D4D6ADB" w:rsidR="008835FE" w:rsidRPr="0035009E" w:rsidRDefault="008835FE" w:rsidP="008835FE">
      <w:pPr>
        <w:rPr>
          <w:rFonts w:ascii="Arial" w:hAnsi="Arial" w:cs="Arial"/>
          <w:b/>
          <w:szCs w:val="18"/>
        </w:rPr>
      </w:pPr>
      <w:r w:rsidRPr="0035009E">
        <w:rPr>
          <w:rFonts w:ascii="Arial" w:hAnsi="Arial" w:cs="Arial"/>
          <w:b/>
          <w:szCs w:val="18"/>
        </w:rPr>
        <w:lastRenderedPageBreak/>
        <w:t>IFRS 16 indicative impact on 31 January 2019 balance sheet</w:t>
      </w:r>
    </w:p>
    <w:p w14:paraId="07B1D173" w14:textId="77777777" w:rsidR="008835FE" w:rsidRPr="008835FE" w:rsidRDefault="008835FE" w:rsidP="008835FE"/>
    <w:tbl>
      <w:tblPr>
        <w:tblW w:w="9272" w:type="dxa"/>
        <w:tblLook w:val="04A0" w:firstRow="1" w:lastRow="0" w:firstColumn="1" w:lastColumn="0" w:noHBand="0" w:noVBand="1"/>
      </w:tblPr>
      <w:tblGrid>
        <w:gridCol w:w="4919"/>
        <w:gridCol w:w="1341"/>
        <w:gridCol w:w="1531"/>
        <w:gridCol w:w="1481"/>
      </w:tblGrid>
      <w:tr w:rsidR="008835FE" w:rsidRPr="008835FE" w14:paraId="5165AC38" w14:textId="77777777" w:rsidTr="0035009E">
        <w:trPr>
          <w:trHeight w:val="262"/>
        </w:trPr>
        <w:tc>
          <w:tcPr>
            <w:tcW w:w="4919" w:type="dxa"/>
            <w:tcBorders>
              <w:top w:val="nil"/>
              <w:left w:val="nil"/>
              <w:bottom w:val="nil"/>
              <w:right w:val="nil"/>
            </w:tcBorders>
            <w:shd w:val="clear" w:color="auto" w:fill="auto"/>
            <w:noWrap/>
            <w:vAlign w:val="bottom"/>
            <w:hideMark/>
          </w:tcPr>
          <w:p w14:paraId="4BBCD9B5" w14:textId="77777777" w:rsidR="008835FE" w:rsidRPr="0035009E" w:rsidRDefault="008835FE" w:rsidP="00ED4277">
            <w:pPr>
              <w:rPr>
                <w:rFonts w:ascii="Arial" w:hAnsi="Arial" w:cs="Arial"/>
                <w:b/>
                <w:bCs/>
                <w:szCs w:val="16"/>
              </w:rPr>
            </w:pPr>
            <w:r w:rsidRPr="0035009E">
              <w:rPr>
                <w:rFonts w:ascii="Arial" w:hAnsi="Arial" w:cs="Arial"/>
                <w:b/>
                <w:bCs/>
                <w:szCs w:val="16"/>
              </w:rPr>
              <w:t>£bn</w:t>
            </w:r>
          </w:p>
        </w:tc>
        <w:tc>
          <w:tcPr>
            <w:tcW w:w="1341" w:type="dxa"/>
            <w:tcBorders>
              <w:top w:val="nil"/>
              <w:left w:val="nil"/>
              <w:bottom w:val="nil"/>
              <w:right w:val="nil"/>
            </w:tcBorders>
            <w:shd w:val="clear" w:color="auto" w:fill="auto"/>
            <w:noWrap/>
            <w:vAlign w:val="bottom"/>
            <w:hideMark/>
          </w:tcPr>
          <w:p w14:paraId="26F8BFAF" w14:textId="77777777" w:rsidR="008835FE" w:rsidRPr="0035009E" w:rsidRDefault="008835FE" w:rsidP="00ED4277">
            <w:pPr>
              <w:jc w:val="center"/>
              <w:rPr>
                <w:rFonts w:ascii="Arial" w:hAnsi="Arial" w:cs="Arial"/>
                <w:b/>
                <w:bCs/>
                <w:szCs w:val="16"/>
              </w:rPr>
            </w:pPr>
            <w:r w:rsidRPr="0035009E">
              <w:rPr>
                <w:rFonts w:ascii="Arial" w:hAnsi="Arial" w:cs="Arial"/>
                <w:b/>
                <w:bCs/>
                <w:szCs w:val="16"/>
              </w:rPr>
              <w:t>IAS 17</w:t>
            </w:r>
          </w:p>
        </w:tc>
        <w:tc>
          <w:tcPr>
            <w:tcW w:w="1531" w:type="dxa"/>
            <w:tcBorders>
              <w:top w:val="nil"/>
              <w:left w:val="nil"/>
              <w:bottom w:val="nil"/>
              <w:right w:val="nil"/>
            </w:tcBorders>
            <w:shd w:val="clear" w:color="auto" w:fill="auto"/>
            <w:noWrap/>
            <w:vAlign w:val="bottom"/>
            <w:hideMark/>
          </w:tcPr>
          <w:p w14:paraId="2FDE68A1" w14:textId="77777777" w:rsidR="008835FE" w:rsidRPr="0035009E" w:rsidRDefault="008835FE" w:rsidP="00ED4277">
            <w:pPr>
              <w:jc w:val="center"/>
              <w:rPr>
                <w:rFonts w:ascii="Arial" w:hAnsi="Arial" w:cs="Arial"/>
                <w:b/>
                <w:bCs/>
                <w:szCs w:val="16"/>
              </w:rPr>
            </w:pPr>
            <w:r w:rsidRPr="0035009E">
              <w:rPr>
                <w:rFonts w:ascii="Arial" w:hAnsi="Arial" w:cs="Arial"/>
                <w:b/>
                <w:bCs/>
                <w:szCs w:val="16"/>
              </w:rPr>
              <w:t>Adjustment</w:t>
            </w:r>
          </w:p>
        </w:tc>
        <w:tc>
          <w:tcPr>
            <w:tcW w:w="1481" w:type="dxa"/>
            <w:tcBorders>
              <w:top w:val="nil"/>
              <w:left w:val="nil"/>
              <w:bottom w:val="nil"/>
              <w:right w:val="nil"/>
            </w:tcBorders>
            <w:shd w:val="clear" w:color="auto" w:fill="auto"/>
            <w:noWrap/>
            <w:vAlign w:val="bottom"/>
            <w:hideMark/>
          </w:tcPr>
          <w:p w14:paraId="0260A9FB" w14:textId="77777777" w:rsidR="008835FE" w:rsidRPr="0035009E" w:rsidRDefault="008835FE" w:rsidP="00ED4277">
            <w:pPr>
              <w:jc w:val="center"/>
              <w:rPr>
                <w:rFonts w:ascii="Arial" w:hAnsi="Arial" w:cs="Arial"/>
                <w:b/>
                <w:bCs/>
                <w:szCs w:val="16"/>
              </w:rPr>
            </w:pPr>
            <w:r w:rsidRPr="0035009E">
              <w:rPr>
                <w:rFonts w:ascii="Arial" w:hAnsi="Arial" w:cs="Arial"/>
                <w:b/>
                <w:bCs/>
                <w:szCs w:val="16"/>
              </w:rPr>
              <w:t>IFRS 16</w:t>
            </w:r>
          </w:p>
        </w:tc>
      </w:tr>
      <w:tr w:rsidR="008835FE" w:rsidRPr="008835FE" w14:paraId="1DFA7E80" w14:textId="77777777" w:rsidTr="0035009E">
        <w:trPr>
          <w:trHeight w:val="262"/>
        </w:trPr>
        <w:tc>
          <w:tcPr>
            <w:tcW w:w="4919" w:type="dxa"/>
            <w:tcBorders>
              <w:top w:val="nil"/>
              <w:left w:val="nil"/>
              <w:bottom w:val="nil"/>
              <w:right w:val="nil"/>
            </w:tcBorders>
            <w:shd w:val="clear" w:color="auto" w:fill="auto"/>
            <w:noWrap/>
            <w:vAlign w:val="bottom"/>
            <w:hideMark/>
          </w:tcPr>
          <w:p w14:paraId="448CB65D"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341" w:type="dxa"/>
            <w:tcBorders>
              <w:top w:val="nil"/>
              <w:left w:val="nil"/>
              <w:bottom w:val="nil"/>
              <w:right w:val="nil"/>
            </w:tcBorders>
            <w:shd w:val="clear" w:color="auto" w:fill="auto"/>
            <w:noWrap/>
            <w:vAlign w:val="bottom"/>
            <w:hideMark/>
          </w:tcPr>
          <w:p w14:paraId="653CEC58"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531" w:type="dxa"/>
            <w:tcBorders>
              <w:top w:val="nil"/>
              <w:left w:val="nil"/>
              <w:bottom w:val="nil"/>
              <w:right w:val="nil"/>
            </w:tcBorders>
            <w:shd w:val="clear" w:color="auto" w:fill="auto"/>
            <w:noWrap/>
            <w:vAlign w:val="bottom"/>
            <w:hideMark/>
          </w:tcPr>
          <w:p w14:paraId="6D43CEA6" w14:textId="77777777" w:rsidR="008835FE" w:rsidRPr="0035009E" w:rsidRDefault="008835FE" w:rsidP="00ED4277">
            <w:pPr>
              <w:jc w:val="center"/>
              <w:rPr>
                <w:rFonts w:ascii="Arial" w:hAnsi="Arial" w:cs="Arial"/>
                <w:szCs w:val="16"/>
              </w:rPr>
            </w:pPr>
            <w:r w:rsidRPr="0035009E">
              <w:rPr>
                <w:rFonts w:ascii="Arial" w:hAnsi="Arial" w:cs="Arial"/>
                <w:szCs w:val="16"/>
              </w:rPr>
              <w:t> </w:t>
            </w:r>
          </w:p>
        </w:tc>
        <w:tc>
          <w:tcPr>
            <w:tcW w:w="1481" w:type="dxa"/>
            <w:tcBorders>
              <w:top w:val="nil"/>
              <w:left w:val="nil"/>
              <w:bottom w:val="nil"/>
              <w:right w:val="nil"/>
            </w:tcBorders>
            <w:shd w:val="clear" w:color="auto" w:fill="auto"/>
            <w:noWrap/>
            <w:vAlign w:val="bottom"/>
            <w:hideMark/>
          </w:tcPr>
          <w:p w14:paraId="5D5B989C" w14:textId="77777777" w:rsidR="008835FE" w:rsidRPr="0035009E" w:rsidRDefault="008835FE" w:rsidP="00ED4277">
            <w:pPr>
              <w:jc w:val="center"/>
              <w:rPr>
                <w:rFonts w:ascii="Arial" w:hAnsi="Arial" w:cs="Arial"/>
                <w:szCs w:val="16"/>
              </w:rPr>
            </w:pPr>
            <w:r w:rsidRPr="0035009E">
              <w:rPr>
                <w:rFonts w:ascii="Arial" w:hAnsi="Arial" w:cs="Arial"/>
                <w:szCs w:val="16"/>
              </w:rPr>
              <w:t> </w:t>
            </w:r>
          </w:p>
        </w:tc>
      </w:tr>
      <w:tr w:rsidR="008835FE" w:rsidRPr="008835FE" w14:paraId="6243FD50" w14:textId="77777777" w:rsidTr="0035009E">
        <w:trPr>
          <w:trHeight w:val="262"/>
        </w:trPr>
        <w:tc>
          <w:tcPr>
            <w:tcW w:w="4919" w:type="dxa"/>
            <w:tcBorders>
              <w:top w:val="nil"/>
              <w:left w:val="nil"/>
              <w:bottom w:val="nil"/>
              <w:right w:val="nil"/>
            </w:tcBorders>
            <w:shd w:val="clear" w:color="auto" w:fill="auto"/>
            <w:noWrap/>
            <w:vAlign w:val="bottom"/>
            <w:hideMark/>
          </w:tcPr>
          <w:p w14:paraId="2DD3C892" w14:textId="77777777" w:rsidR="008835FE" w:rsidRPr="0035009E" w:rsidRDefault="008835FE" w:rsidP="00ED4277">
            <w:pPr>
              <w:rPr>
                <w:rFonts w:ascii="Arial" w:hAnsi="Arial" w:cs="Arial"/>
                <w:szCs w:val="16"/>
              </w:rPr>
            </w:pPr>
            <w:r w:rsidRPr="0035009E">
              <w:rPr>
                <w:rFonts w:ascii="Arial" w:hAnsi="Arial" w:cs="Arial"/>
                <w:szCs w:val="16"/>
              </w:rPr>
              <w:t>Right-of-use assets</w:t>
            </w:r>
          </w:p>
        </w:tc>
        <w:tc>
          <w:tcPr>
            <w:tcW w:w="1341" w:type="dxa"/>
            <w:tcBorders>
              <w:top w:val="nil"/>
              <w:left w:val="nil"/>
              <w:bottom w:val="nil"/>
              <w:right w:val="nil"/>
            </w:tcBorders>
            <w:shd w:val="clear" w:color="auto" w:fill="auto"/>
            <w:noWrap/>
            <w:vAlign w:val="bottom"/>
            <w:hideMark/>
          </w:tcPr>
          <w:p w14:paraId="30C25B3D" w14:textId="77777777" w:rsidR="008835FE" w:rsidRPr="0035009E" w:rsidRDefault="008835FE" w:rsidP="00ED4277">
            <w:pPr>
              <w:jc w:val="center"/>
              <w:rPr>
                <w:rFonts w:ascii="Arial" w:hAnsi="Arial" w:cs="Arial"/>
                <w:szCs w:val="16"/>
              </w:rPr>
            </w:pPr>
            <w:r w:rsidRPr="0035009E">
              <w:rPr>
                <w:rFonts w:ascii="Arial" w:hAnsi="Arial" w:cs="Arial"/>
                <w:szCs w:val="16"/>
              </w:rPr>
              <w:t>-</w:t>
            </w:r>
          </w:p>
        </w:tc>
        <w:tc>
          <w:tcPr>
            <w:tcW w:w="1531" w:type="dxa"/>
            <w:tcBorders>
              <w:top w:val="nil"/>
              <w:left w:val="nil"/>
              <w:bottom w:val="nil"/>
              <w:right w:val="nil"/>
            </w:tcBorders>
            <w:shd w:val="clear" w:color="auto" w:fill="auto"/>
            <w:noWrap/>
            <w:vAlign w:val="bottom"/>
            <w:hideMark/>
          </w:tcPr>
          <w:p w14:paraId="2B32F09A" w14:textId="41B31E6F" w:rsidR="008835FE" w:rsidRPr="0035009E" w:rsidRDefault="00F12F4E" w:rsidP="00ED4277">
            <w:pPr>
              <w:jc w:val="center"/>
              <w:rPr>
                <w:rFonts w:ascii="Arial" w:hAnsi="Arial" w:cs="Arial"/>
                <w:szCs w:val="16"/>
              </w:rPr>
            </w:pPr>
            <w:r>
              <w:rPr>
                <w:rFonts w:ascii="Arial" w:hAnsi="Arial" w:cs="Arial"/>
                <w:szCs w:val="16"/>
              </w:rPr>
              <w:t>2</w:t>
            </w:r>
            <w:r w:rsidR="008835FE" w:rsidRPr="0035009E">
              <w:rPr>
                <w:rFonts w:ascii="Arial" w:hAnsi="Arial" w:cs="Arial"/>
                <w:szCs w:val="16"/>
              </w:rPr>
              <w:t>.</w:t>
            </w:r>
            <w:r>
              <w:rPr>
                <w:rFonts w:ascii="Arial" w:hAnsi="Arial" w:cs="Arial"/>
                <w:szCs w:val="16"/>
              </w:rPr>
              <w:t>0</w:t>
            </w:r>
          </w:p>
        </w:tc>
        <w:tc>
          <w:tcPr>
            <w:tcW w:w="1481" w:type="dxa"/>
            <w:tcBorders>
              <w:top w:val="nil"/>
              <w:left w:val="nil"/>
              <w:bottom w:val="nil"/>
              <w:right w:val="nil"/>
            </w:tcBorders>
            <w:shd w:val="clear" w:color="auto" w:fill="auto"/>
            <w:noWrap/>
            <w:vAlign w:val="bottom"/>
            <w:hideMark/>
          </w:tcPr>
          <w:p w14:paraId="5C451BAF" w14:textId="08B205AD" w:rsidR="008835FE" w:rsidRPr="0035009E" w:rsidRDefault="00F12F4E" w:rsidP="00ED4277">
            <w:pPr>
              <w:jc w:val="center"/>
              <w:rPr>
                <w:rFonts w:ascii="Arial" w:hAnsi="Arial" w:cs="Arial"/>
                <w:szCs w:val="16"/>
              </w:rPr>
            </w:pPr>
            <w:r>
              <w:rPr>
                <w:rFonts w:ascii="Arial" w:hAnsi="Arial" w:cs="Arial"/>
                <w:szCs w:val="16"/>
              </w:rPr>
              <w:t>2</w:t>
            </w:r>
            <w:r w:rsidR="008835FE" w:rsidRPr="0035009E">
              <w:rPr>
                <w:rFonts w:ascii="Arial" w:hAnsi="Arial" w:cs="Arial"/>
                <w:szCs w:val="16"/>
              </w:rPr>
              <w:t>.</w:t>
            </w:r>
            <w:r>
              <w:rPr>
                <w:rFonts w:ascii="Arial" w:hAnsi="Arial" w:cs="Arial"/>
                <w:szCs w:val="16"/>
              </w:rPr>
              <w:t>0</w:t>
            </w:r>
          </w:p>
        </w:tc>
      </w:tr>
      <w:tr w:rsidR="008835FE" w:rsidRPr="008835FE" w14:paraId="05EE3CB4" w14:textId="77777777" w:rsidTr="0035009E">
        <w:trPr>
          <w:trHeight w:val="262"/>
        </w:trPr>
        <w:tc>
          <w:tcPr>
            <w:tcW w:w="4919" w:type="dxa"/>
            <w:tcBorders>
              <w:top w:val="nil"/>
              <w:left w:val="nil"/>
              <w:bottom w:val="nil"/>
              <w:right w:val="nil"/>
            </w:tcBorders>
            <w:shd w:val="clear" w:color="auto" w:fill="auto"/>
            <w:noWrap/>
            <w:vAlign w:val="bottom"/>
            <w:hideMark/>
          </w:tcPr>
          <w:p w14:paraId="6559BFC0" w14:textId="77777777" w:rsidR="008835FE" w:rsidRPr="0035009E" w:rsidRDefault="008835FE" w:rsidP="00ED4277">
            <w:pPr>
              <w:rPr>
                <w:rFonts w:ascii="Arial" w:hAnsi="Arial" w:cs="Arial"/>
                <w:szCs w:val="16"/>
              </w:rPr>
            </w:pPr>
            <w:r w:rsidRPr="0035009E">
              <w:rPr>
                <w:rFonts w:ascii="Arial" w:hAnsi="Arial" w:cs="Arial"/>
                <w:szCs w:val="16"/>
              </w:rPr>
              <w:t>Other fixed assets</w:t>
            </w:r>
            <w:r w:rsidRPr="0035009E">
              <w:rPr>
                <w:rFonts w:ascii="Arial" w:hAnsi="Arial" w:cs="Arial"/>
                <w:iCs/>
                <w:szCs w:val="16"/>
              </w:rPr>
              <w:t xml:space="preserve"> </w:t>
            </w:r>
            <w:r w:rsidRPr="0035009E">
              <w:rPr>
                <w:rFonts w:ascii="Arial" w:hAnsi="Arial" w:cs="Arial"/>
                <w:iCs/>
                <w:szCs w:val="16"/>
                <w:vertAlign w:val="superscript"/>
              </w:rPr>
              <w:t>(1)</w:t>
            </w:r>
          </w:p>
        </w:tc>
        <w:tc>
          <w:tcPr>
            <w:tcW w:w="1341" w:type="dxa"/>
            <w:tcBorders>
              <w:top w:val="nil"/>
              <w:left w:val="nil"/>
              <w:bottom w:val="nil"/>
              <w:right w:val="nil"/>
            </w:tcBorders>
            <w:shd w:val="clear" w:color="auto" w:fill="auto"/>
            <w:noWrap/>
            <w:vAlign w:val="bottom"/>
            <w:hideMark/>
          </w:tcPr>
          <w:p w14:paraId="3F1E12D9" w14:textId="77777777" w:rsidR="008835FE" w:rsidRPr="0035009E" w:rsidRDefault="008835FE" w:rsidP="00ED4277">
            <w:pPr>
              <w:jc w:val="center"/>
              <w:rPr>
                <w:rFonts w:ascii="Arial" w:hAnsi="Arial" w:cs="Arial"/>
                <w:szCs w:val="16"/>
              </w:rPr>
            </w:pPr>
            <w:r w:rsidRPr="0035009E">
              <w:rPr>
                <w:rFonts w:ascii="Arial" w:hAnsi="Arial" w:cs="Arial"/>
                <w:szCs w:val="16"/>
              </w:rPr>
              <w:t>6.3</w:t>
            </w:r>
          </w:p>
        </w:tc>
        <w:tc>
          <w:tcPr>
            <w:tcW w:w="1531" w:type="dxa"/>
            <w:tcBorders>
              <w:top w:val="nil"/>
              <w:left w:val="nil"/>
              <w:bottom w:val="nil"/>
              <w:right w:val="nil"/>
            </w:tcBorders>
            <w:shd w:val="clear" w:color="auto" w:fill="auto"/>
            <w:noWrap/>
            <w:vAlign w:val="bottom"/>
            <w:hideMark/>
          </w:tcPr>
          <w:p w14:paraId="7FC5F076" w14:textId="30907A51" w:rsidR="008835FE" w:rsidRPr="0035009E" w:rsidRDefault="008835FE" w:rsidP="00ED4277">
            <w:pPr>
              <w:jc w:val="center"/>
              <w:rPr>
                <w:rFonts w:ascii="Arial" w:hAnsi="Arial" w:cs="Arial"/>
                <w:szCs w:val="16"/>
              </w:rPr>
            </w:pPr>
            <w:r w:rsidRPr="0035009E">
              <w:rPr>
                <w:rFonts w:ascii="Arial" w:hAnsi="Arial" w:cs="Arial"/>
                <w:szCs w:val="16"/>
              </w:rPr>
              <w:t>(0.</w:t>
            </w:r>
            <w:r w:rsidR="00F12F4E">
              <w:rPr>
                <w:rFonts w:ascii="Arial" w:hAnsi="Arial" w:cs="Arial"/>
                <w:szCs w:val="16"/>
              </w:rPr>
              <w:t>2</w:t>
            </w:r>
            <w:r w:rsidRPr="0035009E">
              <w:rPr>
                <w:rFonts w:ascii="Arial" w:hAnsi="Arial" w:cs="Arial"/>
                <w:szCs w:val="16"/>
              </w:rPr>
              <w:t>)</w:t>
            </w:r>
          </w:p>
        </w:tc>
        <w:tc>
          <w:tcPr>
            <w:tcW w:w="1481" w:type="dxa"/>
            <w:tcBorders>
              <w:top w:val="nil"/>
              <w:left w:val="nil"/>
              <w:bottom w:val="nil"/>
              <w:right w:val="nil"/>
            </w:tcBorders>
            <w:shd w:val="clear" w:color="auto" w:fill="auto"/>
            <w:noWrap/>
            <w:vAlign w:val="bottom"/>
            <w:hideMark/>
          </w:tcPr>
          <w:p w14:paraId="67A6D2B4" w14:textId="31B13F4E" w:rsidR="008835FE" w:rsidRPr="0035009E" w:rsidRDefault="008835FE" w:rsidP="00ED4277">
            <w:pPr>
              <w:jc w:val="center"/>
              <w:rPr>
                <w:rFonts w:ascii="Arial" w:hAnsi="Arial" w:cs="Arial"/>
                <w:szCs w:val="16"/>
              </w:rPr>
            </w:pPr>
            <w:r w:rsidRPr="0035009E">
              <w:rPr>
                <w:rFonts w:ascii="Arial" w:hAnsi="Arial" w:cs="Arial"/>
                <w:szCs w:val="16"/>
              </w:rPr>
              <w:t>6.</w:t>
            </w:r>
            <w:r w:rsidR="00F12F4E">
              <w:rPr>
                <w:rFonts w:ascii="Arial" w:hAnsi="Arial" w:cs="Arial"/>
                <w:szCs w:val="16"/>
              </w:rPr>
              <w:t>1</w:t>
            </w:r>
          </w:p>
        </w:tc>
      </w:tr>
      <w:tr w:rsidR="008835FE" w:rsidRPr="008835FE" w14:paraId="59241D54" w14:textId="77777777" w:rsidTr="0035009E">
        <w:trPr>
          <w:trHeight w:val="262"/>
        </w:trPr>
        <w:tc>
          <w:tcPr>
            <w:tcW w:w="4919" w:type="dxa"/>
            <w:tcBorders>
              <w:top w:val="nil"/>
              <w:left w:val="nil"/>
              <w:bottom w:val="nil"/>
              <w:right w:val="nil"/>
            </w:tcBorders>
            <w:shd w:val="clear" w:color="auto" w:fill="auto"/>
            <w:noWrap/>
            <w:vAlign w:val="bottom"/>
            <w:hideMark/>
          </w:tcPr>
          <w:p w14:paraId="1F9B7BCA" w14:textId="77777777" w:rsidR="008835FE" w:rsidRPr="0035009E" w:rsidRDefault="008835FE" w:rsidP="00ED4277">
            <w:pPr>
              <w:rPr>
                <w:rFonts w:ascii="Arial" w:hAnsi="Arial" w:cs="Arial"/>
                <w:szCs w:val="16"/>
              </w:rPr>
            </w:pPr>
            <w:r w:rsidRPr="0035009E">
              <w:rPr>
                <w:rFonts w:ascii="Arial" w:hAnsi="Arial" w:cs="Arial"/>
                <w:szCs w:val="16"/>
              </w:rPr>
              <w:t>Inventory, trade and other receivables/payables</w:t>
            </w:r>
          </w:p>
        </w:tc>
        <w:tc>
          <w:tcPr>
            <w:tcW w:w="1341" w:type="dxa"/>
            <w:tcBorders>
              <w:top w:val="nil"/>
              <w:left w:val="nil"/>
              <w:bottom w:val="nil"/>
              <w:right w:val="nil"/>
            </w:tcBorders>
            <w:shd w:val="clear" w:color="auto" w:fill="auto"/>
            <w:noWrap/>
            <w:vAlign w:val="bottom"/>
            <w:hideMark/>
          </w:tcPr>
          <w:p w14:paraId="2AE8C947" w14:textId="77777777" w:rsidR="008835FE" w:rsidRPr="0035009E" w:rsidRDefault="008835FE" w:rsidP="00ED4277">
            <w:pPr>
              <w:jc w:val="center"/>
              <w:rPr>
                <w:rFonts w:ascii="Arial" w:hAnsi="Arial" w:cs="Arial"/>
                <w:szCs w:val="16"/>
              </w:rPr>
            </w:pPr>
            <w:r w:rsidRPr="0035009E">
              <w:rPr>
                <w:rFonts w:ascii="Arial" w:hAnsi="Arial" w:cs="Arial"/>
                <w:szCs w:val="16"/>
              </w:rPr>
              <w:t>0.5</w:t>
            </w:r>
          </w:p>
        </w:tc>
        <w:tc>
          <w:tcPr>
            <w:tcW w:w="1531" w:type="dxa"/>
            <w:tcBorders>
              <w:top w:val="nil"/>
              <w:left w:val="nil"/>
              <w:bottom w:val="nil"/>
              <w:right w:val="nil"/>
            </w:tcBorders>
            <w:shd w:val="clear" w:color="auto" w:fill="auto"/>
            <w:noWrap/>
            <w:vAlign w:val="bottom"/>
            <w:hideMark/>
          </w:tcPr>
          <w:p w14:paraId="3F7E7AEA" w14:textId="77777777" w:rsidR="008835FE" w:rsidRPr="0035009E" w:rsidRDefault="008835FE" w:rsidP="00ED4277">
            <w:pPr>
              <w:jc w:val="center"/>
              <w:rPr>
                <w:rFonts w:ascii="Arial" w:hAnsi="Arial" w:cs="Arial"/>
                <w:szCs w:val="16"/>
              </w:rPr>
            </w:pPr>
            <w:r w:rsidRPr="0035009E">
              <w:rPr>
                <w:rFonts w:ascii="Arial" w:hAnsi="Arial" w:cs="Arial"/>
                <w:szCs w:val="16"/>
              </w:rPr>
              <w:t>0.1</w:t>
            </w:r>
          </w:p>
        </w:tc>
        <w:tc>
          <w:tcPr>
            <w:tcW w:w="1481" w:type="dxa"/>
            <w:tcBorders>
              <w:top w:val="nil"/>
              <w:left w:val="nil"/>
              <w:bottom w:val="nil"/>
              <w:right w:val="nil"/>
            </w:tcBorders>
            <w:shd w:val="clear" w:color="auto" w:fill="auto"/>
            <w:noWrap/>
            <w:vAlign w:val="bottom"/>
            <w:hideMark/>
          </w:tcPr>
          <w:p w14:paraId="723E3FD7" w14:textId="77777777" w:rsidR="008835FE" w:rsidRPr="0035009E" w:rsidRDefault="008835FE" w:rsidP="00ED4277">
            <w:pPr>
              <w:jc w:val="center"/>
              <w:rPr>
                <w:rFonts w:ascii="Arial" w:hAnsi="Arial" w:cs="Arial"/>
                <w:szCs w:val="16"/>
              </w:rPr>
            </w:pPr>
            <w:r w:rsidRPr="0035009E">
              <w:rPr>
                <w:rFonts w:ascii="Arial" w:hAnsi="Arial" w:cs="Arial"/>
                <w:szCs w:val="16"/>
              </w:rPr>
              <w:t>0.6</w:t>
            </w:r>
          </w:p>
        </w:tc>
      </w:tr>
      <w:tr w:rsidR="008835FE" w:rsidRPr="008835FE" w14:paraId="3693FE5B" w14:textId="77777777" w:rsidTr="0035009E">
        <w:trPr>
          <w:trHeight w:val="262"/>
        </w:trPr>
        <w:tc>
          <w:tcPr>
            <w:tcW w:w="4919" w:type="dxa"/>
            <w:tcBorders>
              <w:top w:val="nil"/>
              <w:left w:val="nil"/>
              <w:bottom w:val="nil"/>
              <w:right w:val="nil"/>
            </w:tcBorders>
            <w:shd w:val="clear" w:color="auto" w:fill="auto"/>
            <w:noWrap/>
            <w:vAlign w:val="bottom"/>
            <w:hideMark/>
          </w:tcPr>
          <w:p w14:paraId="59861407" w14:textId="77777777" w:rsidR="008835FE" w:rsidRPr="0035009E" w:rsidRDefault="008835FE" w:rsidP="00ED4277">
            <w:pPr>
              <w:rPr>
                <w:rFonts w:ascii="Arial" w:hAnsi="Arial" w:cs="Arial"/>
                <w:szCs w:val="16"/>
              </w:rPr>
            </w:pPr>
            <w:r w:rsidRPr="0035009E">
              <w:rPr>
                <w:rFonts w:ascii="Arial" w:hAnsi="Arial" w:cs="Arial"/>
                <w:szCs w:val="16"/>
              </w:rPr>
              <w:t>Provisions</w:t>
            </w:r>
          </w:p>
        </w:tc>
        <w:tc>
          <w:tcPr>
            <w:tcW w:w="1341" w:type="dxa"/>
            <w:tcBorders>
              <w:top w:val="nil"/>
              <w:left w:val="nil"/>
              <w:bottom w:val="nil"/>
              <w:right w:val="nil"/>
            </w:tcBorders>
            <w:shd w:val="clear" w:color="auto" w:fill="auto"/>
            <w:noWrap/>
            <w:vAlign w:val="bottom"/>
            <w:hideMark/>
          </w:tcPr>
          <w:p w14:paraId="07BB3BB2" w14:textId="77777777" w:rsidR="008835FE" w:rsidRPr="0035009E" w:rsidRDefault="008835FE" w:rsidP="00ED4277">
            <w:pPr>
              <w:jc w:val="center"/>
              <w:rPr>
                <w:rFonts w:ascii="Arial" w:hAnsi="Arial" w:cs="Arial"/>
                <w:szCs w:val="16"/>
              </w:rPr>
            </w:pPr>
            <w:r w:rsidRPr="0035009E">
              <w:rPr>
                <w:rFonts w:ascii="Arial" w:hAnsi="Arial" w:cs="Arial"/>
                <w:szCs w:val="16"/>
              </w:rPr>
              <w:t>(0.1)</w:t>
            </w:r>
          </w:p>
        </w:tc>
        <w:tc>
          <w:tcPr>
            <w:tcW w:w="1531" w:type="dxa"/>
            <w:tcBorders>
              <w:top w:val="nil"/>
              <w:left w:val="nil"/>
              <w:bottom w:val="nil"/>
              <w:right w:val="nil"/>
            </w:tcBorders>
            <w:shd w:val="clear" w:color="auto" w:fill="auto"/>
            <w:noWrap/>
            <w:vAlign w:val="bottom"/>
            <w:hideMark/>
          </w:tcPr>
          <w:p w14:paraId="34EDC566" w14:textId="77777777" w:rsidR="008835FE" w:rsidRPr="0035009E" w:rsidRDefault="008835FE" w:rsidP="00ED4277">
            <w:pPr>
              <w:jc w:val="center"/>
              <w:rPr>
                <w:rFonts w:ascii="Arial" w:hAnsi="Arial" w:cs="Arial"/>
                <w:szCs w:val="16"/>
              </w:rPr>
            </w:pPr>
            <w:r w:rsidRPr="0035009E">
              <w:rPr>
                <w:rFonts w:ascii="Arial" w:hAnsi="Arial" w:cs="Arial"/>
                <w:szCs w:val="16"/>
              </w:rPr>
              <w:t>0.1</w:t>
            </w:r>
          </w:p>
        </w:tc>
        <w:tc>
          <w:tcPr>
            <w:tcW w:w="1481" w:type="dxa"/>
            <w:tcBorders>
              <w:top w:val="nil"/>
              <w:left w:val="nil"/>
              <w:bottom w:val="nil"/>
              <w:right w:val="nil"/>
            </w:tcBorders>
            <w:shd w:val="clear" w:color="auto" w:fill="auto"/>
            <w:noWrap/>
            <w:vAlign w:val="bottom"/>
            <w:hideMark/>
          </w:tcPr>
          <w:p w14:paraId="20BABA91" w14:textId="77777777" w:rsidR="008835FE" w:rsidRPr="0035009E" w:rsidRDefault="008835FE" w:rsidP="00ED4277">
            <w:pPr>
              <w:jc w:val="center"/>
              <w:rPr>
                <w:rFonts w:ascii="Arial" w:hAnsi="Arial" w:cs="Arial"/>
                <w:szCs w:val="16"/>
              </w:rPr>
            </w:pPr>
            <w:r w:rsidRPr="0035009E">
              <w:rPr>
                <w:rFonts w:ascii="Arial" w:hAnsi="Arial" w:cs="Arial"/>
                <w:szCs w:val="16"/>
              </w:rPr>
              <w:t>-</w:t>
            </w:r>
          </w:p>
        </w:tc>
      </w:tr>
      <w:tr w:rsidR="008835FE" w:rsidRPr="008835FE" w14:paraId="4C68775B" w14:textId="77777777" w:rsidTr="0035009E">
        <w:trPr>
          <w:trHeight w:val="262"/>
        </w:trPr>
        <w:tc>
          <w:tcPr>
            <w:tcW w:w="4919" w:type="dxa"/>
            <w:tcBorders>
              <w:top w:val="nil"/>
              <w:left w:val="nil"/>
              <w:bottom w:val="nil"/>
              <w:right w:val="nil"/>
            </w:tcBorders>
            <w:shd w:val="clear" w:color="auto" w:fill="auto"/>
            <w:noWrap/>
            <w:vAlign w:val="bottom"/>
            <w:hideMark/>
          </w:tcPr>
          <w:p w14:paraId="6691ACF1" w14:textId="77777777" w:rsidR="008835FE" w:rsidRPr="0035009E" w:rsidRDefault="008835FE" w:rsidP="00ED4277">
            <w:pPr>
              <w:rPr>
                <w:rFonts w:ascii="Arial" w:hAnsi="Arial" w:cs="Arial"/>
                <w:szCs w:val="16"/>
              </w:rPr>
            </w:pPr>
            <w:r w:rsidRPr="0035009E">
              <w:rPr>
                <w:rFonts w:ascii="Arial" w:hAnsi="Arial" w:cs="Arial"/>
                <w:szCs w:val="16"/>
              </w:rPr>
              <w:t>Current and deferred tax</w:t>
            </w:r>
          </w:p>
        </w:tc>
        <w:tc>
          <w:tcPr>
            <w:tcW w:w="1341" w:type="dxa"/>
            <w:tcBorders>
              <w:top w:val="nil"/>
              <w:left w:val="nil"/>
              <w:bottom w:val="nil"/>
              <w:right w:val="nil"/>
            </w:tcBorders>
            <w:shd w:val="clear" w:color="auto" w:fill="auto"/>
            <w:noWrap/>
            <w:vAlign w:val="bottom"/>
            <w:hideMark/>
          </w:tcPr>
          <w:p w14:paraId="7DA4891E" w14:textId="77777777" w:rsidR="008835FE" w:rsidRPr="0035009E" w:rsidRDefault="008835FE" w:rsidP="00ED4277">
            <w:pPr>
              <w:jc w:val="center"/>
              <w:rPr>
                <w:rFonts w:ascii="Arial" w:hAnsi="Arial" w:cs="Arial"/>
                <w:szCs w:val="16"/>
              </w:rPr>
            </w:pPr>
            <w:r w:rsidRPr="0035009E">
              <w:rPr>
                <w:rFonts w:ascii="Arial" w:hAnsi="Arial" w:cs="Arial"/>
                <w:szCs w:val="16"/>
              </w:rPr>
              <w:t>(0.4)</w:t>
            </w:r>
          </w:p>
        </w:tc>
        <w:tc>
          <w:tcPr>
            <w:tcW w:w="1531" w:type="dxa"/>
            <w:tcBorders>
              <w:top w:val="nil"/>
              <w:left w:val="nil"/>
              <w:bottom w:val="nil"/>
              <w:right w:val="nil"/>
            </w:tcBorders>
            <w:shd w:val="clear" w:color="auto" w:fill="auto"/>
            <w:noWrap/>
            <w:vAlign w:val="bottom"/>
            <w:hideMark/>
          </w:tcPr>
          <w:p w14:paraId="2C2D2F7F" w14:textId="77777777" w:rsidR="008835FE" w:rsidRPr="0035009E" w:rsidRDefault="008835FE" w:rsidP="00ED4277">
            <w:pPr>
              <w:jc w:val="center"/>
              <w:rPr>
                <w:rFonts w:ascii="Arial" w:hAnsi="Arial" w:cs="Arial"/>
                <w:szCs w:val="16"/>
              </w:rPr>
            </w:pPr>
            <w:r w:rsidRPr="0035009E">
              <w:rPr>
                <w:rFonts w:ascii="Arial" w:hAnsi="Arial" w:cs="Arial"/>
                <w:szCs w:val="16"/>
              </w:rPr>
              <w:t>0.1</w:t>
            </w:r>
          </w:p>
        </w:tc>
        <w:tc>
          <w:tcPr>
            <w:tcW w:w="1481" w:type="dxa"/>
            <w:tcBorders>
              <w:top w:val="nil"/>
              <w:left w:val="nil"/>
              <w:bottom w:val="nil"/>
              <w:right w:val="nil"/>
            </w:tcBorders>
            <w:shd w:val="clear" w:color="auto" w:fill="auto"/>
            <w:noWrap/>
            <w:vAlign w:val="bottom"/>
            <w:hideMark/>
          </w:tcPr>
          <w:p w14:paraId="5C83EEAE" w14:textId="77777777" w:rsidR="008835FE" w:rsidRPr="0035009E" w:rsidRDefault="008835FE" w:rsidP="00ED4277">
            <w:pPr>
              <w:jc w:val="center"/>
              <w:rPr>
                <w:rFonts w:ascii="Arial" w:hAnsi="Arial" w:cs="Arial"/>
                <w:szCs w:val="16"/>
              </w:rPr>
            </w:pPr>
            <w:r w:rsidRPr="0035009E">
              <w:rPr>
                <w:rFonts w:ascii="Arial" w:hAnsi="Arial" w:cs="Arial"/>
                <w:szCs w:val="16"/>
              </w:rPr>
              <w:t>(0.3)</w:t>
            </w:r>
          </w:p>
        </w:tc>
      </w:tr>
      <w:tr w:rsidR="008835FE" w:rsidRPr="008835FE" w14:paraId="06D407B0" w14:textId="77777777" w:rsidTr="0035009E">
        <w:trPr>
          <w:trHeight w:val="262"/>
        </w:trPr>
        <w:tc>
          <w:tcPr>
            <w:tcW w:w="4919" w:type="dxa"/>
            <w:tcBorders>
              <w:top w:val="single" w:sz="4" w:space="0" w:color="auto"/>
              <w:left w:val="single" w:sz="4" w:space="0" w:color="auto"/>
              <w:bottom w:val="nil"/>
              <w:right w:val="nil"/>
            </w:tcBorders>
            <w:shd w:val="clear" w:color="auto" w:fill="auto"/>
            <w:noWrap/>
            <w:vAlign w:val="bottom"/>
            <w:hideMark/>
          </w:tcPr>
          <w:p w14:paraId="5EB7B858" w14:textId="77777777" w:rsidR="008835FE" w:rsidRPr="0035009E" w:rsidRDefault="008835FE" w:rsidP="00ED4277">
            <w:pPr>
              <w:rPr>
                <w:rFonts w:ascii="Arial" w:hAnsi="Arial" w:cs="Arial"/>
                <w:iCs/>
                <w:szCs w:val="16"/>
              </w:rPr>
            </w:pPr>
            <w:r w:rsidRPr="0035009E">
              <w:rPr>
                <w:rFonts w:ascii="Arial" w:hAnsi="Arial" w:cs="Arial"/>
                <w:iCs/>
                <w:szCs w:val="16"/>
              </w:rPr>
              <w:t>Lease debt</w:t>
            </w:r>
          </w:p>
        </w:tc>
        <w:tc>
          <w:tcPr>
            <w:tcW w:w="1341" w:type="dxa"/>
            <w:tcBorders>
              <w:top w:val="single" w:sz="4" w:space="0" w:color="auto"/>
              <w:left w:val="nil"/>
              <w:bottom w:val="nil"/>
              <w:right w:val="nil"/>
            </w:tcBorders>
            <w:shd w:val="clear" w:color="auto" w:fill="auto"/>
            <w:noWrap/>
            <w:vAlign w:val="bottom"/>
            <w:hideMark/>
          </w:tcPr>
          <w:p w14:paraId="49280373" w14:textId="77777777" w:rsidR="008835FE" w:rsidRPr="0035009E" w:rsidRDefault="008835FE" w:rsidP="00ED4277">
            <w:pPr>
              <w:jc w:val="center"/>
              <w:rPr>
                <w:rFonts w:ascii="Arial" w:hAnsi="Arial" w:cs="Arial"/>
                <w:iCs/>
                <w:szCs w:val="16"/>
              </w:rPr>
            </w:pPr>
            <w:r w:rsidRPr="0035009E">
              <w:rPr>
                <w:rFonts w:ascii="Arial" w:hAnsi="Arial" w:cs="Arial"/>
                <w:iCs/>
                <w:szCs w:val="16"/>
              </w:rPr>
              <w:t>-</w:t>
            </w:r>
          </w:p>
        </w:tc>
        <w:tc>
          <w:tcPr>
            <w:tcW w:w="1531" w:type="dxa"/>
            <w:tcBorders>
              <w:top w:val="single" w:sz="4" w:space="0" w:color="auto"/>
              <w:left w:val="nil"/>
              <w:bottom w:val="nil"/>
              <w:right w:val="nil"/>
            </w:tcBorders>
            <w:shd w:val="clear" w:color="auto" w:fill="auto"/>
            <w:noWrap/>
            <w:vAlign w:val="bottom"/>
            <w:hideMark/>
          </w:tcPr>
          <w:p w14:paraId="1F1939CE" w14:textId="77777777" w:rsidR="008835FE" w:rsidRPr="0035009E" w:rsidRDefault="008835FE" w:rsidP="00ED4277">
            <w:pPr>
              <w:jc w:val="center"/>
              <w:rPr>
                <w:rFonts w:ascii="Arial" w:hAnsi="Arial" w:cs="Arial"/>
                <w:iCs/>
                <w:szCs w:val="16"/>
              </w:rPr>
            </w:pPr>
            <w:r w:rsidRPr="0035009E">
              <w:rPr>
                <w:rFonts w:ascii="Arial" w:hAnsi="Arial" w:cs="Arial"/>
                <w:iCs/>
                <w:szCs w:val="16"/>
              </w:rPr>
              <w:t>(2.6)</w:t>
            </w:r>
          </w:p>
        </w:tc>
        <w:tc>
          <w:tcPr>
            <w:tcW w:w="1481" w:type="dxa"/>
            <w:tcBorders>
              <w:top w:val="single" w:sz="4" w:space="0" w:color="auto"/>
              <w:left w:val="nil"/>
              <w:bottom w:val="nil"/>
              <w:right w:val="single" w:sz="4" w:space="0" w:color="auto"/>
            </w:tcBorders>
            <w:shd w:val="clear" w:color="auto" w:fill="auto"/>
            <w:noWrap/>
            <w:vAlign w:val="bottom"/>
            <w:hideMark/>
          </w:tcPr>
          <w:p w14:paraId="25CB6450" w14:textId="77777777" w:rsidR="008835FE" w:rsidRPr="0035009E" w:rsidRDefault="008835FE" w:rsidP="00ED4277">
            <w:pPr>
              <w:jc w:val="center"/>
              <w:rPr>
                <w:rFonts w:ascii="Arial" w:hAnsi="Arial" w:cs="Arial"/>
                <w:iCs/>
                <w:szCs w:val="16"/>
              </w:rPr>
            </w:pPr>
            <w:r w:rsidRPr="0035009E">
              <w:rPr>
                <w:rFonts w:ascii="Arial" w:hAnsi="Arial" w:cs="Arial"/>
                <w:iCs/>
                <w:szCs w:val="16"/>
              </w:rPr>
              <w:t>(2.6)</w:t>
            </w:r>
          </w:p>
        </w:tc>
      </w:tr>
      <w:tr w:rsidR="008835FE" w:rsidRPr="008835FE" w14:paraId="638C7AD5" w14:textId="77777777" w:rsidTr="0035009E">
        <w:trPr>
          <w:trHeight w:val="262"/>
        </w:trPr>
        <w:tc>
          <w:tcPr>
            <w:tcW w:w="4919" w:type="dxa"/>
            <w:tcBorders>
              <w:top w:val="nil"/>
              <w:left w:val="single" w:sz="4" w:space="0" w:color="auto"/>
              <w:bottom w:val="single" w:sz="4" w:space="0" w:color="auto"/>
              <w:right w:val="nil"/>
            </w:tcBorders>
            <w:shd w:val="clear" w:color="auto" w:fill="auto"/>
            <w:noWrap/>
            <w:vAlign w:val="bottom"/>
            <w:hideMark/>
          </w:tcPr>
          <w:p w14:paraId="0F37AE60" w14:textId="77777777" w:rsidR="008835FE" w:rsidRPr="0035009E" w:rsidRDefault="008835FE" w:rsidP="00ED4277">
            <w:pPr>
              <w:rPr>
                <w:rFonts w:ascii="Arial" w:hAnsi="Arial" w:cs="Arial"/>
                <w:iCs/>
                <w:szCs w:val="16"/>
              </w:rPr>
            </w:pPr>
            <w:r w:rsidRPr="0035009E">
              <w:rPr>
                <w:rFonts w:ascii="Arial" w:hAnsi="Arial" w:cs="Arial"/>
                <w:iCs/>
                <w:szCs w:val="16"/>
              </w:rPr>
              <w:t>Financial net cash</w:t>
            </w:r>
          </w:p>
        </w:tc>
        <w:tc>
          <w:tcPr>
            <w:tcW w:w="1341" w:type="dxa"/>
            <w:tcBorders>
              <w:top w:val="nil"/>
              <w:left w:val="nil"/>
              <w:bottom w:val="single" w:sz="4" w:space="0" w:color="auto"/>
              <w:right w:val="nil"/>
            </w:tcBorders>
            <w:shd w:val="clear" w:color="auto" w:fill="auto"/>
            <w:noWrap/>
            <w:vAlign w:val="bottom"/>
            <w:hideMark/>
          </w:tcPr>
          <w:p w14:paraId="66295EA2" w14:textId="77777777" w:rsidR="008835FE" w:rsidRPr="0035009E" w:rsidRDefault="008835FE" w:rsidP="00ED4277">
            <w:pPr>
              <w:jc w:val="center"/>
              <w:rPr>
                <w:rFonts w:ascii="Arial" w:hAnsi="Arial" w:cs="Arial"/>
                <w:iCs/>
                <w:szCs w:val="16"/>
              </w:rPr>
            </w:pPr>
            <w:r w:rsidRPr="0035009E">
              <w:rPr>
                <w:rFonts w:ascii="Arial" w:hAnsi="Arial" w:cs="Arial"/>
                <w:iCs/>
                <w:szCs w:val="16"/>
              </w:rPr>
              <w:t>0.1</w:t>
            </w:r>
          </w:p>
        </w:tc>
        <w:tc>
          <w:tcPr>
            <w:tcW w:w="1531" w:type="dxa"/>
            <w:tcBorders>
              <w:top w:val="nil"/>
              <w:left w:val="nil"/>
              <w:bottom w:val="single" w:sz="4" w:space="0" w:color="auto"/>
              <w:right w:val="nil"/>
            </w:tcBorders>
            <w:shd w:val="clear" w:color="auto" w:fill="auto"/>
            <w:noWrap/>
            <w:vAlign w:val="bottom"/>
            <w:hideMark/>
          </w:tcPr>
          <w:p w14:paraId="5C204ACF" w14:textId="77777777" w:rsidR="008835FE" w:rsidRPr="0035009E" w:rsidRDefault="008835FE" w:rsidP="00ED4277">
            <w:pPr>
              <w:jc w:val="center"/>
              <w:rPr>
                <w:rFonts w:ascii="Arial" w:hAnsi="Arial" w:cs="Arial"/>
                <w:iCs/>
                <w:szCs w:val="16"/>
              </w:rPr>
            </w:pPr>
            <w:r w:rsidRPr="0035009E">
              <w:rPr>
                <w:rFonts w:ascii="Arial" w:hAnsi="Arial" w:cs="Arial"/>
                <w:iCs/>
                <w:szCs w:val="16"/>
              </w:rPr>
              <w:t>-</w:t>
            </w:r>
          </w:p>
        </w:tc>
        <w:tc>
          <w:tcPr>
            <w:tcW w:w="1481" w:type="dxa"/>
            <w:tcBorders>
              <w:top w:val="nil"/>
              <w:left w:val="nil"/>
              <w:bottom w:val="single" w:sz="4" w:space="0" w:color="auto"/>
              <w:right w:val="single" w:sz="4" w:space="0" w:color="auto"/>
            </w:tcBorders>
            <w:shd w:val="clear" w:color="auto" w:fill="auto"/>
            <w:noWrap/>
            <w:vAlign w:val="bottom"/>
            <w:hideMark/>
          </w:tcPr>
          <w:p w14:paraId="5DE2DEDC" w14:textId="77777777" w:rsidR="008835FE" w:rsidRPr="0035009E" w:rsidRDefault="008835FE" w:rsidP="00ED4277">
            <w:pPr>
              <w:jc w:val="center"/>
              <w:rPr>
                <w:rFonts w:ascii="Arial" w:hAnsi="Arial" w:cs="Arial"/>
                <w:iCs/>
                <w:szCs w:val="16"/>
              </w:rPr>
            </w:pPr>
            <w:r w:rsidRPr="0035009E">
              <w:rPr>
                <w:rFonts w:ascii="Arial" w:hAnsi="Arial" w:cs="Arial"/>
                <w:iCs/>
                <w:szCs w:val="16"/>
              </w:rPr>
              <w:t>0.1</w:t>
            </w:r>
          </w:p>
        </w:tc>
      </w:tr>
      <w:tr w:rsidR="008835FE" w:rsidRPr="008835FE" w14:paraId="3044BFB3" w14:textId="77777777" w:rsidTr="0035009E">
        <w:trPr>
          <w:trHeight w:val="262"/>
        </w:trPr>
        <w:tc>
          <w:tcPr>
            <w:tcW w:w="4919" w:type="dxa"/>
            <w:tcBorders>
              <w:top w:val="nil"/>
              <w:left w:val="nil"/>
              <w:bottom w:val="nil"/>
              <w:right w:val="nil"/>
            </w:tcBorders>
            <w:shd w:val="clear" w:color="auto" w:fill="auto"/>
            <w:noWrap/>
            <w:vAlign w:val="bottom"/>
            <w:hideMark/>
          </w:tcPr>
          <w:p w14:paraId="1F512036" w14:textId="77777777" w:rsidR="008835FE" w:rsidRPr="0035009E" w:rsidRDefault="008835FE" w:rsidP="00ED4277">
            <w:pPr>
              <w:rPr>
                <w:rFonts w:ascii="Arial" w:hAnsi="Arial" w:cs="Arial"/>
                <w:szCs w:val="16"/>
              </w:rPr>
            </w:pPr>
            <w:r w:rsidRPr="0035009E">
              <w:rPr>
                <w:rFonts w:ascii="Arial" w:hAnsi="Arial" w:cs="Arial"/>
                <w:szCs w:val="16"/>
              </w:rPr>
              <w:t xml:space="preserve">Net cash/(debt) </w:t>
            </w:r>
            <w:r w:rsidRPr="0035009E">
              <w:rPr>
                <w:rFonts w:ascii="Arial" w:hAnsi="Arial" w:cs="Arial"/>
                <w:szCs w:val="16"/>
                <w:vertAlign w:val="superscript"/>
              </w:rPr>
              <w:t>(2)</w:t>
            </w:r>
          </w:p>
        </w:tc>
        <w:tc>
          <w:tcPr>
            <w:tcW w:w="1341" w:type="dxa"/>
            <w:tcBorders>
              <w:top w:val="nil"/>
              <w:left w:val="nil"/>
              <w:bottom w:val="nil"/>
              <w:right w:val="nil"/>
            </w:tcBorders>
            <w:shd w:val="clear" w:color="auto" w:fill="auto"/>
            <w:noWrap/>
            <w:vAlign w:val="bottom"/>
            <w:hideMark/>
          </w:tcPr>
          <w:p w14:paraId="064D8180" w14:textId="77777777" w:rsidR="008835FE" w:rsidRPr="0035009E" w:rsidRDefault="008835FE" w:rsidP="00ED4277">
            <w:pPr>
              <w:jc w:val="center"/>
              <w:rPr>
                <w:rFonts w:ascii="Arial" w:hAnsi="Arial" w:cs="Arial"/>
                <w:szCs w:val="16"/>
              </w:rPr>
            </w:pPr>
            <w:r w:rsidRPr="0035009E">
              <w:rPr>
                <w:rFonts w:ascii="Arial" w:hAnsi="Arial" w:cs="Arial"/>
                <w:szCs w:val="16"/>
              </w:rPr>
              <w:t>0.1</w:t>
            </w:r>
          </w:p>
        </w:tc>
        <w:tc>
          <w:tcPr>
            <w:tcW w:w="1531" w:type="dxa"/>
            <w:tcBorders>
              <w:top w:val="nil"/>
              <w:left w:val="nil"/>
              <w:bottom w:val="nil"/>
              <w:right w:val="nil"/>
            </w:tcBorders>
            <w:shd w:val="clear" w:color="auto" w:fill="auto"/>
            <w:noWrap/>
            <w:vAlign w:val="bottom"/>
            <w:hideMark/>
          </w:tcPr>
          <w:p w14:paraId="666DC2B8" w14:textId="77777777" w:rsidR="008835FE" w:rsidRPr="0035009E" w:rsidRDefault="008835FE" w:rsidP="00ED4277">
            <w:pPr>
              <w:jc w:val="center"/>
              <w:rPr>
                <w:rFonts w:ascii="Arial" w:hAnsi="Arial" w:cs="Arial"/>
                <w:szCs w:val="16"/>
              </w:rPr>
            </w:pPr>
            <w:r w:rsidRPr="0035009E">
              <w:rPr>
                <w:rFonts w:ascii="Arial" w:hAnsi="Arial" w:cs="Arial"/>
                <w:szCs w:val="16"/>
              </w:rPr>
              <w:t>(2.6)</w:t>
            </w:r>
          </w:p>
        </w:tc>
        <w:tc>
          <w:tcPr>
            <w:tcW w:w="1481" w:type="dxa"/>
            <w:tcBorders>
              <w:top w:val="nil"/>
              <w:left w:val="nil"/>
              <w:bottom w:val="nil"/>
              <w:right w:val="nil"/>
            </w:tcBorders>
            <w:shd w:val="clear" w:color="auto" w:fill="auto"/>
            <w:noWrap/>
            <w:vAlign w:val="bottom"/>
            <w:hideMark/>
          </w:tcPr>
          <w:p w14:paraId="1BD40807" w14:textId="77777777" w:rsidR="008835FE" w:rsidRPr="0035009E" w:rsidRDefault="008835FE" w:rsidP="00ED4277">
            <w:pPr>
              <w:jc w:val="center"/>
              <w:rPr>
                <w:rFonts w:ascii="Arial" w:hAnsi="Arial" w:cs="Arial"/>
                <w:szCs w:val="16"/>
              </w:rPr>
            </w:pPr>
            <w:r w:rsidRPr="0035009E">
              <w:rPr>
                <w:rFonts w:ascii="Arial" w:hAnsi="Arial" w:cs="Arial"/>
                <w:szCs w:val="16"/>
              </w:rPr>
              <w:t>(2.5)</w:t>
            </w:r>
          </w:p>
        </w:tc>
      </w:tr>
      <w:tr w:rsidR="008835FE" w:rsidRPr="008835FE" w14:paraId="4EEFC411" w14:textId="77777777" w:rsidTr="0035009E">
        <w:trPr>
          <w:trHeight w:val="262"/>
        </w:trPr>
        <w:tc>
          <w:tcPr>
            <w:tcW w:w="4919" w:type="dxa"/>
            <w:tcBorders>
              <w:top w:val="nil"/>
              <w:left w:val="nil"/>
              <w:bottom w:val="nil"/>
              <w:right w:val="nil"/>
            </w:tcBorders>
            <w:shd w:val="clear" w:color="auto" w:fill="auto"/>
            <w:noWrap/>
            <w:vAlign w:val="bottom"/>
            <w:hideMark/>
          </w:tcPr>
          <w:p w14:paraId="587AF09F" w14:textId="77777777" w:rsidR="008835FE" w:rsidRPr="0035009E" w:rsidRDefault="008835FE" w:rsidP="00ED4277">
            <w:pPr>
              <w:rPr>
                <w:rFonts w:ascii="Arial" w:hAnsi="Arial" w:cs="Arial"/>
                <w:szCs w:val="16"/>
              </w:rPr>
            </w:pPr>
            <w:r w:rsidRPr="0035009E">
              <w:rPr>
                <w:rFonts w:ascii="Arial" w:hAnsi="Arial" w:cs="Arial"/>
                <w:szCs w:val="16"/>
              </w:rPr>
              <w:t>Other</w:t>
            </w:r>
          </w:p>
        </w:tc>
        <w:tc>
          <w:tcPr>
            <w:tcW w:w="1341" w:type="dxa"/>
            <w:tcBorders>
              <w:top w:val="nil"/>
              <w:left w:val="nil"/>
              <w:bottom w:val="nil"/>
              <w:right w:val="nil"/>
            </w:tcBorders>
            <w:shd w:val="clear" w:color="auto" w:fill="auto"/>
            <w:noWrap/>
            <w:vAlign w:val="bottom"/>
            <w:hideMark/>
          </w:tcPr>
          <w:p w14:paraId="7F6DDF3F" w14:textId="77777777" w:rsidR="008835FE" w:rsidRPr="0035009E" w:rsidRDefault="008835FE" w:rsidP="00ED4277">
            <w:pPr>
              <w:jc w:val="center"/>
              <w:rPr>
                <w:rFonts w:ascii="Arial" w:hAnsi="Arial" w:cs="Arial"/>
                <w:szCs w:val="16"/>
              </w:rPr>
            </w:pPr>
            <w:r w:rsidRPr="0035009E">
              <w:rPr>
                <w:rFonts w:ascii="Arial" w:hAnsi="Arial" w:cs="Arial"/>
                <w:szCs w:val="16"/>
              </w:rPr>
              <w:t>0.3</w:t>
            </w:r>
          </w:p>
        </w:tc>
        <w:tc>
          <w:tcPr>
            <w:tcW w:w="1531" w:type="dxa"/>
            <w:tcBorders>
              <w:top w:val="nil"/>
              <w:left w:val="nil"/>
              <w:bottom w:val="nil"/>
              <w:right w:val="nil"/>
            </w:tcBorders>
            <w:shd w:val="clear" w:color="auto" w:fill="auto"/>
            <w:noWrap/>
            <w:vAlign w:val="bottom"/>
            <w:hideMark/>
          </w:tcPr>
          <w:p w14:paraId="351A6BC6" w14:textId="77777777" w:rsidR="008835FE" w:rsidRPr="0035009E" w:rsidRDefault="008835FE" w:rsidP="00ED4277">
            <w:pPr>
              <w:jc w:val="center"/>
              <w:rPr>
                <w:rFonts w:ascii="Arial" w:hAnsi="Arial" w:cs="Arial"/>
                <w:szCs w:val="16"/>
              </w:rPr>
            </w:pPr>
            <w:r w:rsidRPr="0035009E">
              <w:rPr>
                <w:rFonts w:ascii="Arial" w:hAnsi="Arial" w:cs="Arial"/>
                <w:szCs w:val="16"/>
              </w:rPr>
              <w:t>-</w:t>
            </w:r>
          </w:p>
        </w:tc>
        <w:tc>
          <w:tcPr>
            <w:tcW w:w="1481" w:type="dxa"/>
            <w:tcBorders>
              <w:top w:val="nil"/>
              <w:left w:val="nil"/>
              <w:bottom w:val="nil"/>
              <w:right w:val="nil"/>
            </w:tcBorders>
            <w:shd w:val="clear" w:color="auto" w:fill="auto"/>
            <w:noWrap/>
            <w:vAlign w:val="bottom"/>
            <w:hideMark/>
          </w:tcPr>
          <w:p w14:paraId="51A55662" w14:textId="77777777" w:rsidR="008835FE" w:rsidRPr="0035009E" w:rsidRDefault="008835FE" w:rsidP="00ED4277">
            <w:pPr>
              <w:jc w:val="center"/>
              <w:rPr>
                <w:rFonts w:ascii="Arial" w:hAnsi="Arial" w:cs="Arial"/>
                <w:szCs w:val="16"/>
              </w:rPr>
            </w:pPr>
            <w:r w:rsidRPr="0035009E">
              <w:rPr>
                <w:rFonts w:ascii="Arial" w:hAnsi="Arial" w:cs="Arial"/>
                <w:szCs w:val="16"/>
              </w:rPr>
              <w:t>0.3</w:t>
            </w:r>
          </w:p>
        </w:tc>
      </w:tr>
      <w:tr w:rsidR="008835FE" w:rsidRPr="008835FE" w14:paraId="0DA5B1B4" w14:textId="77777777" w:rsidTr="0035009E">
        <w:trPr>
          <w:trHeight w:val="277"/>
        </w:trPr>
        <w:tc>
          <w:tcPr>
            <w:tcW w:w="4919" w:type="dxa"/>
            <w:tcBorders>
              <w:top w:val="single" w:sz="4" w:space="0" w:color="auto"/>
              <w:left w:val="nil"/>
              <w:bottom w:val="single" w:sz="8" w:space="0" w:color="auto"/>
              <w:right w:val="nil"/>
            </w:tcBorders>
            <w:shd w:val="clear" w:color="auto" w:fill="auto"/>
            <w:noWrap/>
            <w:vAlign w:val="bottom"/>
            <w:hideMark/>
          </w:tcPr>
          <w:p w14:paraId="5F41B18A" w14:textId="77777777" w:rsidR="008835FE" w:rsidRPr="0035009E" w:rsidRDefault="008835FE" w:rsidP="00ED4277">
            <w:pPr>
              <w:rPr>
                <w:rFonts w:ascii="Arial" w:hAnsi="Arial" w:cs="Arial"/>
                <w:b/>
                <w:bCs/>
                <w:szCs w:val="16"/>
              </w:rPr>
            </w:pPr>
            <w:r w:rsidRPr="0035009E">
              <w:rPr>
                <w:rFonts w:ascii="Arial" w:hAnsi="Arial" w:cs="Arial"/>
                <w:b/>
                <w:bCs/>
                <w:szCs w:val="16"/>
              </w:rPr>
              <w:t>Net assets</w:t>
            </w:r>
          </w:p>
        </w:tc>
        <w:tc>
          <w:tcPr>
            <w:tcW w:w="1341" w:type="dxa"/>
            <w:tcBorders>
              <w:top w:val="single" w:sz="4" w:space="0" w:color="auto"/>
              <w:left w:val="nil"/>
              <w:bottom w:val="single" w:sz="8" w:space="0" w:color="auto"/>
              <w:right w:val="nil"/>
            </w:tcBorders>
            <w:shd w:val="clear" w:color="auto" w:fill="auto"/>
            <w:noWrap/>
            <w:vAlign w:val="bottom"/>
            <w:hideMark/>
          </w:tcPr>
          <w:p w14:paraId="7644F483" w14:textId="77777777" w:rsidR="008835FE" w:rsidRPr="0035009E" w:rsidRDefault="008835FE" w:rsidP="00ED4277">
            <w:pPr>
              <w:jc w:val="center"/>
              <w:rPr>
                <w:rFonts w:ascii="Arial" w:hAnsi="Arial" w:cs="Arial"/>
                <w:b/>
                <w:bCs/>
                <w:szCs w:val="16"/>
              </w:rPr>
            </w:pPr>
            <w:r w:rsidRPr="0035009E">
              <w:rPr>
                <w:rFonts w:ascii="Arial" w:hAnsi="Arial" w:cs="Arial"/>
                <w:b/>
                <w:bCs/>
                <w:szCs w:val="16"/>
              </w:rPr>
              <w:t>6.7</w:t>
            </w:r>
          </w:p>
        </w:tc>
        <w:tc>
          <w:tcPr>
            <w:tcW w:w="1531" w:type="dxa"/>
            <w:tcBorders>
              <w:top w:val="single" w:sz="4" w:space="0" w:color="auto"/>
              <w:left w:val="nil"/>
              <w:bottom w:val="single" w:sz="8" w:space="0" w:color="auto"/>
              <w:right w:val="nil"/>
            </w:tcBorders>
            <w:shd w:val="clear" w:color="auto" w:fill="auto"/>
            <w:noWrap/>
            <w:vAlign w:val="bottom"/>
            <w:hideMark/>
          </w:tcPr>
          <w:p w14:paraId="4E654FAF" w14:textId="77777777" w:rsidR="008835FE" w:rsidRPr="0035009E" w:rsidRDefault="008835FE" w:rsidP="00ED4277">
            <w:pPr>
              <w:jc w:val="center"/>
              <w:rPr>
                <w:rFonts w:ascii="Arial" w:hAnsi="Arial" w:cs="Arial"/>
                <w:b/>
                <w:bCs/>
                <w:szCs w:val="16"/>
              </w:rPr>
            </w:pPr>
            <w:r w:rsidRPr="0035009E">
              <w:rPr>
                <w:rFonts w:ascii="Arial" w:hAnsi="Arial" w:cs="Arial"/>
                <w:b/>
                <w:bCs/>
                <w:szCs w:val="16"/>
              </w:rPr>
              <w:t>(0.5)</w:t>
            </w:r>
          </w:p>
        </w:tc>
        <w:tc>
          <w:tcPr>
            <w:tcW w:w="1481" w:type="dxa"/>
            <w:tcBorders>
              <w:top w:val="single" w:sz="4" w:space="0" w:color="auto"/>
              <w:left w:val="nil"/>
              <w:bottom w:val="single" w:sz="8" w:space="0" w:color="auto"/>
              <w:right w:val="nil"/>
            </w:tcBorders>
            <w:shd w:val="clear" w:color="auto" w:fill="auto"/>
            <w:noWrap/>
            <w:vAlign w:val="bottom"/>
            <w:hideMark/>
          </w:tcPr>
          <w:p w14:paraId="1FAEBD6D" w14:textId="77777777" w:rsidR="008835FE" w:rsidRPr="0035009E" w:rsidRDefault="008835FE" w:rsidP="00ED4277">
            <w:pPr>
              <w:jc w:val="center"/>
              <w:rPr>
                <w:rFonts w:ascii="Arial" w:hAnsi="Arial" w:cs="Arial"/>
                <w:b/>
                <w:bCs/>
                <w:szCs w:val="16"/>
              </w:rPr>
            </w:pPr>
            <w:r w:rsidRPr="0035009E">
              <w:rPr>
                <w:rFonts w:ascii="Arial" w:hAnsi="Arial" w:cs="Arial"/>
                <w:b/>
                <w:bCs/>
                <w:szCs w:val="16"/>
              </w:rPr>
              <w:t>6.2</w:t>
            </w:r>
          </w:p>
        </w:tc>
      </w:tr>
    </w:tbl>
    <w:p w14:paraId="289EF539" w14:textId="77777777" w:rsidR="008835FE" w:rsidRPr="0035009E" w:rsidRDefault="008835FE" w:rsidP="008835FE">
      <w:pPr>
        <w:rPr>
          <w:rFonts w:ascii="Arial" w:hAnsi="Arial" w:cs="Arial"/>
          <w:iCs/>
          <w:sz w:val="16"/>
          <w:szCs w:val="16"/>
        </w:rPr>
      </w:pPr>
    </w:p>
    <w:p w14:paraId="75325356" w14:textId="77777777" w:rsidR="008835FE" w:rsidRPr="0035009E" w:rsidRDefault="008835FE" w:rsidP="008835FE">
      <w:pPr>
        <w:pStyle w:val="ListParagraph"/>
        <w:numPr>
          <w:ilvl w:val="0"/>
          <w:numId w:val="85"/>
        </w:numPr>
        <w:contextualSpacing/>
        <w:jc w:val="left"/>
        <w:rPr>
          <w:rFonts w:ascii="Arial" w:hAnsi="Arial" w:cs="Arial"/>
          <w:iCs/>
          <w:sz w:val="16"/>
          <w:szCs w:val="16"/>
        </w:rPr>
      </w:pPr>
      <w:r w:rsidRPr="0035009E">
        <w:rPr>
          <w:rFonts w:ascii="Arial" w:hAnsi="Arial" w:cs="Arial"/>
          <w:iCs/>
          <w:sz w:val="16"/>
          <w:szCs w:val="16"/>
        </w:rPr>
        <w:t>Includes goodwill, other intangible assets, property, plant and equipment, investment property and investments in joint ventures and associates</w:t>
      </w:r>
    </w:p>
    <w:p w14:paraId="26B3FCF6" w14:textId="77777777" w:rsidR="008835FE" w:rsidRPr="0035009E" w:rsidRDefault="008835FE" w:rsidP="008835FE">
      <w:pPr>
        <w:pStyle w:val="ListParagraph"/>
        <w:numPr>
          <w:ilvl w:val="0"/>
          <w:numId w:val="85"/>
        </w:numPr>
        <w:contextualSpacing/>
        <w:jc w:val="left"/>
        <w:rPr>
          <w:rFonts w:ascii="Arial" w:hAnsi="Arial" w:cs="Arial"/>
          <w:iCs/>
          <w:sz w:val="16"/>
          <w:szCs w:val="16"/>
        </w:rPr>
      </w:pPr>
      <w:r w:rsidRPr="0035009E">
        <w:rPr>
          <w:rFonts w:ascii="Arial" w:hAnsi="Arial" w:cs="Arial"/>
          <w:iCs/>
          <w:sz w:val="16"/>
          <w:szCs w:val="16"/>
        </w:rPr>
        <w:t>Net debt under IFRS 16 comprises lease liabilities and financial net cash (‘net cash’ under IAS 17 excluding finance leases)</w:t>
      </w:r>
    </w:p>
    <w:p w14:paraId="61FC2070" w14:textId="77777777" w:rsidR="008835FE" w:rsidRPr="008835FE" w:rsidRDefault="008835FE" w:rsidP="008835FE"/>
    <w:p w14:paraId="58D538B4" w14:textId="77777777" w:rsidR="00AA6F62" w:rsidRDefault="00AA6F62">
      <w:pPr>
        <w:jc w:val="left"/>
        <w:rPr>
          <w:rFonts w:ascii="Arial" w:hAnsi="Arial" w:cs="Arial"/>
          <w:b/>
          <w:bCs/>
        </w:rPr>
      </w:pPr>
      <w:r>
        <w:rPr>
          <w:rFonts w:ascii="Arial" w:hAnsi="Arial" w:cs="Arial"/>
          <w:b/>
          <w:bCs/>
        </w:rPr>
        <w:br w:type="page"/>
      </w:r>
    </w:p>
    <w:p w14:paraId="21E17C3B" w14:textId="273935E4" w:rsidR="000265B9" w:rsidRPr="00A845B7" w:rsidRDefault="00DA4C33">
      <w:pPr>
        <w:jc w:val="left"/>
        <w:rPr>
          <w:rFonts w:ascii="Arial" w:hAnsi="Arial" w:cs="Arial"/>
        </w:rPr>
      </w:pPr>
      <w:r w:rsidRPr="00A845B7">
        <w:rPr>
          <w:rFonts w:ascii="Arial" w:hAnsi="Arial" w:cs="Arial"/>
          <w:b/>
          <w:bCs/>
        </w:rPr>
        <w:lastRenderedPageBreak/>
        <w:t>Se</w:t>
      </w:r>
      <w:r w:rsidR="000265B9" w:rsidRPr="00A845B7">
        <w:rPr>
          <w:rFonts w:ascii="Arial" w:hAnsi="Arial" w:cs="Arial"/>
          <w:b/>
          <w:bCs/>
        </w:rPr>
        <w:t>ction 5: Glossary (terms are listed in alphabetical order)</w:t>
      </w:r>
    </w:p>
    <w:p w14:paraId="6267B9AD" w14:textId="77777777" w:rsidR="000265B9" w:rsidRPr="00A845B7" w:rsidRDefault="000265B9" w:rsidP="000265B9">
      <w:pPr>
        <w:rPr>
          <w:rFonts w:ascii="Arial" w:hAnsi="Arial" w:cs="Arial"/>
          <w:b/>
        </w:rPr>
      </w:pPr>
    </w:p>
    <w:tbl>
      <w:tblPr>
        <w:tblStyle w:val="TableGrid"/>
        <w:tblW w:w="0" w:type="auto"/>
        <w:tblLook w:val="04A0" w:firstRow="1" w:lastRow="0" w:firstColumn="1" w:lastColumn="0" w:noHBand="0" w:noVBand="1"/>
      </w:tblPr>
      <w:tblGrid>
        <w:gridCol w:w="9631"/>
      </w:tblGrid>
      <w:tr w:rsidR="00120C4A" w14:paraId="68F3E22D" w14:textId="77777777" w:rsidTr="00120C4A">
        <w:tc>
          <w:tcPr>
            <w:tcW w:w="9631" w:type="dxa"/>
          </w:tcPr>
          <w:p w14:paraId="711F5382" w14:textId="77777777" w:rsidR="00A97E1F" w:rsidRDefault="00A97E1F" w:rsidP="00A97E1F">
            <w:pPr>
              <w:rPr>
                <w:rFonts w:ascii="Arial" w:eastAsia="Times New Roman" w:hAnsi="Arial" w:cs="Arial"/>
                <w:b/>
                <w:bCs/>
                <w:color w:val="000000"/>
                <w:u w:val="single"/>
              </w:rPr>
            </w:pPr>
            <w:bookmarkStart w:id="51" w:name="_Hlk509246186"/>
          </w:p>
          <w:p w14:paraId="57F051FB" w14:textId="3C5056D1" w:rsidR="00A97E1F" w:rsidRPr="00516348" w:rsidRDefault="00A97E1F" w:rsidP="00A97E1F">
            <w:pPr>
              <w:rPr>
                <w:rFonts w:ascii="Arial" w:eastAsia="Times New Roman" w:hAnsi="Arial" w:cs="Arial"/>
                <w:color w:val="000000"/>
                <w:u w:val="single"/>
              </w:rPr>
            </w:pPr>
            <w:r w:rsidRPr="00516348">
              <w:rPr>
                <w:rFonts w:ascii="Arial" w:eastAsia="Times New Roman" w:hAnsi="Arial" w:cs="Arial"/>
                <w:b/>
                <w:bCs/>
                <w:color w:val="000000"/>
                <w:u w:val="single"/>
              </w:rPr>
              <w:t>Alternative Performance Measures (APMs)</w:t>
            </w:r>
          </w:p>
          <w:p w14:paraId="018BBD90" w14:textId="4C892213" w:rsidR="00120C4A" w:rsidRDefault="00A97E1F" w:rsidP="00120C4A">
            <w:pPr>
              <w:jc w:val="left"/>
              <w:rPr>
                <w:rFonts w:ascii="Arial" w:hAnsi="Arial" w:cs="Arial"/>
                <w:b/>
                <w:szCs w:val="24"/>
              </w:rPr>
            </w:pPr>
            <w:r w:rsidRPr="00EE21CA">
              <w:rPr>
                <w:rFonts w:ascii="Arial" w:eastAsia="Times New Roman" w:hAnsi="Arial" w:cs="Arial"/>
                <w:color w:val="000000"/>
              </w:rPr>
              <w:t>In the reporting of financial information, the Directors have adopted various Alternative Performance Measures (APMs), also termed non-GAAP measures</w:t>
            </w:r>
            <w:r>
              <w:rPr>
                <w:rFonts w:ascii="Arial" w:eastAsia="Times New Roman" w:hAnsi="Arial" w:cs="Arial"/>
                <w:color w:val="000000"/>
              </w:rPr>
              <w:t>,</w:t>
            </w:r>
            <w:r w:rsidRPr="00EE21CA">
              <w:rPr>
                <w:rFonts w:ascii="Arial" w:eastAsia="Times New Roman" w:hAnsi="Arial" w:cs="Arial"/>
                <w:color w:val="000000"/>
              </w:rPr>
              <w:t xml:space="preserve"> of historical or future financial performance, position or cash flows other than those defined or specified under International Financial Reporting Standards (IFRS). These measures are not defined by IFRS and therefore may not be directly comparable with other companies’ APMs, including those used by other retailers. APMs should be considered in addition to, and are not intended to be a substitute for, or superior to, IFRS measurements.</w:t>
            </w:r>
          </w:p>
        </w:tc>
      </w:tr>
      <w:bookmarkEnd w:id="51"/>
    </w:tbl>
    <w:p w14:paraId="78EB69AF" w14:textId="77777777" w:rsidR="00120C4A" w:rsidRDefault="00120C4A" w:rsidP="00120C4A">
      <w:pPr>
        <w:jc w:val="left"/>
        <w:rPr>
          <w:rFonts w:ascii="Arial" w:hAnsi="Arial" w:cs="Arial"/>
          <w:b/>
          <w:szCs w:val="24"/>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696"/>
        <w:gridCol w:w="1619"/>
        <w:gridCol w:w="2086"/>
        <w:gridCol w:w="4228"/>
      </w:tblGrid>
      <w:tr w:rsidR="00A97E1F" w:rsidRPr="00EE21CA" w14:paraId="7F6A9925" w14:textId="77777777" w:rsidTr="00510D28">
        <w:trPr>
          <w:trHeight w:val="885"/>
          <w:tblHeader/>
        </w:trPr>
        <w:tc>
          <w:tcPr>
            <w:tcW w:w="1696" w:type="dxa"/>
            <w:shd w:val="clear" w:color="auto" w:fill="auto"/>
            <w:vAlign w:val="bottom"/>
            <w:hideMark/>
          </w:tcPr>
          <w:p w14:paraId="7BED6FBB" w14:textId="77777777" w:rsidR="00A97E1F" w:rsidRPr="00EE21CA" w:rsidRDefault="00A97E1F" w:rsidP="00510D28">
            <w:pPr>
              <w:jc w:val="left"/>
              <w:rPr>
                <w:rFonts w:ascii="Arial" w:eastAsia="Times New Roman" w:hAnsi="Arial" w:cs="Arial"/>
                <w:b/>
                <w:bCs/>
                <w:color w:val="000000"/>
              </w:rPr>
            </w:pPr>
            <w:r w:rsidRPr="00EE21CA">
              <w:rPr>
                <w:rFonts w:ascii="Arial" w:eastAsia="Times New Roman" w:hAnsi="Arial" w:cs="Arial"/>
                <w:b/>
                <w:bCs/>
                <w:color w:val="000000"/>
              </w:rPr>
              <w:t xml:space="preserve">APM </w:t>
            </w:r>
          </w:p>
        </w:tc>
        <w:tc>
          <w:tcPr>
            <w:tcW w:w="1619" w:type="dxa"/>
            <w:shd w:val="clear" w:color="auto" w:fill="auto"/>
            <w:vAlign w:val="bottom"/>
            <w:hideMark/>
          </w:tcPr>
          <w:p w14:paraId="5EE45863" w14:textId="77777777" w:rsidR="00A97E1F" w:rsidRPr="00EE21CA" w:rsidRDefault="00A97E1F" w:rsidP="00510D28">
            <w:pPr>
              <w:jc w:val="left"/>
              <w:rPr>
                <w:rFonts w:ascii="Arial" w:eastAsia="Times New Roman" w:hAnsi="Arial" w:cs="Arial"/>
                <w:b/>
                <w:bCs/>
                <w:color w:val="000000"/>
              </w:rPr>
            </w:pPr>
            <w:r w:rsidRPr="00EE21CA">
              <w:rPr>
                <w:rFonts w:ascii="Arial" w:eastAsia="Times New Roman" w:hAnsi="Arial" w:cs="Arial"/>
                <w:b/>
                <w:bCs/>
                <w:color w:val="000000"/>
              </w:rPr>
              <w:t xml:space="preserve">Closest equivalent IFRS measure </w:t>
            </w:r>
          </w:p>
        </w:tc>
        <w:tc>
          <w:tcPr>
            <w:tcW w:w="2086" w:type="dxa"/>
            <w:shd w:val="clear" w:color="auto" w:fill="auto"/>
            <w:vAlign w:val="bottom"/>
            <w:hideMark/>
          </w:tcPr>
          <w:p w14:paraId="791FA6C0" w14:textId="77777777" w:rsidR="00A97E1F" w:rsidRPr="00EE21CA" w:rsidRDefault="00A97E1F" w:rsidP="00510D28">
            <w:pPr>
              <w:jc w:val="left"/>
              <w:rPr>
                <w:rFonts w:ascii="Arial" w:eastAsia="Times New Roman" w:hAnsi="Arial" w:cs="Arial"/>
                <w:b/>
                <w:bCs/>
                <w:color w:val="000000"/>
              </w:rPr>
            </w:pPr>
            <w:r w:rsidRPr="00EE21CA">
              <w:rPr>
                <w:rFonts w:ascii="Arial" w:eastAsia="Times New Roman" w:hAnsi="Arial" w:cs="Arial"/>
                <w:b/>
                <w:bCs/>
                <w:color w:val="000000"/>
              </w:rPr>
              <w:t xml:space="preserve">Reconciling items to IFRS measure </w:t>
            </w:r>
          </w:p>
        </w:tc>
        <w:tc>
          <w:tcPr>
            <w:tcW w:w="4228" w:type="dxa"/>
            <w:shd w:val="clear" w:color="auto" w:fill="auto"/>
            <w:vAlign w:val="bottom"/>
            <w:hideMark/>
          </w:tcPr>
          <w:p w14:paraId="4E4D1D51" w14:textId="77777777" w:rsidR="00A97E1F" w:rsidRPr="00EE21CA" w:rsidRDefault="00A97E1F" w:rsidP="00510D28">
            <w:pPr>
              <w:jc w:val="left"/>
              <w:rPr>
                <w:rFonts w:ascii="Arial" w:eastAsia="Times New Roman" w:hAnsi="Arial" w:cs="Arial"/>
                <w:b/>
                <w:bCs/>
                <w:color w:val="000000"/>
              </w:rPr>
            </w:pPr>
            <w:r w:rsidRPr="00EE21CA">
              <w:rPr>
                <w:rFonts w:ascii="Arial" w:eastAsia="Times New Roman" w:hAnsi="Arial" w:cs="Arial"/>
                <w:b/>
                <w:bCs/>
                <w:color w:val="000000"/>
              </w:rPr>
              <w:t xml:space="preserve">Definition and purpose </w:t>
            </w:r>
          </w:p>
        </w:tc>
      </w:tr>
      <w:tr w:rsidR="00A97E1F" w:rsidRPr="00EE21CA" w14:paraId="5F0EAEC9" w14:textId="77777777" w:rsidTr="00510D28">
        <w:trPr>
          <w:trHeight w:val="1305"/>
        </w:trPr>
        <w:tc>
          <w:tcPr>
            <w:tcW w:w="1696" w:type="dxa"/>
            <w:shd w:val="clear" w:color="auto" w:fill="auto"/>
            <w:hideMark/>
          </w:tcPr>
          <w:p w14:paraId="37820FC9"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Adjusted basic earnings per share </w:t>
            </w:r>
          </w:p>
        </w:tc>
        <w:tc>
          <w:tcPr>
            <w:tcW w:w="1619" w:type="dxa"/>
            <w:shd w:val="clear" w:color="auto" w:fill="auto"/>
            <w:hideMark/>
          </w:tcPr>
          <w:p w14:paraId="13A468DD"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Basic earnings per share</w:t>
            </w:r>
          </w:p>
        </w:tc>
        <w:tc>
          <w:tcPr>
            <w:tcW w:w="2086" w:type="dxa"/>
            <w:shd w:val="clear" w:color="auto" w:fill="auto"/>
            <w:hideMark/>
          </w:tcPr>
          <w:p w14:paraId="2557ADC5" w14:textId="6FA72FB1"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A reconciliation of adjusted basic earnings per share is included in the Financial Review (Section 4) and note </w:t>
            </w:r>
            <w:r w:rsidR="009A772B">
              <w:rPr>
                <w:rFonts w:ascii="Arial" w:eastAsia="Times New Roman" w:hAnsi="Arial" w:cs="Arial"/>
                <w:color w:val="000000"/>
              </w:rPr>
              <w:t>7</w:t>
            </w:r>
            <w:r>
              <w:rPr>
                <w:rFonts w:ascii="Arial" w:eastAsia="Times New Roman" w:hAnsi="Arial" w:cs="Arial"/>
                <w:color w:val="000000"/>
              </w:rPr>
              <w:t xml:space="preserve"> of the condensed financial statements</w:t>
            </w:r>
          </w:p>
        </w:tc>
        <w:tc>
          <w:tcPr>
            <w:tcW w:w="4228" w:type="dxa"/>
            <w:shd w:val="clear" w:color="auto" w:fill="auto"/>
            <w:hideMark/>
          </w:tcPr>
          <w:p w14:paraId="2FB21CFC"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Adjusted basic earnings per share represents profit after tax attributable to the owners of the parent, before the impact of exceptional items, </w:t>
            </w:r>
            <w:r>
              <w:rPr>
                <w:rFonts w:ascii="Arial" w:eastAsia="Times New Roman" w:hAnsi="Arial" w:cs="Arial"/>
                <w:color w:val="000000"/>
              </w:rPr>
              <w:t xml:space="preserve">FFVR, </w:t>
            </w:r>
            <w:r w:rsidRPr="00EE21CA">
              <w:rPr>
                <w:rFonts w:ascii="Arial" w:eastAsia="Times New Roman" w:hAnsi="Arial" w:cs="Arial"/>
                <w:color w:val="000000"/>
              </w:rPr>
              <w:t xml:space="preserve">related tax items and tax on prior year items, divided by the weighted average number of shares in issue during the </w:t>
            </w:r>
            <w:r>
              <w:rPr>
                <w:rFonts w:ascii="Arial" w:eastAsia="Times New Roman" w:hAnsi="Arial" w:cs="Arial"/>
                <w:color w:val="000000"/>
              </w:rPr>
              <w:t>period</w:t>
            </w:r>
            <w:r w:rsidRPr="00EE21CA">
              <w:rPr>
                <w:rFonts w:ascii="Arial" w:eastAsia="Times New Roman" w:hAnsi="Arial" w:cs="Arial"/>
                <w:color w:val="000000"/>
              </w:rPr>
              <w:t xml:space="preserve">. </w:t>
            </w:r>
          </w:p>
        </w:tc>
      </w:tr>
      <w:tr w:rsidR="00A97E1F" w:rsidRPr="00EE21CA" w14:paraId="586C51DF" w14:textId="77777777" w:rsidTr="00510D28">
        <w:trPr>
          <w:trHeight w:val="1425"/>
        </w:trPr>
        <w:tc>
          <w:tcPr>
            <w:tcW w:w="1696" w:type="dxa"/>
            <w:shd w:val="clear" w:color="auto" w:fill="auto"/>
            <w:hideMark/>
          </w:tcPr>
          <w:p w14:paraId="51543A8C" w14:textId="77777777" w:rsidR="00A97E1F" w:rsidRPr="00EE21CA" w:rsidRDefault="00A97E1F" w:rsidP="00510D28">
            <w:pPr>
              <w:jc w:val="left"/>
              <w:rPr>
                <w:rFonts w:ascii="Arial" w:eastAsia="Times New Roman" w:hAnsi="Arial" w:cs="Arial"/>
                <w:color w:val="000000"/>
              </w:rPr>
            </w:pPr>
            <w:bookmarkStart w:id="52" w:name="_Hlk524461079"/>
            <w:r w:rsidRPr="00EE21CA">
              <w:rPr>
                <w:rFonts w:ascii="Arial" w:eastAsia="Times New Roman" w:hAnsi="Arial" w:cs="Arial"/>
                <w:color w:val="000000"/>
              </w:rPr>
              <w:t>Adjusted effective tax rate</w:t>
            </w:r>
          </w:p>
        </w:tc>
        <w:tc>
          <w:tcPr>
            <w:tcW w:w="1619" w:type="dxa"/>
            <w:shd w:val="clear" w:color="auto" w:fill="auto"/>
            <w:hideMark/>
          </w:tcPr>
          <w:p w14:paraId="2756EB6C"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Effective tax rate</w:t>
            </w:r>
          </w:p>
        </w:tc>
        <w:tc>
          <w:tcPr>
            <w:tcW w:w="2086" w:type="dxa"/>
            <w:shd w:val="clear" w:color="auto" w:fill="auto"/>
            <w:hideMark/>
          </w:tcPr>
          <w:p w14:paraId="4C924A8D"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to the overall tax rate is set out in the Financial Review (Section 4)</w:t>
            </w:r>
          </w:p>
        </w:tc>
        <w:tc>
          <w:tcPr>
            <w:tcW w:w="4228" w:type="dxa"/>
            <w:shd w:val="clear" w:color="auto" w:fill="auto"/>
            <w:hideMark/>
          </w:tcPr>
          <w:p w14:paraId="2342E588"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Adjusted effective tax rate is calculated as continuing income tax expense excluding tax on exceptional items and adjustments in respect of prior years and the impact of changes in tax rates on deferred tax, divided by continuing profit before taxation excluding exceptional items. The exclusion of items relating to prior years and those not in the ordinary course of business helps provide a better indication of the Group's ongoing tax rate. </w:t>
            </w:r>
          </w:p>
        </w:tc>
      </w:tr>
      <w:bookmarkEnd w:id="52"/>
      <w:tr w:rsidR="00A97E1F" w:rsidRPr="00EE21CA" w14:paraId="5E707043" w14:textId="77777777" w:rsidTr="00510D28">
        <w:trPr>
          <w:trHeight w:val="1200"/>
        </w:trPr>
        <w:tc>
          <w:tcPr>
            <w:tcW w:w="1696" w:type="dxa"/>
            <w:shd w:val="clear" w:color="auto" w:fill="auto"/>
            <w:hideMark/>
          </w:tcPr>
          <w:p w14:paraId="4E8DAC15"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Adjusted pre-tax profit </w:t>
            </w:r>
          </w:p>
        </w:tc>
        <w:tc>
          <w:tcPr>
            <w:tcW w:w="1619" w:type="dxa"/>
            <w:shd w:val="clear" w:color="auto" w:fill="auto"/>
            <w:hideMark/>
          </w:tcPr>
          <w:p w14:paraId="2C0F73D4"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hideMark/>
          </w:tcPr>
          <w:p w14:paraId="67DB4974"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A reconciliation of adjusted pre-tax profit is set out in the Financial Review (Section 4) and </w:t>
            </w:r>
            <w:r>
              <w:rPr>
                <w:rFonts w:ascii="Arial" w:eastAsia="Times New Roman" w:hAnsi="Arial" w:cs="Arial"/>
                <w:color w:val="000000"/>
              </w:rPr>
              <w:t xml:space="preserve">the </w:t>
            </w:r>
            <w:r w:rsidRPr="00EE21CA">
              <w:rPr>
                <w:rFonts w:ascii="Arial" w:eastAsia="Times New Roman" w:hAnsi="Arial" w:cs="Arial"/>
                <w:color w:val="000000"/>
              </w:rPr>
              <w:t>consolidated income statement</w:t>
            </w:r>
            <w:r>
              <w:rPr>
                <w:rFonts w:ascii="Arial" w:eastAsia="Times New Roman" w:hAnsi="Arial" w:cs="Arial"/>
                <w:color w:val="000000"/>
              </w:rPr>
              <w:t xml:space="preserve"> of the condensed financial statements</w:t>
            </w:r>
          </w:p>
        </w:tc>
        <w:tc>
          <w:tcPr>
            <w:tcW w:w="4228" w:type="dxa"/>
            <w:shd w:val="clear" w:color="auto" w:fill="auto"/>
            <w:hideMark/>
          </w:tcPr>
          <w:p w14:paraId="629DE53E"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Adjusted pre-tax profit is used to report the performance of the business at a Group level including both the benefits of our transformation programme and the associated costs. This is stated before exceptional items</w:t>
            </w:r>
            <w:r>
              <w:rPr>
                <w:rFonts w:ascii="Arial" w:eastAsia="Times New Roman" w:hAnsi="Arial" w:cs="Arial"/>
                <w:color w:val="000000"/>
              </w:rPr>
              <w:t xml:space="preserve"> and FFVR</w:t>
            </w:r>
            <w:r w:rsidRPr="00EE21CA">
              <w:rPr>
                <w:rFonts w:ascii="Arial" w:eastAsia="Times New Roman" w:hAnsi="Arial" w:cs="Arial"/>
                <w:color w:val="000000"/>
              </w:rPr>
              <w:t>. The exclusion of exceptional items</w:t>
            </w:r>
            <w:r>
              <w:rPr>
                <w:rFonts w:ascii="Arial" w:eastAsia="Times New Roman" w:hAnsi="Arial" w:cs="Arial"/>
                <w:color w:val="000000"/>
              </w:rPr>
              <w:t xml:space="preserve"> and FFVR</w:t>
            </w:r>
            <w:r w:rsidRPr="00EE21CA">
              <w:rPr>
                <w:rFonts w:ascii="Arial" w:eastAsia="Times New Roman" w:hAnsi="Arial" w:cs="Arial"/>
                <w:color w:val="000000"/>
              </w:rPr>
              <w:t xml:space="preserve"> helps provide an indication of the Group's ongoing business performance. </w:t>
            </w:r>
          </w:p>
        </w:tc>
      </w:tr>
      <w:tr w:rsidR="00AA6F62" w:rsidRPr="00EE21CA" w14:paraId="2D801BD0" w14:textId="77777777" w:rsidTr="00510D28">
        <w:trPr>
          <w:trHeight w:val="505"/>
        </w:trPr>
        <w:tc>
          <w:tcPr>
            <w:tcW w:w="1696" w:type="dxa"/>
            <w:shd w:val="clear" w:color="auto" w:fill="auto"/>
          </w:tcPr>
          <w:p w14:paraId="790307C6" w14:textId="4F049548" w:rsidR="00AA6F62" w:rsidRDefault="00AA6F62" w:rsidP="00510D28">
            <w:pPr>
              <w:jc w:val="left"/>
              <w:rPr>
                <w:rFonts w:ascii="Arial" w:eastAsia="Times New Roman" w:hAnsi="Arial" w:cs="Arial"/>
                <w:color w:val="000000"/>
              </w:rPr>
            </w:pPr>
            <w:r>
              <w:rPr>
                <w:rFonts w:ascii="Arial" w:eastAsia="Times New Roman" w:hAnsi="Arial" w:cs="Arial"/>
                <w:color w:val="000000"/>
              </w:rPr>
              <w:t>Central costs</w:t>
            </w:r>
          </w:p>
        </w:tc>
        <w:tc>
          <w:tcPr>
            <w:tcW w:w="1619" w:type="dxa"/>
            <w:shd w:val="clear" w:color="auto" w:fill="auto"/>
          </w:tcPr>
          <w:p w14:paraId="044E3E08" w14:textId="6376BF0E" w:rsidR="00AA6F62" w:rsidRDefault="00AA6F62" w:rsidP="00510D28">
            <w:pPr>
              <w:jc w:val="left"/>
              <w:rPr>
                <w:rFonts w:ascii="Arial" w:eastAsia="Times New Roman" w:hAnsi="Arial" w:cs="Arial"/>
                <w:color w:val="000000"/>
              </w:rPr>
            </w:pPr>
            <w:r>
              <w:rPr>
                <w:rFonts w:ascii="Arial" w:eastAsia="Times New Roman" w:hAnsi="Arial" w:cs="Arial"/>
                <w:color w:val="000000"/>
              </w:rPr>
              <w:t>No direct equivalent</w:t>
            </w:r>
          </w:p>
        </w:tc>
        <w:tc>
          <w:tcPr>
            <w:tcW w:w="2086" w:type="dxa"/>
            <w:shd w:val="clear" w:color="auto" w:fill="auto"/>
          </w:tcPr>
          <w:p w14:paraId="48AE5933" w14:textId="41F49DF6" w:rsidR="00AA6F62" w:rsidRDefault="00AA6F62" w:rsidP="00510D28">
            <w:pPr>
              <w:jc w:val="left"/>
              <w:rPr>
                <w:rFonts w:ascii="Arial" w:eastAsia="Times New Roman" w:hAnsi="Arial" w:cs="Arial"/>
                <w:color w:val="000000"/>
              </w:rPr>
            </w:pPr>
            <w:r>
              <w:rPr>
                <w:rFonts w:ascii="Arial" w:eastAsia="Times New Roman" w:hAnsi="Arial" w:cs="Arial"/>
                <w:color w:val="000000"/>
              </w:rPr>
              <w:t>Not applicable</w:t>
            </w:r>
          </w:p>
        </w:tc>
        <w:tc>
          <w:tcPr>
            <w:tcW w:w="4228" w:type="dxa"/>
            <w:shd w:val="clear" w:color="auto" w:fill="auto"/>
          </w:tcPr>
          <w:p w14:paraId="63A0DE61" w14:textId="6EDA2B77" w:rsidR="00AA6F62" w:rsidRPr="001C7D4C" w:rsidRDefault="00AA6F62" w:rsidP="00510D28">
            <w:pPr>
              <w:jc w:val="left"/>
              <w:rPr>
                <w:rFonts w:ascii="Arial" w:eastAsia="Times New Roman" w:hAnsi="Arial" w:cs="Arial"/>
                <w:color w:val="000000"/>
              </w:rPr>
            </w:pPr>
            <w:r w:rsidRPr="00AA6F62">
              <w:rPr>
                <w:rFonts w:ascii="Arial" w:eastAsia="Times New Roman" w:hAnsi="Arial" w:cs="Arial"/>
                <w:color w:val="000000"/>
              </w:rPr>
              <w:t>Central costs principally comprise the costs of the Group’s head office before transformation costs and exceptional items. This is a measure of the underlying head office costs.</w:t>
            </w:r>
          </w:p>
        </w:tc>
      </w:tr>
      <w:tr w:rsidR="00A97E1F" w:rsidRPr="00EE21CA" w14:paraId="73A91B83" w14:textId="77777777" w:rsidTr="00510D28">
        <w:trPr>
          <w:trHeight w:val="505"/>
        </w:trPr>
        <w:tc>
          <w:tcPr>
            <w:tcW w:w="1696" w:type="dxa"/>
            <w:shd w:val="clear" w:color="auto" w:fill="auto"/>
          </w:tcPr>
          <w:p w14:paraId="1A8F9408" w14:textId="77777777" w:rsidR="00A97E1F" w:rsidRPr="00EE21CA" w:rsidRDefault="00A97E1F" w:rsidP="00510D28">
            <w:pPr>
              <w:jc w:val="left"/>
              <w:rPr>
                <w:rFonts w:ascii="Arial" w:eastAsia="Times New Roman" w:hAnsi="Arial" w:cs="Arial"/>
                <w:color w:val="000000"/>
              </w:rPr>
            </w:pPr>
            <w:r>
              <w:rPr>
                <w:rFonts w:ascii="Arial" w:eastAsia="Times New Roman" w:hAnsi="Arial" w:cs="Arial"/>
                <w:color w:val="000000"/>
              </w:rPr>
              <w:t>Constant currency</w:t>
            </w:r>
          </w:p>
        </w:tc>
        <w:tc>
          <w:tcPr>
            <w:tcW w:w="1619" w:type="dxa"/>
            <w:shd w:val="clear" w:color="auto" w:fill="auto"/>
          </w:tcPr>
          <w:p w14:paraId="112EBAA5" w14:textId="77777777" w:rsidR="00A97E1F" w:rsidRPr="00EE21CA" w:rsidRDefault="00A97E1F" w:rsidP="00510D28">
            <w:pPr>
              <w:jc w:val="left"/>
              <w:rPr>
                <w:rFonts w:ascii="Arial" w:eastAsia="Times New Roman" w:hAnsi="Arial" w:cs="Arial"/>
                <w:color w:val="000000"/>
              </w:rPr>
            </w:pPr>
            <w:r>
              <w:rPr>
                <w:rFonts w:ascii="Arial" w:eastAsia="Times New Roman" w:hAnsi="Arial" w:cs="Arial"/>
                <w:color w:val="000000"/>
              </w:rPr>
              <w:t>No direct equivalent</w:t>
            </w:r>
          </w:p>
        </w:tc>
        <w:tc>
          <w:tcPr>
            <w:tcW w:w="2086" w:type="dxa"/>
            <w:shd w:val="clear" w:color="auto" w:fill="auto"/>
          </w:tcPr>
          <w:p w14:paraId="48BB0736" w14:textId="77777777" w:rsidR="00A97E1F" w:rsidRPr="00EE21CA" w:rsidRDefault="00A97E1F" w:rsidP="00510D28">
            <w:pPr>
              <w:jc w:val="left"/>
              <w:rPr>
                <w:rFonts w:ascii="Arial" w:eastAsia="Times New Roman" w:hAnsi="Arial" w:cs="Arial"/>
                <w:color w:val="000000"/>
              </w:rPr>
            </w:pPr>
            <w:r>
              <w:rPr>
                <w:rFonts w:ascii="Arial" w:eastAsia="Times New Roman" w:hAnsi="Arial" w:cs="Arial"/>
                <w:color w:val="000000"/>
              </w:rPr>
              <w:t>Not applicable</w:t>
            </w:r>
          </w:p>
        </w:tc>
        <w:tc>
          <w:tcPr>
            <w:tcW w:w="4228" w:type="dxa"/>
            <w:shd w:val="clear" w:color="auto" w:fill="auto"/>
          </w:tcPr>
          <w:p w14:paraId="4A107018" w14:textId="77777777" w:rsidR="00A97E1F" w:rsidRPr="00EE21CA" w:rsidRDefault="00A97E1F" w:rsidP="00510D28">
            <w:pPr>
              <w:jc w:val="left"/>
              <w:rPr>
                <w:rFonts w:ascii="Arial" w:eastAsia="Times New Roman" w:hAnsi="Arial" w:cs="Arial"/>
                <w:color w:val="000000"/>
              </w:rPr>
            </w:pPr>
            <w:r w:rsidRPr="001C7D4C">
              <w:rPr>
                <w:rFonts w:ascii="Arial" w:eastAsia="Times New Roman" w:hAnsi="Arial" w:cs="Arial"/>
                <w:color w:val="000000"/>
              </w:rPr>
              <w:t>Constant currency changes in total sales, LFL sales</w:t>
            </w:r>
            <w:r>
              <w:rPr>
                <w:rFonts w:ascii="Arial" w:eastAsia="Times New Roman" w:hAnsi="Arial" w:cs="Arial"/>
                <w:color w:val="000000"/>
              </w:rPr>
              <w:t>, gross margin</w:t>
            </w:r>
            <w:r w:rsidRPr="001C7D4C">
              <w:rPr>
                <w:rFonts w:ascii="Arial" w:eastAsia="Times New Roman" w:hAnsi="Arial" w:cs="Arial"/>
                <w:color w:val="000000"/>
              </w:rPr>
              <w:t xml:space="preserve"> and retail profit reflect the year on year movements after translating the prior year comparatives at the current year’s </w:t>
            </w:r>
            <w:r w:rsidRPr="001C7D4C">
              <w:rPr>
                <w:rFonts w:ascii="Arial" w:eastAsia="Times New Roman" w:hAnsi="Arial" w:cs="Arial"/>
                <w:color w:val="000000"/>
              </w:rPr>
              <w:lastRenderedPageBreak/>
              <w:t>average exchange rates. These are presented to eliminate the effects of exchange rate fluctuation</w:t>
            </w:r>
            <w:r>
              <w:rPr>
                <w:rFonts w:ascii="Arial" w:eastAsia="Times New Roman" w:hAnsi="Arial" w:cs="Arial"/>
                <w:color w:val="000000"/>
              </w:rPr>
              <w:t>s</w:t>
            </w:r>
            <w:r w:rsidRPr="001C7D4C">
              <w:rPr>
                <w:rFonts w:ascii="Arial" w:eastAsia="Times New Roman" w:hAnsi="Arial" w:cs="Arial"/>
                <w:color w:val="000000"/>
              </w:rPr>
              <w:t xml:space="preserve"> on the reported results.</w:t>
            </w:r>
          </w:p>
        </w:tc>
      </w:tr>
      <w:tr w:rsidR="00A97E1F" w:rsidRPr="00EE21CA" w14:paraId="5CF7662F" w14:textId="77777777" w:rsidTr="00510D28">
        <w:trPr>
          <w:trHeight w:val="1200"/>
        </w:trPr>
        <w:tc>
          <w:tcPr>
            <w:tcW w:w="1696" w:type="dxa"/>
            <w:shd w:val="clear" w:color="auto" w:fill="auto"/>
          </w:tcPr>
          <w:p w14:paraId="399165C7"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lastRenderedPageBreak/>
              <w:t>EBITDA</w:t>
            </w:r>
          </w:p>
        </w:tc>
        <w:tc>
          <w:tcPr>
            <w:tcW w:w="1619" w:type="dxa"/>
            <w:shd w:val="clear" w:color="auto" w:fill="auto"/>
          </w:tcPr>
          <w:p w14:paraId="19FA606E"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tcPr>
          <w:p w14:paraId="35522D56"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of EBITDA is set out in the Financial Review (Section 4)</w:t>
            </w:r>
          </w:p>
        </w:tc>
        <w:tc>
          <w:tcPr>
            <w:tcW w:w="4228" w:type="dxa"/>
            <w:shd w:val="clear" w:color="auto" w:fill="auto"/>
          </w:tcPr>
          <w:p w14:paraId="2CA1F9C3"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EBITDA (earnings before interest, tax, depreciation and amortisation) is calculated as retail profit less central and transformation P&amp;L costs and before depreciation and amortisation. It is a measure of operating performance.</w:t>
            </w:r>
          </w:p>
        </w:tc>
      </w:tr>
      <w:tr w:rsidR="00A97E1F" w:rsidRPr="00EE21CA" w14:paraId="31DD85EA" w14:textId="77777777" w:rsidTr="00510D28">
        <w:trPr>
          <w:trHeight w:val="1350"/>
        </w:trPr>
        <w:tc>
          <w:tcPr>
            <w:tcW w:w="1696" w:type="dxa"/>
            <w:shd w:val="clear" w:color="auto" w:fill="auto"/>
            <w:hideMark/>
          </w:tcPr>
          <w:p w14:paraId="1A1809B2"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EBITDAR</w:t>
            </w:r>
          </w:p>
        </w:tc>
        <w:tc>
          <w:tcPr>
            <w:tcW w:w="1619" w:type="dxa"/>
            <w:shd w:val="clear" w:color="auto" w:fill="auto"/>
            <w:hideMark/>
          </w:tcPr>
          <w:p w14:paraId="2738A55E"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shd w:val="clear" w:color="auto" w:fill="auto"/>
            <w:hideMark/>
          </w:tcPr>
          <w:p w14:paraId="432CC75D"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of EBITDAR is set out in the Financial Review (Section 4)</w:t>
            </w:r>
          </w:p>
        </w:tc>
        <w:tc>
          <w:tcPr>
            <w:tcW w:w="4228" w:type="dxa"/>
            <w:shd w:val="clear" w:color="auto" w:fill="auto"/>
            <w:hideMark/>
          </w:tcPr>
          <w:p w14:paraId="27E907D0"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EBITDAR (earnings before interest, tax, depreciation, amortisation and property operating lease rentals) is calculated as retail profit less central and transformation P&amp;L costs, before depreciation and amortisation and property operating lease rentals. This measure is used in calculating the ratio of lease adjusted net debt to EBITDAR, to reflect the Group's leverage including capitalised leases which in accordance with current accounting standards do not appear on the balance sheet. </w:t>
            </w:r>
          </w:p>
        </w:tc>
      </w:tr>
      <w:tr w:rsidR="00A97E1F" w:rsidRPr="009F52AF" w14:paraId="350B3A0E"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1A672333"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Exceptional items</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01BE100E"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737AA939"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43BADC21"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Exceptional items are certain types of income or cost that are excluded by virtue of their size and nature in order to reflect management's view of the performance of the Group.</w:t>
            </w:r>
          </w:p>
          <w:p w14:paraId="729BC875" w14:textId="77777777" w:rsidR="00A97E1F" w:rsidRPr="00EE21CA" w:rsidRDefault="00A97E1F" w:rsidP="00510D28">
            <w:pPr>
              <w:jc w:val="left"/>
              <w:rPr>
                <w:rFonts w:ascii="Arial" w:eastAsia="Times New Roman" w:hAnsi="Arial" w:cs="Arial"/>
                <w:color w:val="000000"/>
              </w:rPr>
            </w:pPr>
          </w:p>
          <w:p w14:paraId="5D6634FA"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The principal exceptional items are: non-trading items included in operating profit such as profits and losses on the disposal, closure or impairment of subsidiaries, joint ventures, associates and investments which do not form part of the Group’s trading activities; profits and losses on the disposal of properties and impairment losses on non-operational assets; and the costs of significant restructuring, including certain restructuring costs of the Group’s five year transformation plan launched in 2016/17</w:t>
            </w:r>
            <w:r>
              <w:rPr>
                <w:rFonts w:ascii="Arial" w:eastAsia="Times New Roman" w:hAnsi="Arial" w:cs="Arial"/>
                <w:color w:val="000000"/>
              </w:rPr>
              <w:t xml:space="preserve"> (‘transformation exceptional costs’)</w:t>
            </w:r>
            <w:r w:rsidRPr="00EE21CA">
              <w:rPr>
                <w:rFonts w:ascii="Arial" w:eastAsia="Times New Roman" w:hAnsi="Arial" w:cs="Arial"/>
                <w:color w:val="000000"/>
              </w:rPr>
              <w:t>, and incremental acquisition integration costs.</w:t>
            </w:r>
          </w:p>
        </w:tc>
      </w:tr>
      <w:tr w:rsidR="00A97E1F" w:rsidRPr="009F52AF" w14:paraId="4408A2BA"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ABEFFC2"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FFVR</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C6672B1"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614AD980" w14:textId="7BDD7BC1"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Included within net finance costs </w:t>
            </w:r>
            <w:r>
              <w:rPr>
                <w:rFonts w:ascii="Arial" w:eastAsia="Times New Roman" w:hAnsi="Arial" w:cs="Arial"/>
                <w:color w:val="000000"/>
              </w:rPr>
              <w:t>in n</w:t>
            </w:r>
            <w:r w:rsidRPr="00EE21CA">
              <w:rPr>
                <w:rFonts w:ascii="Arial" w:eastAsia="Times New Roman" w:hAnsi="Arial" w:cs="Arial"/>
                <w:color w:val="000000"/>
              </w:rPr>
              <w:t xml:space="preserve">ote </w:t>
            </w:r>
            <w:r w:rsidR="009A772B">
              <w:rPr>
                <w:rFonts w:ascii="Arial" w:eastAsia="Times New Roman" w:hAnsi="Arial" w:cs="Arial"/>
                <w:color w:val="000000"/>
              </w:rPr>
              <w:t>5</w:t>
            </w:r>
            <w:r w:rsidRPr="00EE21CA">
              <w:rPr>
                <w:rFonts w:ascii="Arial" w:eastAsia="Times New Roman" w:hAnsi="Arial" w:cs="Arial"/>
                <w:color w:val="000000"/>
              </w:rPr>
              <w:t xml:space="preserve"> </w:t>
            </w:r>
            <w:r>
              <w:rPr>
                <w:rFonts w:ascii="Arial" w:eastAsia="Times New Roman" w:hAnsi="Arial" w:cs="Arial"/>
                <w:color w:val="000000"/>
              </w:rPr>
              <w:t>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0F86DE3E"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FFVR (financing fair value remeasurements) represent fair value fluctuations from financial instruments.</w:t>
            </w:r>
          </w:p>
        </w:tc>
      </w:tr>
      <w:tr w:rsidR="00A97E1F" w:rsidRPr="009F52AF" w14:paraId="5B015798"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1A5787DF"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lastRenderedPageBreak/>
              <w:t>Free cash flow</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2B0448BC"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5E671C27"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of free cash flow is set out in the 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4AFE56D"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Free cash flow represents cash generated from operations (excluding exceptional items) less the amount spent on interest, tax and capital expenditure during the year (excluding business acquisitions and disposals and asset disposals).</w:t>
            </w:r>
            <w:r w:rsidRPr="00EE21CA">
              <w:rPr>
                <w:rFonts w:ascii="Arial" w:eastAsia="Times New Roman" w:hAnsi="Arial" w:cs="Arial"/>
                <w:color w:val="000000"/>
              </w:rPr>
              <w:br/>
              <w:t>This provides a measure of how much cash the business generates that can be used for expansion, capital returns and other purposes.</w:t>
            </w:r>
          </w:p>
        </w:tc>
      </w:tr>
      <w:tr w:rsidR="00A97E1F" w:rsidRPr="009F52AF" w14:paraId="3D71A5BC"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5D8A499E"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Gross margin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1D3725B7"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67AEA5DC"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Refer to definition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21DD498"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Gross margin represents sales from the supply of home improvement products and services (excluding VAT), less the associated cost of those sales. It is a measure of profit margin.</w:t>
            </w:r>
          </w:p>
        </w:tc>
      </w:tr>
      <w:tr w:rsidR="00A97E1F" w:rsidRPr="009F52AF" w14:paraId="3F93220D"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4BEFE0F5"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Lease adjusted net debt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4C95F1AB"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2F64FEB8"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of lease adjusted net debt is set out in the 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508CAB44"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Lease adjusted net debt represents net cash plus capitalised property operating lease rentals. The measure is used in calculating the ratio of lease adjusted net debt to EBITDAR to provide an indication of the Group’s overall leverage.</w:t>
            </w:r>
          </w:p>
        </w:tc>
      </w:tr>
      <w:tr w:rsidR="001B27A2" w:rsidRPr="009F52AF" w14:paraId="09E608F0"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tcPr>
          <w:p w14:paraId="6853E996" w14:textId="1A193878" w:rsidR="001B27A2" w:rsidRPr="001B27A2" w:rsidRDefault="001B27A2" w:rsidP="001B27A2">
            <w:pPr>
              <w:jc w:val="left"/>
              <w:rPr>
                <w:rFonts w:ascii="Arial" w:eastAsia="Times New Roman" w:hAnsi="Arial" w:cs="Arial"/>
                <w:color w:val="000000"/>
              </w:rPr>
            </w:pPr>
            <w:r w:rsidRPr="0035009E">
              <w:rPr>
                <w:rFonts w:ascii="Arial" w:hAnsi="Arial" w:cs="Arial"/>
              </w:rPr>
              <w:t>Lease adjusted ROCE</w:t>
            </w:r>
          </w:p>
        </w:tc>
        <w:tc>
          <w:tcPr>
            <w:tcW w:w="1619" w:type="dxa"/>
            <w:tcBorders>
              <w:top w:val="single" w:sz="8" w:space="0" w:color="auto"/>
              <w:left w:val="single" w:sz="6" w:space="0" w:color="auto"/>
              <w:bottom w:val="single" w:sz="8" w:space="0" w:color="auto"/>
              <w:right w:val="single" w:sz="8" w:space="0" w:color="auto"/>
            </w:tcBorders>
            <w:shd w:val="clear" w:color="auto" w:fill="auto"/>
          </w:tcPr>
          <w:p w14:paraId="76351F3E" w14:textId="54980FD6" w:rsidR="001B27A2" w:rsidRPr="001B27A2" w:rsidRDefault="001B27A2" w:rsidP="001B27A2">
            <w:pPr>
              <w:jc w:val="left"/>
              <w:rPr>
                <w:rFonts w:ascii="Arial" w:eastAsia="Times New Roman" w:hAnsi="Arial" w:cs="Arial"/>
                <w:color w:val="000000"/>
              </w:rPr>
            </w:pPr>
            <w:r w:rsidRPr="0035009E">
              <w:rPr>
                <w:rFonts w:ascii="Arial" w:hAnsi="Arial" w:cs="Arial"/>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tcPr>
          <w:p w14:paraId="6EFC821C" w14:textId="68A46014" w:rsidR="001B27A2" w:rsidRPr="001B27A2" w:rsidRDefault="001B27A2" w:rsidP="001B27A2">
            <w:pPr>
              <w:jc w:val="left"/>
              <w:rPr>
                <w:rFonts w:ascii="Arial" w:eastAsia="Times New Roman" w:hAnsi="Arial" w:cs="Arial"/>
                <w:color w:val="000000"/>
              </w:rPr>
            </w:pPr>
            <w:r w:rsidRPr="0035009E">
              <w:rPr>
                <w:rFonts w:ascii="Arial" w:hAnsi="Arial" w:cs="Arial"/>
              </w:rPr>
              <w:t>A reconciliation of lease adjusted ROCE is set out in the 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tcPr>
          <w:p w14:paraId="68185E49" w14:textId="0506C938" w:rsidR="001B27A2" w:rsidRPr="001B27A2" w:rsidRDefault="001B27A2" w:rsidP="001B27A2">
            <w:pPr>
              <w:jc w:val="left"/>
              <w:rPr>
                <w:rFonts w:ascii="Arial" w:eastAsia="Times New Roman" w:hAnsi="Arial" w:cs="Arial"/>
                <w:color w:val="000000"/>
              </w:rPr>
            </w:pPr>
            <w:r w:rsidRPr="0035009E">
              <w:rPr>
                <w:rFonts w:ascii="Arial" w:hAnsi="Arial" w:cs="Arial"/>
              </w:rPr>
              <w:t xml:space="preserve">Post-tax retail profit </w:t>
            </w:r>
            <w:proofErr w:type="gramStart"/>
            <w:r w:rsidRPr="0035009E">
              <w:rPr>
                <w:rFonts w:ascii="Arial" w:hAnsi="Arial" w:cs="Arial"/>
              </w:rPr>
              <w:t>less</w:t>
            </w:r>
            <w:proofErr w:type="gramEnd"/>
            <w:r w:rsidRPr="0035009E">
              <w:rPr>
                <w:rFonts w:ascii="Arial" w:hAnsi="Arial" w:cs="Arial"/>
              </w:rPr>
              <w:t xml:space="preserve"> central costs and transformation costs, excluding exceptional items and property lease costs, divided by lease adjusted capital employed excluding historic goodwill, net cash and exceptional restructuring provision. The measure provides an indication of the ongoing returns from the capital invested in the business including capitalised leases. Capital employed is adjusted to include capitalised property leases. Kingfisher believes 8x property operating lease rent is a reasonable industry standard for estimating the economic value of its leased assets. Capital employed except for capitalised leases, is calculated as a two point average.</w:t>
            </w:r>
          </w:p>
        </w:tc>
      </w:tr>
      <w:tr w:rsidR="00A97E1F" w:rsidRPr="009F52AF" w14:paraId="0AA35C0C"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A8E181B"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LFL</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083F6CF3"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Sales</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04434F0B"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Refer to definition</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253C0548"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LFL (</w:t>
            </w:r>
            <w:r>
              <w:rPr>
                <w:rFonts w:ascii="Arial" w:eastAsia="Times New Roman" w:hAnsi="Arial" w:cs="Arial"/>
                <w:color w:val="000000"/>
              </w:rPr>
              <w:t>l</w:t>
            </w:r>
            <w:r w:rsidRPr="00EE21CA">
              <w:rPr>
                <w:rFonts w:ascii="Arial" w:eastAsia="Times New Roman" w:hAnsi="Arial" w:cs="Arial"/>
                <w:color w:val="000000"/>
              </w:rPr>
              <w:t>ike-for-like) sales growth represents the constant currency, year on year sales growth for stores that have been open for more than one year. It is a measure to reflect the Group's performance on a comparable basis.</w:t>
            </w:r>
          </w:p>
        </w:tc>
      </w:tr>
      <w:tr w:rsidR="00A97E1F" w:rsidRPr="009F52AF" w14:paraId="57E7813C"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380EF760"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Net cash</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3134EE80"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56AE690F" w14:textId="7AE18F06"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of this measure is provided in note 1</w:t>
            </w:r>
            <w:r w:rsidR="009A772B">
              <w:rPr>
                <w:rFonts w:ascii="Arial" w:eastAsia="Times New Roman" w:hAnsi="Arial" w:cs="Arial"/>
                <w:color w:val="000000"/>
              </w:rPr>
              <w:t>1</w:t>
            </w:r>
            <w:r>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7C014601"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Net cash comprises cash and cash equivalents and short term deposits, less borrowings and financing derivatives (excluding accrued interest).</w:t>
            </w:r>
          </w:p>
        </w:tc>
      </w:tr>
      <w:tr w:rsidR="00A97E1F" w:rsidRPr="009F52AF" w14:paraId="2AFA64C0"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6755B1C9"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lastRenderedPageBreak/>
              <w:t>Net cash flow</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D9267CD"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54A50002"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of net cash flow is set out in the Financial Review (Section 4)</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58FE3314"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Net cash flow represents the total movement in the net cash balance during the year excluding foreign exchange and other non-cash movements.</w:t>
            </w:r>
          </w:p>
        </w:tc>
      </w:tr>
      <w:tr w:rsidR="00A97E1F" w:rsidRPr="009F52AF" w14:paraId="3BD8F633"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62F7F576"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Retail profit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5D90964B"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Profit before taxation</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0EE2A0B4" w14:textId="3A38D962"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to profit before taxation is set out in the Financial Review (Section 4</w:t>
            </w:r>
            <w:r>
              <w:rPr>
                <w:rFonts w:ascii="Arial" w:eastAsia="Times New Roman" w:hAnsi="Arial" w:cs="Arial"/>
                <w:color w:val="000000"/>
              </w:rPr>
              <w:t xml:space="preserve">) and note </w:t>
            </w:r>
            <w:r w:rsidR="009A772B">
              <w:rPr>
                <w:rFonts w:ascii="Arial" w:eastAsia="Times New Roman" w:hAnsi="Arial" w:cs="Arial"/>
                <w:color w:val="000000"/>
              </w:rPr>
              <w:t>3</w:t>
            </w:r>
            <w:r>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273BCA9F"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Retail profit is stated before central costs, transformation </w:t>
            </w:r>
            <w:r>
              <w:rPr>
                <w:rFonts w:ascii="Arial" w:eastAsia="Times New Roman" w:hAnsi="Arial" w:cs="Arial"/>
                <w:color w:val="000000"/>
              </w:rPr>
              <w:t xml:space="preserve">P&amp;L </w:t>
            </w:r>
            <w:r w:rsidRPr="00EE21CA">
              <w:rPr>
                <w:rFonts w:ascii="Arial" w:eastAsia="Times New Roman" w:hAnsi="Arial" w:cs="Arial"/>
                <w:color w:val="000000"/>
              </w:rPr>
              <w:t xml:space="preserve">costs, exceptional items and the Group's share of interest and tax of JVs and associates. This is the Group's operating profit measure used to report the underlying performance of our retail businesses including the sustainable benefits of our transformation plan. </w:t>
            </w:r>
          </w:p>
        </w:tc>
      </w:tr>
      <w:tr w:rsidR="00A97E1F" w:rsidRPr="009F52AF" w14:paraId="0205E54C"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0D69E476"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Transformation costs</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326E45DB"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4B7AA4DF"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B13CF56"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Transformation costs represent the additional costs of the ONE Kingfisher transformation programme launched in 2016/17. They comprise 'transformation exceptional costs', 'transformation P&amp;L costs' (i.e. non-exceptional items) and 'transformation capex' (capital expenditure).</w:t>
            </w:r>
          </w:p>
        </w:tc>
      </w:tr>
      <w:tr w:rsidR="00A97E1F" w:rsidRPr="009F52AF" w14:paraId="215BFE5B"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373A39ED"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Transformation P&amp;L costs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4FCCFE1C"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No direct equivalent</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063D4DD2"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Not applicable </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78DF1600"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Transformation P&amp;L costs represent the additional costs that arise only as a result of the transformation plan launched in 2016/17. These costs principally relate to the unified and unique offer range implementation and the digital strategic initiative. </w:t>
            </w:r>
          </w:p>
        </w:tc>
      </w:tr>
      <w:tr w:rsidR="00A97E1F" w:rsidRPr="009F52AF" w14:paraId="60FCB832"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6139A261"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Underlying pre-tax profit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7B173B5A"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Profit before taxation </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454CDCE9"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A reconciliation to statutory pre-tax profit is set out in the Financial Review (Section 4) and </w:t>
            </w:r>
            <w:r>
              <w:rPr>
                <w:rFonts w:ascii="Arial" w:eastAsia="Times New Roman" w:hAnsi="Arial" w:cs="Arial"/>
                <w:color w:val="000000"/>
              </w:rPr>
              <w:t xml:space="preserve">the </w:t>
            </w:r>
            <w:r w:rsidRPr="00EE21CA">
              <w:rPr>
                <w:rFonts w:ascii="Arial" w:eastAsia="Times New Roman" w:hAnsi="Arial" w:cs="Arial"/>
                <w:color w:val="000000"/>
              </w:rPr>
              <w:t>consolidated income statement</w:t>
            </w:r>
            <w:r>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30C3C22B"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Underlying pre-tax profit is stated before transformation P&amp;L costs</w:t>
            </w:r>
            <w:r>
              <w:rPr>
                <w:rFonts w:ascii="Arial" w:eastAsia="Times New Roman" w:hAnsi="Arial" w:cs="Arial"/>
                <w:color w:val="000000"/>
              </w:rPr>
              <w:t xml:space="preserve">, </w:t>
            </w:r>
            <w:r w:rsidRPr="00EE21CA">
              <w:rPr>
                <w:rFonts w:ascii="Arial" w:eastAsia="Times New Roman" w:hAnsi="Arial" w:cs="Arial"/>
                <w:color w:val="000000"/>
              </w:rPr>
              <w:t>exceptional items</w:t>
            </w:r>
            <w:r>
              <w:rPr>
                <w:rFonts w:ascii="Arial" w:eastAsia="Times New Roman" w:hAnsi="Arial" w:cs="Arial"/>
                <w:color w:val="000000"/>
              </w:rPr>
              <w:t xml:space="preserve"> and FFVR</w:t>
            </w:r>
            <w:r w:rsidRPr="00EE21CA">
              <w:rPr>
                <w:rFonts w:ascii="Arial" w:eastAsia="Times New Roman" w:hAnsi="Arial" w:cs="Arial"/>
                <w:color w:val="000000"/>
              </w:rPr>
              <w:t>. The exclusion of transformation P&amp;L costs (in addition to exceptional items</w:t>
            </w:r>
            <w:r>
              <w:rPr>
                <w:rFonts w:ascii="Arial" w:eastAsia="Times New Roman" w:hAnsi="Arial" w:cs="Arial"/>
                <w:color w:val="000000"/>
              </w:rPr>
              <w:t xml:space="preserve"> and FFVR</w:t>
            </w:r>
            <w:r w:rsidRPr="00EE21CA">
              <w:rPr>
                <w:rFonts w:ascii="Arial" w:eastAsia="Times New Roman" w:hAnsi="Arial" w:cs="Arial"/>
                <w:color w:val="000000"/>
              </w:rPr>
              <w:t xml:space="preserve">) helps provide an indication of the Group's underlying business performance, which includes the sustainable benefits of the transformation plan. </w:t>
            </w:r>
          </w:p>
        </w:tc>
      </w:tr>
      <w:tr w:rsidR="00A97E1F" w:rsidRPr="009F52AF" w14:paraId="65E408AD" w14:textId="77777777" w:rsidTr="00510D28">
        <w:trPr>
          <w:trHeight w:val="1350"/>
        </w:trPr>
        <w:tc>
          <w:tcPr>
            <w:tcW w:w="1696" w:type="dxa"/>
            <w:tcBorders>
              <w:top w:val="single" w:sz="8" w:space="0" w:color="auto"/>
              <w:left w:val="single" w:sz="8" w:space="0" w:color="auto"/>
              <w:bottom w:val="single" w:sz="8" w:space="0" w:color="auto"/>
              <w:right w:val="single" w:sz="8" w:space="0" w:color="auto"/>
            </w:tcBorders>
            <w:shd w:val="clear" w:color="auto" w:fill="auto"/>
            <w:hideMark/>
          </w:tcPr>
          <w:p w14:paraId="5A33486E"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 xml:space="preserve">Underlying basic earnings per share </w:t>
            </w:r>
          </w:p>
        </w:tc>
        <w:tc>
          <w:tcPr>
            <w:tcW w:w="1619" w:type="dxa"/>
            <w:tcBorders>
              <w:top w:val="single" w:sz="8" w:space="0" w:color="auto"/>
              <w:left w:val="single" w:sz="6" w:space="0" w:color="auto"/>
              <w:bottom w:val="single" w:sz="8" w:space="0" w:color="auto"/>
              <w:right w:val="single" w:sz="8" w:space="0" w:color="auto"/>
            </w:tcBorders>
            <w:shd w:val="clear" w:color="auto" w:fill="auto"/>
            <w:hideMark/>
          </w:tcPr>
          <w:p w14:paraId="7C6E7DDF"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Basic earnings per share</w:t>
            </w:r>
          </w:p>
        </w:tc>
        <w:tc>
          <w:tcPr>
            <w:tcW w:w="2086" w:type="dxa"/>
            <w:tcBorders>
              <w:top w:val="single" w:sz="8" w:space="0" w:color="auto"/>
              <w:left w:val="single" w:sz="6" w:space="0" w:color="auto"/>
              <w:bottom w:val="single" w:sz="8" w:space="0" w:color="auto"/>
              <w:right w:val="single" w:sz="8" w:space="0" w:color="auto"/>
            </w:tcBorders>
            <w:shd w:val="clear" w:color="auto" w:fill="auto"/>
            <w:hideMark/>
          </w:tcPr>
          <w:p w14:paraId="35DFD304" w14:textId="31F85659"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A reconciliation of underlying earnings per share is included in the Financial Review (</w:t>
            </w:r>
            <w:r>
              <w:rPr>
                <w:rFonts w:ascii="Arial" w:eastAsia="Times New Roman" w:hAnsi="Arial" w:cs="Arial"/>
                <w:color w:val="000000"/>
              </w:rPr>
              <w:t>S</w:t>
            </w:r>
            <w:r w:rsidRPr="00EE21CA">
              <w:rPr>
                <w:rFonts w:ascii="Arial" w:eastAsia="Times New Roman" w:hAnsi="Arial" w:cs="Arial"/>
                <w:color w:val="000000"/>
              </w:rPr>
              <w:t xml:space="preserve">ection 4) and note </w:t>
            </w:r>
            <w:r w:rsidR="009A772B">
              <w:rPr>
                <w:rFonts w:ascii="Arial" w:eastAsia="Times New Roman" w:hAnsi="Arial" w:cs="Arial"/>
                <w:color w:val="000000"/>
              </w:rPr>
              <w:t>7</w:t>
            </w:r>
            <w:r w:rsidRPr="00EE21CA">
              <w:rPr>
                <w:rFonts w:ascii="Arial" w:eastAsia="Times New Roman" w:hAnsi="Arial" w:cs="Arial"/>
                <w:color w:val="000000"/>
              </w:rPr>
              <w:t xml:space="preserve"> of the condensed financial statements</w:t>
            </w:r>
          </w:p>
        </w:tc>
        <w:tc>
          <w:tcPr>
            <w:tcW w:w="4228" w:type="dxa"/>
            <w:tcBorders>
              <w:top w:val="single" w:sz="8" w:space="0" w:color="auto"/>
              <w:left w:val="single" w:sz="6" w:space="0" w:color="auto"/>
              <w:bottom w:val="single" w:sz="8" w:space="0" w:color="auto"/>
              <w:right w:val="single" w:sz="8" w:space="0" w:color="auto"/>
            </w:tcBorders>
            <w:shd w:val="clear" w:color="auto" w:fill="auto"/>
            <w:hideMark/>
          </w:tcPr>
          <w:p w14:paraId="66AF15CB" w14:textId="77777777" w:rsidR="00A97E1F" w:rsidRPr="00EE21CA" w:rsidRDefault="00A97E1F" w:rsidP="00510D28">
            <w:pPr>
              <w:jc w:val="left"/>
              <w:rPr>
                <w:rFonts w:ascii="Arial" w:eastAsia="Times New Roman" w:hAnsi="Arial" w:cs="Arial"/>
                <w:color w:val="000000"/>
              </w:rPr>
            </w:pPr>
            <w:r w:rsidRPr="00EE21CA">
              <w:rPr>
                <w:rFonts w:ascii="Arial" w:eastAsia="Times New Roman" w:hAnsi="Arial" w:cs="Arial"/>
                <w:color w:val="000000"/>
              </w:rPr>
              <w:t>Underlying basic earnings per share represents profit after tax attributable to the owners of the parent, before the impact of transformation P&amp;L costs</w:t>
            </w:r>
            <w:r>
              <w:rPr>
                <w:rFonts w:ascii="Arial" w:eastAsia="Times New Roman" w:hAnsi="Arial" w:cs="Arial"/>
                <w:color w:val="000000"/>
              </w:rPr>
              <w:t>,</w:t>
            </w:r>
            <w:r w:rsidRPr="00EE21CA">
              <w:rPr>
                <w:rFonts w:ascii="Arial" w:eastAsia="Times New Roman" w:hAnsi="Arial" w:cs="Arial"/>
                <w:color w:val="000000"/>
              </w:rPr>
              <w:t xml:space="preserve"> exceptional items,</w:t>
            </w:r>
            <w:r>
              <w:rPr>
                <w:rFonts w:ascii="Arial" w:eastAsia="Times New Roman" w:hAnsi="Arial" w:cs="Arial"/>
                <w:color w:val="000000"/>
              </w:rPr>
              <w:t xml:space="preserve"> FFVR,</w:t>
            </w:r>
            <w:r w:rsidRPr="00EE21CA">
              <w:rPr>
                <w:rFonts w:ascii="Arial" w:eastAsia="Times New Roman" w:hAnsi="Arial" w:cs="Arial"/>
                <w:color w:val="000000"/>
              </w:rPr>
              <w:t xml:space="preserve"> related tax items and tax on prior year items, divided by the weighted average number of shares in issue during the </w:t>
            </w:r>
            <w:r>
              <w:rPr>
                <w:rFonts w:ascii="Arial" w:eastAsia="Times New Roman" w:hAnsi="Arial" w:cs="Arial"/>
                <w:color w:val="000000"/>
              </w:rPr>
              <w:t>period</w:t>
            </w:r>
            <w:r w:rsidRPr="00EE21CA">
              <w:rPr>
                <w:rFonts w:ascii="Arial" w:eastAsia="Times New Roman" w:hAnsi="Arial" w:cs="Arial"/>
                <w:color w:val="000000"/>
              </w:rPr>
              <w:t>.</w:t>
            </w:r>
          </w:p>
        </w:tc>
      </w:tr>
    </w:tbl>
    <w:p w14:paraId="6708A4A5" w14:textId="77777777" w:rsidR="00A97E1F" w:rsidRDefault="00A97E1F" w:rsidP="00355EF2">
      <w:pPr>
        <w:jc w:val="left"/>
        <w:rPr>
          <w:rFonts w:ascii="Arial" w:hAnsi="Arial" w:cs="Arial"/>
          <w:b/>
          <w:szCs w:val="24"/>
        </w:rPr>
      </w:pPr>
    </w:p>
    <w:p w14:paraId="2ED35194" w14:textId="77777777" w:rsidR="00A97E1F" w:rsidRDefault="00A97E1F" w:rsidP="00355EF2">
      <w:pPr>
        <w:jc w:val="left"/>
        <w:rPr>
          <w:rFonts w:ascii="Arial" w:hAnsi="Arial" w:cs="Arial"/>
          <w:b/>
          <w:szCs w:val="24"/>
        </w:rPr>
      </w:pPr>
    </w:p>
    <w:p w14:paraId="06DE856D" w14:textId="77777777" w:rsidR="00191935" w:rsidRDefault="00191935" w:rsidP="000265B9">
      <w:pPr>
        <w:jc w:val="left"/>
        <w:rPr>
          <w:rFonts w:ascii="Arial" w:hAnsi="Arial" w:cs="Arial"/>
          <w:b/>
          <w:iCs/>
        </w:rPr>
      </w:pPr>
      <w:bookmarkStart w:id="53" w:name="_Hlk509246231"/>
    </w:p>
    <w:p w14:paraId="1238D719" w14:textId="0769F4BC" w:rsidR="000265B9" w:rsidRPr="00A845B7" w:rsidRDefault="000265B9" w:rsidP="000265B9">
      <w:pPr>
        <w:jc w:val="left"/>
        <w:rPr>
          <w:rFonts w:ascii="Arial" w:hAnsi="Arial" w:cs="Arial"/>
          <w:iCs/>
        </w:rPr>
      </w:pPr>
      <w:r w:rsidRPr="00A845B7">
        <w:rPr>
          <w:rFonts w:ascii="Arial" w:hAnsi="Arial" w:cs="Arial"/>
          <w:b/>
          <w:iCs/>
        </w:rPr>
        <w:lastRenderedPageBreak/>
        <w:t xml:space="preserve">Banque de France </w:t>
      </w:r>
      <w:r w:rsidRPr="00A845B7">
        <w:rPr>
          <w:rFonts w:ascii="Arial" w:hAnsi="Arial" w:cs="Arial"/>
          <w:iCs/>
        </w:rPr>
        <w:t xml:space="preserve">data includes relocated and extended stores. </w:t>
      </w:r>
    </w:p>
    <w:p w14:paraId="29A0A430" w14:textId="77777777" w:rsidR="000265B9" w:rsidRPr="00A845B7" w:rsidRDefault="00831F92" w:rsidP="000265B9">
      <w:pPr>
        <w:jc w:val="left"/>
        <w:rPr>
          <w:rFonts w:ascii="Arial" w:hAnsi="Arial" w:cs="Arial"/>
          <w:iCs/>
        </w:rPr>
      </w:pPr>
      <w:hyperlink r:id="rId14" w:history="1">
        <w:r w:rsidR="000265B9" w:rsidRPr="00A845B7">
          <w:rPr>
            <w:rStyle w:val="Hyperlink"/>
            <w:rFonts w:ascii="Arial" w:hAnsi="Arial" w:cs="Arial"/>
            <w:iCs/>
          </w:rPr>
          <w:t>http://webstat.banque-france.fr/en/browse.do?node=5384326</w:t>
        </w:r>
      </w:hyperlink>
    </w:p>
    <w:p w14:paraId="12C79191" w14:textId="77777777" w:rsidR="000265B9" w:rsidRPr="00A845B7" w:rsidRDefault="000265B9" w:rsidP="000265B9">
      <w:pPr>
        <w:rPr>
          <w:rFonts w:ascii="Arial" w:hAnsi="Arial" w:cs="Arial"/>
          <w:b/>
          <w:iCs/>
        </w:rPr>
      </w:pPr>
    </w:p>
    <w:p w14:paraId="687A7AE1" w14:textId="16C6EE78" w:rsidR="007135F2" w:rsidRPr="007135F2" w:rsidRDefault="007135F2" w:rsidP="001A5F2E">
      <w:pPr>
        <w:jc w:val="left"/>
        <w:rPr>
          <w:rFonts w:ascii="Arial" w:hAnsi="Arial" w:cs="Arial"/>
          <w:iCs/>
        </w:rPr>
      </w:pPr>
      <w:r>
        <w:rPr>
          <w:rFonts w:ascii="Arial" w:hAnsi="Arial" w:cs="Arial"/>
          <w:b/>
          <w:iCs/>
        </w:rPr>
        <w:t xml:space="preserve">CPR </w:t>
      </w:r>
      <w:r>
        <w:rPr>
          <w:rFonts w:ascii="Arial" w:hAnsi="Arial" w:cs="Arial"/>
          <w:iCs/>
        </w:rPr>
        <w:t>(cost price reduction) refers to the savings made on cost of goods sold</w:t>
      </w:r>
      <w:r w:rsidR="0079676C">
        <w:rPr>
          <w:rFonts w:ascii="Arial" w:hAnsi="Arial" w:cs="Arial"/>
          <w:iCs/>
        </w:rPr>
        <w:t>.</w:t>
      </w:r>
    </w:p>
    <w:p w14:paraId="3DC8F423" w14:textId="77777777" w:rsidR="007135F2" w:rsidRDefault="007135F2" w:rsidP="001A5F2E">
      <w:pPr>
        <w:jc w:val="left"/>
        <w:rPr>
          <w:rFonts w:ascii="Arial" w:hAnsi="Arial" w:cs="Arial"/>
          <w:b/>
          <w:iCs/>
        </w:rPr>
      </w:pPr>
    </w:p>
    <w:p w14:paraId="614AB9DB" w14:textId="77777777" w:rsidR="001A5F2E" w:rsidRPr="00A845B7" w:rsidRDefault="001A5F2E" w:rsidP="001A5F2E">
      <w:pPr>
        <w:jc w:val="left"/>
        <w:rPr>
          <w:rFonts w:ascii="Arial" w:hAnsi="Arial" w:cs="Arial"/>
          <w:iCs/>
        </w:rPr>
      </w:pPr>
      <w:r w:rsidRPr="00A845B7">
        <w:rPr>
          <w:rFonts w:ascii="Arial" w:hAnsi="Arial" w:cs="Arial"/>
          <w:b/>
          <w:iCs/>
        </w:rPr>
        <w:t xml:space="preserve">Digital sales </w:t>
      </w:r>
      <w:r w:rsidRPr="00A845B7">
        <w:rPr>
          <w:rFonts w:ascii="Arial" w:hAnsi="Arial" w:cs="Arial"/>
          <w:iCs/>
        </w:rPr>
        <w:t>are</w:t>
      </w:r>
      <w:r w:rsidRPr="00A845B7">
        <w:rPr>
          <w:rFonts w:ascii="Arial" w:hAnsi="Arial" w:cs="Arial"/>
          <w:b/>
          <w:iCs/>
        </w:rPr>
        <w:t xml:space="preserve"> </w:t>
      </w:r>
      <w:r w:rsidRPr="00A845B7">
        <w:rPr>
          <w:rFonts w:ascii="Arial" w:hAnsi="Arial" w:cs="Arial"/>
          <w:iCs/>
        </w:rPr>
        <w:t>sales derived from online transactions, including click &amp; collect. This includes sales transacted on any device, however not sales through a call centre.</w:t>
      </w:r>
    </w:p>
    <w:p w14:paraId="0AC8E9EB" w14:textId="77777777" w:rsidR="001A5F2E" w:rsidRDefault="001A5F2E" w:rsidP="000265B9">
      <w:pPr>
        <w:jc w:val="left"/>
        <w:rPr>
          <w:rFonts w:ascii="Arial" w:hAnsi="Arial" w:cs="Arial"/>
          <w:b/>
          <w:iCs/>
        </w:rPr>
      </w:pPr>
    </w:p>
    <w:p w14:paraId="71DF8262" w14:textId="1F1574B1" w:rsidR="00A97E1F" w:rsidRPr="00453321" w:rsidRDefault="00A97E1F" w:rsidP="00A97E1F">
      <w:pPr>
        <w:jc w:val="left"/>
        <w:rPr>
          <w:rFonts w:ascii="Arial" w:hAnsi="Arial" w:cs="Arial"/>
          <w:iCs/>
        </w:rPr>
      </w:pPr>
      <w:r>
        <w:rPr>
          <w:rFonts w:ascii="Arial" w:hAnsi="Arial" w:cs="Arial"/>
          <w:b/>
          <w:iCs/>
        </w:rPr>
        <w:t>EDLP</w:t>
      </w:r>
      <w:r>
        <w:rPr>
          <w:rFonts w:ascii="Arial" w:hAnsi="Arial" w:cs="Arial"/>
          <w:iCs/>
        </w:rPr>
        <w:t xml:space="preserve"> refers to everyday low price.</w:t>
      </w:r>
    </w:p>
    <w:p w14:paraId="2780C6EC" w14:textId="77777777" w:rsidR="00A97E1F" w:rsidRDefault="00A97E1F" w:rsidP="000265B9">
      <w:pPr>
        <w:jc w:val="left"/>
        <w:rPr>
          <w:rFonts w:ascii="Arial" w:hAnsi="Arial" w:cs="Arial"/>
          <w:b/>
          <w:iCs/>
        </w:rPr>
      </w:pPr>
    </w:p>
    <w:p w14:paraId="7F70D901" w14:textId="77777777" w:rsidR="000265B9" w:rsidRPr="00A845B7" w:rsidRDefault="000265B9" w:rsidP="000265B9">
      <w:pPr>
        <w:jc w:val="left"/>
        <w:rPr>
          <w:rFonts w:ascii="Arial" w:hAnsi="Arial" w:cs="Arial"/>
          <w:iCs/>
        </w:rPr>
      </w:pPr>
      <w:r w:rsidRPr="00A845B7">
        <w:rPr>
          <w:rFonts w:ascii="Arial" w:hAnsi="Arial" w:cs="Arial"/>
          <w:b/>
          <w:iCs/>
        </w:rPr>
        <w:t>France</w:t>
      </w:r>
      <w:r w:rsidRPr="00A845B7">
        <w:rPr>
          <w:rFonts w:ascii="Arial" w:hAnsi="Arial" w:cs="Arial"/>
          <w:iCs/>
        </w:rPr>
        <w:t xml:space="preserve"> consists of Castorama France and Brico Dépôt France.</w:t>
      </w:r>
    </w:p>
    <w:p w14:paraId="0F170E32" w14:textId="77777777" w:rsidR="000265B9" w:rsidRPr="00A845B7" w:rsidRDefault="000265B9" w:rsidP="000265B9">
      <w:pPr>
        <w:jc w:val="left"/>
        <w:rPr>
          <w:rFonts w:ascii="Arial" w:hAnsi="Arial" w:cs="Arial"/>
          <w:iCs/>
        </w:rPr>
      </w:pPr>
    </w:p>
    <w:p w14:paraId="02885F2C" w14:textId="77777777" w:rsidR="000265B9" w:rsidRPr="00A845B7" w:rsidRDefault="000265B9" w:rsidP="000265B9">
      <w:pPr>
        <w:jc w:val="left"/>
        <w:rPr>
          <w:rFonts w:ascii="Arial" w:hAnsi="Arial" w:cs="Arial"/>
          <w:b/>
          <w:iCs/>
        </w:rPr>
      </w:pPr>
      <w:r w:rsidRPr="00A845B7">
        <w:rPr>
          <w:rFonts w:ascii="Arial" w:hAnsi="Arial" w:cs="Arial"/>
          <w:b/>
          <w:iCs/>
        </w:rPr>
        <w:t xml:space="preserve">GNFR </w:t>
      </w:r>
      <w:r w:rsidR="00EE0CD7" w:rsidRPr="00A845B7">
        <w:rPr>
          <w:rFonts w:ascii="Arial" w:hAnsi="Arial" w:cs="Arial"/>
          <w:iCs/>
        </w:rPr>
        <w:t>(</w:t>
      </w:r>
      <w:r w:rsidRPr="00A845B7">
        <w:rPr>
          <w:rFonts w:ascii="Arial" w:hAnsi="Arial" w:cs="Arial"/>
          <w:iCs/>
        </w:rPr>
        <w:t xml:space="preserve">Goods Not </w:t>
      </w:r>
      <w:proofErr w:type="gramStart"/>
      <w:r w:rsidRPr="00A845B7">
        <w:rPr>
          <w:rFonts w:ascii="Arial" w:hAnsi="Arial" w:cs="Arial"/>
          <w:iCs/>
        </w:rPr>
        <w:t>For</w:t>
      </w:r>
      <w:proofErr w:type="gramEnd"/>
      <w:r w:rsidRPr="00A845B7">
        <w:rPr>
          <w:rFonts w:ascii="Arial" w:hAnsi="Arial" w:cs="Arial"/>
          <w:iCs/>
        </w:rPr>
        <w:t xml:space="preserve"> Resale</w:t>
      </w:r>
      <w:r w:rsidR="00EE0CD7" w:rsidRPr="00A845B7">
        <w:rPr>
          <w:rFonts w:ascii="Arial" w:hAnsi="Arial" w:cs="Arial"/>
          <w:iCs/>
        </w:rPr>
        <w:t>)</w:t>
      </w:r>
      <w:r w:rsidRPr="00A845B7">
        <w:rPr>
          <w:rFonts w:ascii="Arial" w:hAnsi="Arial" w:cs="Arial"/>
          <w:iCs/>
        </w:rPr>
        <w:t xml:space="preserve"> covers the procurement of all goods and services a retailer </w:t>
      </w:r>
      <w:r w:rsidR="0016009C" w:rsidRPr="00A845B7">
        <w:rPr>
          <w:rFonts w:ascii="Arial" w:hAnsi="Arial" w:cs="Arial"/>
          <w:iCs/>
        </w:rPr>
        <w:t xml:space="preserve">consumes </w:t>
      </w:r>
      <w:r w:rsidRPr="00A845B7">
        <w:rPr>
          <w:rFonts w:ascii="Arial" w:hAnsi="Arial" w:cs="Arial"/>
          <w:iCs/>
        </w:rPr>
        <w:t>(including media buying, mechanical handling equipment, printing &amp; paper).</w:t>
      </w:r>
    </w:p>
    <w:p w14:paraId="44B7C7A4" w14:textId="31B6E98D" w:rsidR="000265B9" w:rsidRDefault="000265B9" w:rsidP="000265B9">
      <w:pPr>
        <w:jc w:val="left"/>
        <w:rPr>
          <w:rFonts w:ascii="Arial" w:hAnsi="Arial" w:cs="Arial"/>
          <w:b/>
          <w:iCs/>
        </w:rPr>
      </w:pPr>
    </w:p>
    <w:p w14:paraId="672C66F2" w14:textId="77777777" w:rsidR="00A97E1F" w:rsidRPr="00D32338" w:rsidRDefault="00A97E1F" w:rsidP="00A97E1F">
      <w:pPr>
        <w:tabs>
          <w:tab w:val="left" w:pos="357"/>
        </w:tabs>
        <w:ind w:right="-282"/>
        <w:jc w:val="left"/>
        <w:rPr>
          <w:rFonts w:ascii="Arial" w:hAnsi="Arial" w:cs="Arial"/>
        </w:rPr>
      </w:pPr>
      <w:bookmarkStart w:id="54" w:name="_Hlk524460820"/>
      <w:r w:rsidRPr="00D32338">
        <w:rPr>
          <w:rFonts w:ascii="Arial" w:hAnsi="Arial" w:cs="Arial"/>
          <w:b/>
        </w:rPr>
        <w:t>Iberia</w:t>
      </w:r>
      <w:r w:rsidRPr="00D32338">
        <w:rPr>
          <w:rFonts w:ascii="Arial" w:hAnsi="Arial" w:cs="Arial"/>
        </w:rPr>
        <w:t xml:space="preserve"> consists of Brico </w:t>
      </w:r>
      <w:r w:rsidRPr="00A845B7">
        <w:rPr>
          <w:rFonts w:ascii="Arial" w:hAnsi="Arial" w:cs="Arial"/>
        </w:rPr>
        <w:t>Dépôt</w:t>
      </w:r>
      <w:r w:rsidRPr="00D32338">
        <w:rPr>
          <w:rFonts w:ascii="Arial" w:hAnsi="Arial" w:cs="Arial"/>
        </w:rPr>
        <w:t xml:space="preserve"> Spain and Brico </w:t>
      </w:r>
      <w:r w:rsidRPr="00A845B7">
        <w:rPr>
          <w:rFonts w:ascii="Arial" w:hAnsi="Arial" w:cs="Arial"/>
        </w:rPr>
        <w:t>Dépôt</w:t>
      </w:r>
      <w:r w:rsidRPr="00D32338">
        <w:rPr>
          <w:rFonts w:ascii="Arial" w:hAnsi="Arial" w:cs="Arial"/>
        </w:rPr>
        <w:t xml:space="preserve"> Portugal</w:t>
      </w:r>
      <w:r>
        <w:rPr>
          <w:rFonts w:ascii="Arial" w:hAnsi="Arial" w:cs="Arial"/>
        </w:rPr>
        <w:t>.</w:t>
      </w:r>
    </w:p>
    <w:bookmarkEnd w:id="54"/>
    <w:p w14:paraId="512A8490" w14:textId="77777777" w:rsidR="00A97E1F" w:rsidRPr="00A845B7" w:rsidRDefault="00A97E1F" w:rsidP="000265B9">
      <w:pPr>
        <w:jc w:val="left"/>
        <w:rPr>
          <w:rFonts w:ascii="Arial" w:hAnsi="Arial" w:cs="Arial"/>
          <w:b/>
          <w:iCs/>
        </w:rPr>
      </w:pPr>
    </w:p>
    <w:p w14:paraId="67E497BC" w14:textId="77777777" w:rsidR="00A97E1F" w:rsidRPr="00A845B7" w:rsidRDefault="00A97E1F" w:rsidP="00A97E1F">
      <w:pPr>
        <w:jc w:val="left"/>
        <w:rPr>
          <w:rFonts w:ascii="Arial" w:hAnsi="Arial" w:cs="Arial"/>
          <w:iCs/>
        </w:rPr>
      </w:pPr>
      <w:r w:rsidRPr="00A845B7">
        <w:rPr>
          <w:rFonts w:ascii="Arial" w:hAnsi="Arial" w:cs="Arial"/>
          <w:b/>
          <w:iCs/>
        </w:rPr>
        <w:t>Other International</w:t>
      </w:r>
      <w:r w:rsidRPr="00A845B7">
        <w:rPr>
          <w:rFonts w:ascii="Arial" w:hAnsi="Arial" w:cs="Arial"/>
          <w:iCs/>
        </w:rPr>
        <w:t xml:space="preserve"> consists of Poland,</w:t>
      </w:r>
      <w:r>
        <w:rPr>
          <w:rFonts w:ascii="Arial" w:hAnsi="Arial" w:cs="Arial"/>
          <w:iCs/>
        </w:rPr>
        <w:t xml:space="preserve"> Iberia,</w:t>
      </w:r>
      <w:r w:rsidRPr="00A845B7">
        <w:rPr>
          <w:rFonts w:ascii="Arial" w:hAnsi="Arial" w:cs="Arial"/>
          <w:iCs/>
        </w:rPr>
        <w:t xml:space="preserve"> Romania, Russia, Screwfix </w:t>
      </w:r>
      <w:r>
        <w:rPr>
          <w:rFonts w:ascii="Arial" w:hAnsi="Arial" w:cs="Arial"/>
          <w:iCs/>
        </w:rPr>
        <w:t>Germany</w:t>
      </w:r>
      <w:r w:rsidRPr="00A845B7">
        <w:rPr>
          <w:rFonts w:ascii="Arial" w:hAnsi="Arial" w:cs="Arial"/>
          <w:iCs/>
        </w:rPr>
        <w:t xml:space="preserve"> and Turkey (Koçtaş JV).</w:t>
      </w:r>
    </w:p>
    <w:p w14:paraId="0B727330" w14:textId="77777777" w:rsidR="00474B6E" w:rsidRPr="00A845B7" w:rsidRDefault="00474B6E" w:rsidP="000265B9">
      <w:pPr>
        <w:jc w:val="left"/>
        <w:rPr>
          <w:rFonts w:ascii="Arial" w:hAnsi="Arial" w:cs="Arial"/>
          <w:iCs/>
        </w:rPr>
      </w:pPr>
    </w:p>
    <w:p w14:paraId="1C332D3F" w14:textId="3BCA10FD" w:rsidR="000265B9" w:rsidRPr="00A845B7" w:rsidRDefault="00B5184B" w:rsidP="000265B9">
      <w:pPr>
        <w:tabs>
          <w:tab w:val="left" w:pos="357"/>
        </w:tabs>
        <w:ind w:right="-282"/>
        <w:jc w:val="left"/>
        <w:rPr>
          <w:rFonts w:ascii="Arial" w:hAnsi="Arial" w:cs="Arial"/>
          <w:iCs/>
        </w:rPr>
      </w:pPr>
      <w:r>
        <w:rPr>
          <w:rFonts w:ascii="Arial" w:hAnsi="Arial" w:cs="Arial"/>
          <w:b/>
        </w:rPr>
        <w:t>S</w:t>
      </w:r>
      <w:r w:rsidR="000265B9" w:rsidRPr="00A845B7">
        <w:rPr>
          <w:rFonts w:ascii="Arial" w:hAnsi="Arial" w:cs="Arial"/>
          <w:b/>
        </w:rPr>
        <w:t>ales</w:t>
      </w:r>
      <w:r w:rsidR="000265B9" w:rsidRPr="00A845B7">
        <w:rPr>
          <w:rFonts w:ascii="Arial" w:hAnsi="Arial" w:cs="Arial"/>
          <w:iCs/>
        </w:rPr>
        <w:t xml:space="preserve"> </w:t>
      </w:r>
      <w:r w:rsidR="006568D3">
        <w:rPr>
          <w:rFonts w:ascii="Arial" w:hAnsi="Arial" w:cs="Arial"/>
          <w:iCs/>
        </w:rPr>
        <w:t>refer to</w:t>
      </w:r>
      <w:r w:rsidR="000265B9" w:rsidRPr="00A845B7">
        <w:rPr>
          <w:rFonts w:ascii="Arial" w:hAnsi="Arial" w:cs="Arial"/>
          <w:iCs/>
        </w:rPr>
        <w:t xml:space="preserve"> Group sales exclud</w:t>
      </w:r>
      <w:r w:rsidR="00F14597">
        <w:rPr>
          <w:rFonts w:ascii="Arial" w:hAnsi="Arial" w:cs="Arial"/>
          <w:iCs/>
        </w:rPr>
        <w:t>ing</w:t>
      </w:r>
      <w:r w:rsidR="000265B9" w:rsidRPr="00A845B7">
        <w:rPr>
          <w:rFonts w:ascii="Arial" w:hAnsi="Arial" w:cs="Arial"/>
          <w:iCs/>
        </w:rPr>
        <w:t xml:space="preserve"> Joint Venture (Koçtaş JV) sales.</w:t>
      </w:r>
    </w:p>
    <w:p w14:paraId="725B798A" w14:textId="77777777" w:rsidR="000265B9" w:rsidRPr="00A845B7" w:rsidRDefault="000265B9" w:rsidP="000265B9">
      <w:pPr>
        <w:tabs>
          <w:tab w:val="left" w:pos="357"/>
        </w:tabs>
        <w:ind w:right="-282"/>
        <w:jc w:val="left"/>
        <w:rPr>
          <w:rFonts w:ascii="Arial" w:hAnsi="Arial" w:cs="Arial"/>
          <w:iCs/>
        </w:rPr>
      </w:pPr>
    </w:p>
    <w:p w14:paraId="3A52910E" w14:textId="77777777" w:rsidR="000265B9" w:rsidRPr="00A845B7" w:rsidRDefault="000265B9" w:rsidP="000265B9">
      <w:pPr>
        <w:tabs>
          <w:tab w:val="left" w:pos="357"/>
        </w:tabs>
        <w:ind w:right="-282"/>
        <w:jc w:val="left"/>
        <w:rPr>
          <w:rFonts w:ascii="Arial" w:hAnsi="Arial" w:cs="Arial"/>
          <w:iCs/>
        </w:rPr>
      </w:pPr>
      <w:r w:rsidRPr="00A845B7">
        <w:rPr>
          <w:rFonts w:ascii="Arial" w:hAnsi="Arial" w:cs="Arial"/>
          <w:b/>
          <w:iCs/>
        </w:rPr>
        <w:t xml:space="preserve">SKU </w:t>
      </w:r>
      <w:r w:rsidRPr="00A845B7">
        <w:rPr>
          <w:rFonts w:ascii="Arial" w:hAnsi="Arial" w:cs="Arial"/>
          <w:iCs/>
        </w:rPr>
        <w:t>(Stock Keeping Unit)</w:t>
      </w:r>
      <w:r w:rsidRPr="00A845B7">
        <w:rPr>
          <w:rFonts w:ascii="Arial" w:hAnsi="Arial" w:cs="Arial"/>
          <w:b/>
          <w:iCs/>
        </w:rPr>
        <w:t xml:space="preserve"> </w:t>
      </w:r>
      <w:r w:rsidR="006568D3">
        <w:rPr>
          <w:rFonts w:ascii="Arial" w:hAnsi="Arial" w:cs="Arial"/>
          <w:iCs/>
        </w:rPr>
        <w:t>is defined as</w:t>
      </w:r>
      <w:r w:rsidRPr="00A845B7">
        <w:rPr>
          <w:rFonts w:ascii="Arial" w:hAnsi="Arial" w:cs="Arial"/>
          <w:iCs/>
        </w:rPr>
        <w:t xml:space="preserve">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14:paraId="0C938B8C" w14:textId="77777777" w:rsidR="000265B9" w:rsidRPr="00A845B7" w:rsidRDefault="000265B9" w:rsidP="000265B9">
      <w:pPr>
        <w:rPr>
          <w:rFonts w:ascii="Arial" w:hAnsi="Arial" w:cs="Arial"/>
          <w:b/>
          <w:iCs/>
        </w:rPr>
      </w:pPr>
    </w:p>
    <w:p w14:paraId="5EE7F8DD" w14:textId="76528C3E" w:rsidR="000265B9" w:rsidRPr="00A845B7" w:rsidRDefault="000265B9" w:rsidP="000265B9">
      <w:pPr>
        <w:jc w:val="left"/>
        <w:rPr>
          <w:rFonts w:ascii="Arial" w:hAnsi="Arial" w:cs="Arial"/>
          <w:b/>
          <w:bCs/>
        </w:rPr>
      </w:pPr>
      <w:r w:rsidRPr="00A845B7">
        <w:rPr>
          <w:rFonts w:ascii="Arial" w:hAnsi="Arial" w:cs="Arial"/>
          <w:b/>
          <w:iCs/>
        </w:rPr>
        <w:t>UK &amp; Ireland</w:t>
      </w:r>
      <w:r w:rsidRPr="00A845B7">
        <w:rPr>
          <w:rFonts w:ascii="Arial" w:hAnsi="Arial" w:cs="Arial"/>
          <w:iCs/>
        </w:rPr>
        <w:t xml:space="preserve"> consists of B&amp;Q in the UK &amp; Ireland and Screwfix</w:t>
      </w:r>
      <w:r w:rsidR="00EE0CD7" w:rsidRPr="00A845B7">
        <w:rPr>
          <w:rFonts w:ascii="Arial" w:hAnsi="Arial" w:cs="Arial"/>
          <w:iCs/>
        </w:rPr>
        <w:t xml:space="preserve"> UK</w:t>
      </w:r>
      <w:r w:rsidRPr="00A845B7">
        <w:rPr>
          <w:rFonts w:ascii="Arial" w:hAnsi="Arial" w:cs="Arial"/>
          <w:iCs/>
        </w:rPr>
        <w:t>.</w:t>
      </w:r>
    </w:p>
    <w:bookmarkEnd w:id="53"/>
    <w:p w14:paraId="04430C88" w14:textId="77777777" w:rsidR="008E3FF2" w:rsidRPr="00925EFB" w:rsidRDefault="008E3FF2">
      <w:pPr>
        <w:jc w:val="left"/>
        <w:rPr>
          <w:rFonts w:ascii="Arial" w:hAnsi="Arial" w:cs="Arial"/>
          <w:b/>
          <w:bCs/>
          <w:sz w:val="24"/>
          <w:szCs w:val="24"/>
          <w:highlight w:val="yellow"/>
        </w:rPr>
      </w:pPr>
      <w:r w:rsidRPr="00925EFB">
        <w:rPr>
          <w:rFonts w:ascii="Arial" w:hAnsi="Arial" w:cs="Arial"/>
          <w:b/>
          <w:bCs/>
          <w:sz w:val="24"/>
          <w:szCs w:val="24"/>
          <w:highlight w:val="yellow"/>
        </w:rPr>
        <w:br w:type="page"/>
      </w:r>
    </w:p>
    <w:p w14:paraId="1B447382" w14:textId="77777777" w:rsidR="003A298D" w:rsidRPr="00A845B7" w:rsidRDefault="003A298D" w:rsidP="00272A5E">
      <w:pPr>
        <w:rPr>
          <w:rFonts w:ascii="Arial" w:hAnsi="Arial" w:cs="Arial"/>
          <w:b/>
          <w:caps/>
        </w:rPr>
      </w:pPr>
      <w:r w:rsidRPr="00A845B7">
        <w:rPr>
          <w:rFonts w:ascii="Arial" w:hAnsi="Arial" w:cs="Arial"/>
          <w:b/>
          <w:bCs/>
        </w:rPr>
        <w:lastRenderedPageBreak/>
        <w:t xml:space="preserve">Section </w:t>
      </w:r>
      <w:r w:rsidR="00DD4F01" w:rsidRPr="00A845B7">
        <w:rPr>
          <w:rFonts w:ascii="Arial" w:hAnsi="Arial" w:cs="Arial"/>
          <w:b/>
          <w:bCs/>
        </w:rPr>
        <w:t>6</w:t>
      </w:r>
      <w:r w:rsidRPr="00A845B7">
        <w:rPr>
          <w:rFonts w:ascii="Arial" w:hAnsi="Arial" w:cs="Arial"/>
          <w:b/>
          <w:bCs/>
        </w:rPr>
        <w:t xml:space="preserve">: </w:t>
      </w:r>
      <w:r w:rsidRPr="00A845B7">
        <w:rPr>
          <w:rFonts w:ascii="Arial" w:hAnsi="Arial" w:cs="Arial"/>
          <w:b/>
        </w:rPr>
        <w:t>Forward-looking statements</w:t>
      </w:r>
    </w:p>
    <w:p w14:paraId="2C0FFB40" w14:textId="77777777" w:rsidR="003A298D" w:rsidRPr="00C85DB3" w:rsidRDefault="003A298D" w:rsidP="003A298D">
      <w:pPr>
        <w:jc w:val="left"/>
        <w:rPr>
          <w:rFonts w:ascii="Arial" w:hAnsi="Arial" w:cs="Arial"/>
          <w:sz w:val="24"/>
          <w:szCs w:val="24"/>
        </w:rPr>
      </w:pPr>
    </w:p>
    <w:p w14:paraId="6E33EA3E" w14:textId="77777777" w:rsidR="0089005D" w:rsidRPr="00977A3C" w:rsidRDefault="0089005D" w:rsidP="0089005D">
      <w:pPr>
        <w:jc w:val="left"/>
        <w:rPr>
          <w:rFonts w:ascii="Arial" w:hAnsi="Arial" w:cs="Arial"/>
          <w:szCs w:val="24"/>
        </w:rPr>
      </w:pPr>
      <w:r w:rsidRPr="00977A3C">
        <w:rPr>
          <w:rFonts w:ascii="Arial" w:hAnsi="Arial" w:cs="Arial"/>
          <w:szCs w:val="24"/>
        </w:rPr>
        <w:t>You are not to construe the content of this announcement as investment, legal or tax advice and you should make your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w:t>
      </w:r>
    </w:p>
    <w:p w14:paraId="6C68F71C" w14:textId="77777777" w:rsidR="003A298D" w:rsidRPr="006B39C7" w:rsidRDefault="003A298D" w:rsidP="003A298D">
      <w:pPr>
        <w:jc w:val="left"/>
        <w:rPr>
          <w:rFonts w:ascii="Arial" w:hAnsi="Arial" w:cs="Arial"/>
        </w:rPr>
      </w:pPr>
    </w:p>
    <w:p w14:paraId="30B8EFA6" w14:textId="6733C83D" w:rsidR="0089005D" w:rsidRPr="00977A3C" w:rsidRDefault="003A298D" w:rsidP="0089005D">
      <w:pPr>
        <w:jc w:val="left"/>
        <w:rPr>
          <w:rFonts w:ascii="Arial" w:hAnsi="Arial" w:cs="Arial"/>
          <w:szCs w:val="24"/>
        </w:rPr>
      </w:pPr>
      <w:r w:rsidRPr="006B39C7">
        <w:rPr>
          <w:rFonts w:ascii="Arial" w:hAnsi="Arial" w:cs="Arial"/>
        </w:rPr>
        <w:t>This announcement has been prepared in relation to the financial r</w:t>
      </w:r>
      <w:r w:rsidR="008E7ABE" w:rsidRPr="006B39C7">
        <w:rPr>
          <w:rFonts w:ascii="Arial" w:hAnsi="Arial" w:cs="Arial"/>
        </w:rPr>
        <w:t xml:space="preserve">esults for the </w:t>
      </w:r>
      <w:r w:rsidR="0008206F" w:rsidRPr="006B39C7">
        <w:rPr>
          <w:rFonts w:ascii="Arial" w:hAnsi="Arial" w:cs="Arial"/>
        </w:rPr>
        <w:t xml:space="preserve">full </w:t>
      </w:r>
      <w:r w:rsidR="008E7ABE" w:rsidRPr="006B39C7">
        <w:rPr>
          <w:rFonts w:ascii="Arial" w:hAnsi="Arial" w:cs="Arial"/>
        </w:rPr>
        <w:t xml:space="preserve">year ended </w:t>
      </w:r>
      <w:r w:rsidR="008E3FF2" w:rsidRPr="006B39C7">
        <w:rPr>
          <w:rFonts w:ascii="Arial" w:hAnsi="Arial" w:cs="Arial"/>
        </w:rPr>
        <w:t>31</w:t>
      </w:r>
      <w:r w:rsidRPr="006B39C7">
        <w:rPr>
          <w:rFonts w:ascii="Arial" w:hAnsi="Arial" w:cs="Arial"/>
        </w:rPr>
        <w:t xml:space="preserve"> </w:t>
      </w:r>
      <w:r w:rsidR="0008206F" w:rsidRPr="006B39C7">
        <w:rPr>
          <w:rFonts w:ascii="Arial" w:hAnsi="Arial" w:cs="Arial"/>
        </w:rPr>
        <w:t xml:space="preserve">January </w:t>
      </w:r>
      <w:r w:rsidRPr="006B39C7">
        <w:rPr>
          <w:rFonts w:ascii="Arial" w:hAnsi="Arial" w:cs="Arial"/>
        </w:rPr>
        <w:t>201</w:t>
      </w:r>
      <w:r w:rsidR="0089005D">
        <w:rPr>
          <w:rFonts w:ascii="Arial" w:hAnsi="Arial" w:cs="Arial"/>
        </w:rPr>
        <w:t>9</w:t>
      </w:r>
      <w:r w:rsidRPr="006B39C7">
        <w:rPr>
          <w:rFonts w:ascii="Arial" w:hAnsi="Arial" w:cs="Arial"/>
        </w:rPr>
        <w:t>.</w:t>
      </w:r>
      <w:r w:rsidR="000E7097" w:rsidRPr="006B39C7">
        <w:rPr>
          <w:rFonts w:ascii="Arial" w:hAnsi="Arial" w:cs="Arial"/>
        </w:rPr>
        <w:t xml:space="preserve"> </w:t>
      </w:r>
      <w:r w:rsidR="0089005D" w:rsidRPr="00977A3C">
        <w:rPr>
          <w:rFonts w:ascii="Arial" w:hAnsi="Arial" w:cs="Arial"/>
          <w:szCs w:val="24"/>
        </w:rPr>
        <w:t xml:space="preserve">The financial information referenced in this announcement is not audited and does not contain </w:t>
      </w:r>
      <w:proofErr w:type="gramStart"/>
      <w:r w:rsidR="0089005D" w:rsidRPr="00977A3C">
        <w:rPr>
          <w:rFonts w:ascii="Arial" w:hAnsi="Arial" w:cs="Arial"/>
          <w:szCs w:val="24"/>
        </w:rPr>
        <w:t>sufficient</w:t>
      </w:r>
      <w:proofErr w:type="gramEnd"/>
      <w:r w:rsidR="0089005D" w:rsidRPr="00977A3C">
        <w:rPr>
          <w:rFonts w:ascii="Arial" w:hAnsi="Arial" w:cs="Arial"/>
          <w:szCs w:val="24"/>
        </w:rPr>
        <w:t xml:space="preserve"> detail to allow a full understanding of the results of the </w:t>
      </w:r>
      <w:r w:rsidR="0089005D">
        <w:rPr>
          <w:rFonts w:ascii="Arial" w:hAnsi="Arial" w:cs="Arial"/>
          <w:szCs w:val="24"/>
        </w:rPr>
        <w:t>G</w:t>
      </w:r>
      <w:r w:rsidR="0089005D" w:rsidRPr="00977A3C">
        <w:rPr>
          <w:rFonts w:ascii="Arial" w:hAnsi="Arial" w:cs="Arial"/>
          <w:szCs w:val="24"/>
        </w:rPr>
        <w:t xml:space="preserve">roup. Nothing in this announcement should be construed as either an offer or invitation to sell or any offering of securities or any invitation or inducement to any person to underwrite, subscribe for or otherwise acquire securities in any company within the </w:t>
      </w:r>
      <w:r w:rsidR="0089005D">
        <w:rPr>
          <w:rFonts w:ascii="Arial" w:hAnsi="Arial" w:cs="Arial"/>
          <w:szCs w:val="24"/>
        </w:rPr>
        <w:t>G</w:t>
      </w:r>
      <w:r w:rsidR="0089005D" w:rsidRPr="00977A3C">
        <w:rPr>
          <w:rFonts w:ascii="Arial" w:hAnsi="Arial" w:cs="Arial"/>
          <w:szCs w:val="24"/>
        </w:rPr>
        <w:t>roup or an invitation or inducement to engage in investment activity under section 21 of the Financial Services and Markets Act 2000 (as amended).</w:t>
      </w:r>
    </w:p>
    <w:p w14:paraId="41CE776A" w14:textId="77777777" w:rsidR="0089005D" w:rsidRPr="00977A3C" w:rsidRDefault="0089005D" w:rsidP="0089005D">
      <w:pPr>
        <w:jc w:val="left"/>
        <w:rPr>
          <w:rFonts w:ascii="Arial" w:hAnsi="Arial" w:cs="Arial"/>
          <w:szCs w:val="24"/>
        </w:rPr>
      </w:pPr>
    </w:p>
    <w:p w14:paraId="28C7FB9F" w14:textId="77777777" w:rsidR="0089005D" w:rsidRPr="00977A3C" w:rsidRDefault="0089005D" w:rsidP="0089005D">
      <w:pPr>
        <w:jc w:val="left"/>
        <w:rPr>
          <w:rFonts w:ascii="Arial" w:hAnsi="Arial" w:cs="Arial"/>
          <w:szCs w:val="24"/>
        </w:rPr>
      </w:pPr>
      <w:r w:rsidRPr="00977A3C">
        <w:rPr>
          <w:rFonts w:ascii="Arial" w:hAnsi="Arial" w:cs="Arial"/>
          <w:szCs w:val="24"/>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global or regional trade conditions, 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1B0CBBA3" w14:textId="77777777" w:rsidR="0089005D" w:rsidRPr="00977A3C" w:rsidRDefault="0089005D" w:rsidP="0089005D">
      <w:pPr>
        <w:jc w:val="left"/>
        <w:rPr>
          <w:rFonts w:ascii="Arial" w:hAnsi="Arial" w:cs="Arial"/>
          <w:szCs w:val="24"/>
        </w:rPr>
      </w:pPr>
    </w:p>
    <w:p w14:paraId="52870A85" w14:textId="77777777" w:rsidR="0089005D" w:rsidRPr="00977A3C" w:rsidRDefault="0089005D" w:rsidP="0089005D">
      <w:pPr>
        <w:jc w:val="left"/>
        <w:rPr>
          <w:rFonts w:ascii="Arial" w:hAnsi="Arial" w:cs="Arial"/>
          <w:szCs w:val="24"/>
        </w:rPr>
      </w:pPr>
      <w:r w:rsidRPr="00977A3C">
        <w:rPr>
          <w:rFonts w:ascii="Arial" w:hAnsi="Arial" w:cs="Arial"/>
          <w:szCs w:val="24"/>
        </w:rPr>
        <w:t>The Company does not undertake any obligation to update or revise any forward-looking statement to reflect any change in circumstances or in the Company's expectations.</w:t>
      </w:r>
    </w:p>
    <w:p w14:paraId="4E870521" w14:textId="77777777" w:rsidR="003A298D" w:rsidRPr="00506D26" w:rsidRDefault="003A298D" w:rsidP="0089005D">
      <w:pPr>
        <w:jc w:val="left"/>
        <w:rPr>
          <w:rFonts w:cs="Times New Roman"/>
          <w:sz w:val="24"/>
          <w:szCs w:val="24"/>
        </w:rPr>
      </w:pPr>
    </w:p>
    <w:p w14:paraId="2CDC91D0" w14:textId="77777777" w:rsidR="00181E03" w:rsidRPr="00506D26" w:rsidRDefault="00181E03" w:rsidP="003A298D">
      <w:pPr>
        <w:jc w:val="left"/>
        <w:rPr>
          <w:rFonts w:cs="Times New Roman"/>
          <w:sz w:val="24"/>
          <w:szCs w:val="24"/>
        </w:rPr>
      </w:pPr>
    </w:p>
    <w:sectPr w:rsidR="00181E03" w:rsidRPr="00506D26" w:rsidSect="00B83BCA">
      <w:headerReference w:type="even" r:id="rId15"/>
      <w:headerReference w:type="default" r:id="rId16"/>
      <w:footerReference w:type="default" r:id="rId17"/>
      <w:headerReference w:type="first" r:id="rId18"/>
      <w:type w:val="continuous"/>
      <w:pgSz w:w="11909" w:h="16834" w:code="9"/>
      <w:pgMar w:top="1077" w:right="1021" w:bottom="720" w:left="1021" w:header="11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D6E9" w14:textId="77777777" w:rsidR="00360541" w:rsidRDefault="00360541">
      <w:pPr>
        <w:rPr>
          <w:rFonts w:cs="Times New Roman"/>
        </w:rPr>
      </w:pPr>
      <w:r>
        <w:rPr>
          <w:rFonts w:cs="Times New Roman"/>
        </w:rPr>
        <w:separator/>
      </w:r>
    </w:p>
  </w:endnote>
  <w:endnote w:type="continuationSeparator" w:id="0">
    <w:p w14:paraId="182A265B" w14:textId="77777777" w:rsidR="00360541" w:rsidRDefault="00360541">
      <w:pPr>
        <w:rPr>
          <w:rFonts w:cs="Times New Roman"/>
        </w:rPr>
      </w:pPr>
      <w:r>
        <w:rPr>
          <w:rFonts w:cs="Times New Roman"/>
        </w:rPr>
        <w:continuationSeparator/>
      </w:r>
    </w:p>
  </w:endnote>
  <w:endnote w:type="continuationNotice" w:id="1">
    <w:p w14:paraId="2FABFA64" w14:textId="77777777" w:rsidR="00360541" w:rsidRDefault="00360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80000287" w:usb1="00000000" w:usb2="00000000" w:usb3="00000000" w:csb0="0000000F"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w:altName w:val="Calibri"/>
    <w:panose1 w:val="00000000000000000000"/>
    <w:charset w:val="00"/>
    <w:family w:val="swiss"/>
    <w:notTrueType/>
    <w:pitch w:val="default"/>
    <w:sig w:usb0="00000003" w:usb1="00000000" w:usb2="00000000" w:usb3="00000000" w:csb0="00000001" w:csb1="00000000"/>
  </w:font>
  <w:font w:name="Trade Gothic LT Std Light">
    <w:altName w:val="Calibri"/>
    <w:panose1 w:val="00000000000000000000"/>
    <w:charset w:val="00"/>
    <w:family w:val="modern"/>
    <w:notTrueType/>
    <w:pitch w:val="variable"/>
    <w:sig w:usb0="800000AF"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157898"/>
      <w:docPartObj>
        <w:docPartGallery w:val="Page Numbers (Bottom of Page)"/>
        <w:docPartUnique/>
      </w:docPartObj>
    </w:sdtPr>
    <w:sdtEndPr>
      <w:rPr>
        <w:noProof/>
      </w:rPr>
    </w:sdtEndPr>
    <w:sdtContent>
      <w:p w14:paraId="461A6353" w14:textId="085E57A3" w:rsidR="00360541" w:rsidRPr="00930C11" w:rsidRDefault="00360541" w:rsidP="00D72F65">
        <w:pPr>
          <w:pStyle w:val="Footer"/>
          <w:jc w:val="right"/>
          <w:rPr>
            <w:rFonts w:ascii="Arial" w:hAnsi="Arial" w:cs="Arial"/>
            <w:i/>
            <w:sz w:val="18"/>
            <w:szCs w:val="18"/>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7887" w14:textId="77777777" w:rsidR="00360541" w:rsidRDefault="00360541">
      <w:pPr>
        <w:rPr>
          <w:rFonts w:cs="Times New Roman"/>
        </w:rPr>
      </w:pPr>
      <w:r>
        <w:rPr>
          <w:rFonts w:cs="Times New Roman"/>
        </w:rPr>
        <w:separator/>
      </w:r>
    </w:p>
  </w:footnote>
  <w:footnote w:type="continuationSeparator" w:id="0">
    <w:p w14:paraId="03BD2372" w14:textId="77777777" w:rsidR="00360541" w:rsidRDefault="00360541">
      <w:pPr>
        <w:rPr>
          <w:rFonts w:cs="Times New Roman"/>
        </w:rPr>
      </w:pPr>
      <w:r>
        <w:rPr>
          <w:rFonts w:cs="Times New Roman"/>
        </w:rPr>
        <w:continuationSeparator/>
      </w:r>
    </w:p>
  </w:footnote>
  <w:footnote w:type="continuationNotice" w:id="1">
    <w:p w14:paraId="27649102" w14:textId="77777777" w:rsidR="00360541" w:rsidRDefault="00360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2802" w14:textId="5C70B3D4" w:rsidR="00360541" w:rsidRDefault="0036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DE11" w14:textId="6AAFA434" w:rsidR="00360541" w:rsidRPr="00341E1C" w:rsidRDefault="00360541" w:rsidP="006E1748">
    <w:pPr>
      <w:pStyle w:val="Header"/>
      <w:jc w:val="center"/>
    </w:pPr>
    <w:r>
      <w:rPr>
        <w:noProof/>
      </w:rPr>
      <w:drawing>
        <wp:inline distT="0" distB="0" distL="0" distR="0" wp14:anchorId="26A7F231" wp14:editId="1403181F">
          <wp:extent cx="2066925" cy="586740"/>
          <wp:effectExtent l="0" t="0" r="9525"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5867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6FA4" w14:textId="595CE958" w:rsidR="00360541" w:rsidRDefault="003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3499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360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D8A4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48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8A01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6" w15:restartNumberingAfterBreak="0">
    <w:nsid w:val="FFFFFF82"/>
    <w:multiLevelType w:val="singleLevel"/>
    <w:tmpl w:val="6CECF4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E0E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CDD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74A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6DE8"/>
    <w:multiLevelType w:val="hybridMultilevel"/>
    <w:tmpl w:val="3F842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9318E6"/>
    <w:multiLevelType w:val="hybridMultilevel"/>
    <w:tmpl w:val="DB6C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2C7E09"/>
    <w:multiLevelType w:val="hybridMultilevel"/>
    <w:tmpl w:val="CEC4C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9A3632"/>
    <w:multiLevelType w:val="hybridMultilevel"/>
    <w:tmpl w:val="D7E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7C4110"/>
    <w:multiLevelType w:val="hybridMultilevel"/>
    <w:tmpl w:val="69E04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A64377"/>
    <w:multiLevelType w:val="hybridMultilevel"/>
    <w:tmpl w:val="CB6A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EF13B7"/>
    <w:multiLevelType w:val="hybridMultilevel"/>
    <w:tmpl w:val="EA9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D55372"/>
    <w:multiLevelType w:val="hybridMultilevel"/>
    <w:tmpl w:val="1796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1E1499"/>
    <w:multiLevelType w:val="hybridMultilevel"/>
    <w:tmpl w:val="BAB8B0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25225A"/>
    <w:multiLevelType w:val="hybridMultilevel"/>
    <w:tmpl w:val="DCA2C4C8"/>
    <w:lvl w:ilvl="0" w:tplc="193A4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841B30"/>
    <w:multiLevelType w:val="hybridMultilevel"/>
    <w:tmpl w:val="1E38AABC"/>
    <w:lvl w:ilvl="0" w:tplc="B204CC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09E1777"/>
    <w:multiLevelType w:val="hybridMultilevel"/>
    <w:tmpl w:val="C064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5182C"/>
    <w:multiLevelType w:val="hybridMultilevel"/>
    <w:tmpl w:val="10C4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A86ECB"/>
    <w:multiLevelType w:val="hybridMultilevel"/>
    <w:tmpl w:val="5C047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067F96"/>
    <w:multiLevelType w:val="multilevel"/>
    <w:tmpl w:val="BE765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FE52A26"/>
    <w:multiLevelType w:val="hybridMultilevel"/>
    <w:tmpl w:val="E0B4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236447"/>
    <w:multiLevelType w:val="hybridMultilevel"/>
    <w:tmpl w:val="82F8E1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15B2489"/>
    <w:multiLevelType w:val="multilevel"/>
    <w:tmpl w:val="BF7CA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37C500E"/>
    <w:multiLevelType w:val="hybridMultilevel"/>
    <w:tmpl w:val="EE4EE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4567EE"/>
    <w:multiLevelType w:val="hybridMultilevel"/>
    <w:tmpl w:val="B1A230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52351B"/>
    <w:multiLevelType w:val="hybridMultilevel"/>
    <w:tmpl w:val="6E8081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247120"/>
    <w:multiLevelType w:val="hybridMultilevel"/>
    <w:tmpl w:val="3DFC67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3C7931"/>
    <w:multiLevelType w:val="hybridMultilevel"/>
    <w:tmpl w:val="3A1A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F1470B"/>
    <w:multiLevelType w:val="hybridMultilevel"/>
    <w:tmpl w:val="5E52D1A6"/>
    <w:lvl w:ilvl="0" w:tplc="B136E42E">
      <w:start w:val="1"/>
      <w:numFmt w:val="decimal"/>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5B56CD"/>
    <w:multiLevelType w:val="hybridMultilevel"/>
    <w:tmpl w:val="94EA48B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451E573B"/>
    <w:multiLevelType w:val="hybridMultilevel"/>
    <w:tmpl w:val="7BEE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8B4D43"/>
    <w:multiLevelType w:val="hybridMultilevel"/>
    <w:tmpl w:val="A0881D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8E66CB0"/>
    <w:multiLevelType w:val="hybridMultilevel"/>
    <w:tmpl w:val="22B27A28"/>
    <w:lvl w:ilvl="0" w:tplc="17241C32">
      <w:start w:val="10"/>
      <w:numFmt w:val="bullet"/>
      <w:lvlText w:val="-"/>
      <w:lvlJc w:val="left"/>
      <w:pPr>
        <w:ind w:left="432" w:hanging="360"/>
      </w:pPr>
      <w:rPr>
        <w:rFonts w:ascii="Arial" w:eastAsia="Batang"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0" w15:restartNumberingAfterBreak="0">
    <w:nsid w:val="4A0309DA"/>
    <w:multiLevelType w:val="hybridMultilevel"/>
    <w:tmpl w:val="412243DC"/>
    <w:lvl w:ilvl="0" w:tplc="BFD4DEC2">
      <w:start w:val="1"/>
      <w:numFmt w:val="bullet"/>
      <w:lvlText w:val=""/>
      <w:lvlJc w:val="left"/>
      <w:pPr>
        <w:tabs>
          <w:tab w:val="num" w:pos="720"/>
        </w:tabs>
        <w:ind w:left="720" w:hanging="360"/>
      </w:pPr>
      <w:rPr>
        <w:rFonts w:ascii="Wingdings" w:hAnsi="Wingdings" w:hint="default"/>
      </w:rPr>
    </w:lvl>
    <w:lvl w:ilvl="1" w:tplc="63BCB866">
      <w:start w:val="1"/>
      <w:numFmt w:val="bullet"/>
      <w:lvlText w:val=""/>
      <w:lvlJc w:val="left"/>
      <w:pPr>
        <w:tabs>
          <w:tab w:val="num" w:pos="1440"/>
        </w:tabs>
        <w:ind w:left="1440" w:hanging="360"/>
      </w:pPr>
      <w:rPr>
        <w:rFonts w:ascii="Wingdings" w:hAnsi="Wingdings" w:hint="default"/>
      </w:rPr>
    </w:lvl>
    <w:lvl w:ilvl="2" w:tplc="D004E8F2">
      <w:start w:val="1"/>
      <w:numFmt w:val="bullet"/>
      <w:lvlText w:val=""/>
      <w:lvlJc w:val="left"/>
      <w:pPr>
        <w:tabs>
          <w:tab w:val="num" w:pos="2160"/>
        </w:tabs>
        <w:ind w:left="2160" w:hanging="360"/>
      </w:pPr>
      <w:rPr>
        <w:rFonts w:ascii="Wingdings" w:hAnsi="Wingdings" w:hint="default"/>
      </w:rPr>
    </w:lvl>
    <w:lvl w:ilvl="3" w:tplc="0EB45B48">
      <w:start w:val="1"/>
      <w:numFmt w:val="bullet"/>
      <w:lvlText w:val=""/>
      <w:lvlJc w:val="left"/>
      <w:pPr>
        <w:tabs>
          <w:tab w:val="num" w:pos="2880"/>
        </w:tabs>
        <w:ind w:left="2880" w:hanging="360"/>
      </w:pPr>
      <w:rPr>
        <w:rFonts w:ascii="Wingdings" w:hAnsi="Wingdings" w:hint="default"/>
      </w:rPr>
    </w:lvl>
    <w:lvl w:ilvl="4" w:tplc="65C2625E">
      <w:start w:val="1"/>
      <w:numFmt w:val="bullet"/>
      <w:lvlText w:val=""/>
      <w:lvlJc w:val="left"/>
      <w:pPr>
        <w:tabs>
          <w:tab w:val="num" w:pos="3600"/>
        </w:tabs>
        <w:ind w:left="3600" w:hanging="360"/>
      </w:pPr>
      <w:rPr>
        <w:rFonts w:ascii="Wingdings" w:hAnsi="Wingdings" w:hint="default"/>
      </w:rPr>
    </w:lvl>
    <w:lvl w:ilvl="5" w:tplc="3F449D0E">
      <w:start w:val="1"/>
      <w:numFmt w:val="bullet"/>
      <w:lvlText w:val=""/>
      <w:lvlJc w:val="left"/>
      <w:pPr>
        <w:tabs>
          <w:tab w:val="num" w:pos="4320"/>
        </w:tabs>
        <w:ind w:left="4320" w:hanging="360"/>
      </w:pPr>
      <w:rPr>
        <w:rFonts w:ascii="Wingdings" w:hAnsi="Wingdings" w:hint="default"/>
      </w:rPr>
    </w:lvl>
    <w:lvl w:ilvl="6" w:tplc="88165010">
      <w:start w:val="1"/>
      <w:numFmt w:val="bullet"/>
      <w:lvlText w:val=""/>
      <w:lvlJc w:val="left"/>
      <w:pPr>
        <w:tabs>
          <w:tab w:val="num" w:pos="5040"/>
        </w:tabs>
        <w:ind w:left="5040" w:hanging="360"/>
      </w:pPr>
      <w:rPr>
        <w:rFonts w:ascii="Wingdings" w:hAnsi="Wingdings" w:hint="default"/>
      </w:rPr>
    </w:lvl>
    <w:lvl w:ilvl="7" w:tplc="EE664F66">
      <w:start w:val="1"/>
      <w:numFmt w:val="bullet"/>
      <w:lvlText w:val=""/>
      <w:lvlJc w:val="left"/>
      <w:pPr>
        <w:tabs>
          <w:tab w:val="num" w:pos="5760"/>
        </w:tabs>
        <w:ind w:left="5760" w:hanging="360"/>
      </w:pPr>
      <w:rPr>
        <w:rFonts w:ascii="Wingdings" w:hAnsi="Wingdings" w:hint="default"/>
      </w:rPr>
    </w:lvl>
    <w:lvl w:ilvl="8" w:tplc="6ABE73BC">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390885"/>
    <w:multiLevelType w:val="hybridMultilevel"/>
    <w:tmpl w:val="EE46B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D451CCB"/>
    <w:multiLevelType w:val="hybridMultilevel"/>
    <w:tmpl w:val="B6741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0477739"/>
    <w:multiLevelType w:val="hybridMultilevel"/>
    <w:tmpl w:val="C0BC717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1230557"/>
    <w:multiLevelType w:val="hybridMultilevel"/>
    <w:tmpl w:val="A918AD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692612D"/>
    <w:multiLevelType w:val="hybridMultilevel"/>
    <w:tmpl w:val="76E47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9E3E01"/>
    <w:multiLevelType w:val="multilevel"/>
    <w:tmpl w:val="D722E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9" w15:restartNumberingAfterBreak="0">
    <w:nsid w:val="57326D66"/>
    <w:multiLevelType w:val="hybridMultilevel"/>
    <w:tmpl w:val="4144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020C8C"/>
    <w:multiLevelType w:val="hybridMultilevel"/>
    <w:tmpl w:val="EBCE0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8823DC3"/>
    <w:multiLevelType w:val="hybridMultilevel"/>
    <w:tmpl w:val="0B844188"/>
    <w:lvl w:ilvl="0" w:tplc="85CED406">
      <w:start w:val="1"/>
      <w:numFmt w:val="decimal"/>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D292685"/>
    <w:multiLevelType w:val="hybridMultilevel"/>
    <w:tmpl w:val="E73C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410252"/>
    <w:multiLevelType w:val="hybridMultilevel"/>
    <w:tmpl w:val="57364E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8746B20"/>
    <w:multiLevelType w:val="hybridMultilevel"/>
    <w:tmpl w:val="C9B6D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98722C"/>
    <w:multiLevelType w:val="hybridMultilevel"/>
    <w:tmpl w:val="3694251A"/>
    <w:lvl w:ilvl="0" w:tplc="32508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A40CF0"/>
    <w:multiLevelType w:val="hybridMultilevel"/>
    <w:tmpl w:val="1D3CE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1631E5"/>
    <w:multiLevelType w:val="hybridMultilevel"/>
    <w:tmpl w:val="28443236"/>
    <w:lvl w:ilvl="0" w:tplc="208A9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CA07E4"/>
    <w:multiLevelType w:val="hybridMultilevel"/>
    <w:tmpl w:val="CE0A08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6F261E9"/>
    <w:multiLevelType w:val="hybridMultilevel"/>
    <w:tmpl w:val="F01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361BCF"/>
    <w:multiLevelType w:val="hybridMultilevel"/>
    <w:tmpl w:val="F904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7F0B9B"/>
    <w:multiLevelType w:val="hybridMultilevel"/>
    <w:tmpl w:val="FB44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4B2979"/>
    <w:multiLevelType w:val="hybridMultilevel"/>
    <w:tmpl w:val="92E0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5A5DEF"/>
    <w:multiLevelType w:val="hybridMultilevel"/>
    <w:tmpl w:val="D5D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E3C2A7B"/>
    <w:multiLevelType w:val="hybridMultilevel"/>
    <w:tmpl w:val="EFA4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24"/>
  </w:num>
  <w:num w:numId="3">
    <w:abstractNumId w:val="5"/>
  </w:num>
  <w:num w:numId="4">
    <w:abstractNumId w:val="14"/>
  </w:num>
  <w:num w:numId="5">
    <w:abstractNumId w:val="19"/>
  </w:num>
  <w:num w:numId="6">
    <w:abstractNumId w:val="46"/>
  </w:num>
  <w:num w:numId="7">
    <w:abstractNumId w:val="10"/>
  </w:num>
  <w:num w:numId="8">
    <w:abstractNumId w:val="36"/>
  </w:num>
  <w:num w:numId="9">
    <w:abstractNumId w:val="9"/>
  </w:num>
  <w:num w:numId="10">
    <w:abstractNumId w:val="7"/>
  </w:num>
  <w:num w:numId="11">
    <w:abstractNumId w:val="6"/>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4"/>
  </w:num>
  <w:num w:numId="19">
    <w:abstractNumId w:val="59"/>
  </w:num>
  <w:num w:numId="20">
    <w:abstractNumId w:val="37"/>
  </w:num>
  <w:num w:numId="21">
    <w:abstractNumId w:val="23"/>
  </w:num>
  <w:num w:numId="22">
    <w:abstractNumId w:val="18"/>
  </w:num>
  <w:num w:numId="23">
    <w:abstractNumId w:val="60"/>
  </w:num>
  <w:num w:numId="24">
    <w:abstractNumId w:val="65"/>
  </w:num>
  <w:num w:numId="25">
    <w:abstractNumId w:val="31"/>
  </w:num>
  <w:num w:numId="26">
    <w:abstractNumId w:val="32"/>
  </w:num>
  <w:num w:numId="27">
    <w:abstractNumId w:val="12"/>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55"/>
  </w:num>
  <w:num w:numId="33">
    <w:abstractNumId w:val="27"/>
  </w:num>
  <w:num w:numId="34">
    <w:abstractNumId w:val="43"/>
  </w:num>
  <w:num w:numId="35">
    <w:abstractNumId w:val="51"/>
  </w:num>
  <w:num w:numId="36">
    <w:abstractNumId w:val="13"/>
  </w:num>
  <w:num w:numId="37">
    <w:abstractNumId w:val="11"/>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53"/>
  </w:num>
  <w:num w:numId="60">
    <w:abstractNumId w:val="17"/>
  </w:num>
  <w:num w:numId="61">
    <w:abstractNumId w:val="30"/>
  </w:num>
  <w:num w:numId="62">
    <w:abstractNumId w:val="45"/>
  </w:num>
  <w:num w:numId="63">
    <w:abstractNumId w:val="33"/>
  </w:num>
  <w:num w:numId="64">
    <w:abstractNumId w:val="38"/>
  </w:num>
  <w:num w:numId="65">
    <w:abstractNumId w:val="61"/>
  </w:num>
  <w:num w:numId="66">
    <w:abstractNumId w:val="62"/>
  </w:num>
  <w:num w:numId="67">
    <w:abstractNumId w:val="34"/>
  </w:num>
  <w:num w:numId="68">
    <w:abstractNumId w:val="49"/>
  </w:num>
  <w:num w:numId="69">
    <w:abstractNumId w:val="63"/>
  </w:num>
  <w:num w:numId="70">
    <w:abstractNumId w:val="52"/>
  </w:num>
  <w:num w:numId="71">
    <w:abstractNumId w:val="22"/>
  </w:num>
  <w:num w:numId="72">
    <w:abstractNumId w:val="28"/>
  </w:num>
  <w:num w:numId="73">
    <w:abstractNumId w:val="50"/>
  </w:num>
  <w:num w:numId="74">
    <w:abstractNumId w:val="42"/>
  </w:num>
  <w:num w:numId="75">
    <w:abstractNumId w:val="15"/>
  </w:num>
  <w:num w:numId="76">
    <w:abstractNumId w:val="64"/>
  </w:num>
  <w:num w:numId="77">
    <w:abstractNumId w:val="57"/>
  </w:num>
  <w:num w:numId="78">
    <w:abstractNumId w:val="40"/>
  </w:num>
  <w:num w:numId="79">
    <w:abstractNumId w:val="56"/>
  </w:num>
  <w:num w:numId="80">
    <w:abstractNumId w:val="44"/>
  </w:num>
  <w:num w:numId="81">
    <w:abstractNumId w:val="25"/>
  </w:num>
  <w:num w:numId="82">
    <w:abstractNumId w:val="16"/>
  </w:num>
  <w:num w:numId="83">
    <w:abstractNumId w:val="35"/>
  </w:num>
  <w:num w:numId="84">
    <w:abstractNumId w:val="20"/>
  </w:num>
  <w:num w:numId="85">
    <w:abstractNumId w:val="21"/>
  </w:num>
  <w:num w:numId="86">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47F"/>
    <w:rsid w:val="000006D2"/>
    <w:rsid w:val="000007F7"/>
    <w:rsid w:val="00000FE7"/>
    <w:rsid w:val="000010CD"/>
    <w:rsid w:val="000012DD"/>
    <w:rsid w:val="0000154D"/>
    <w:rsid w:val="000015BF"/>
    <w:rsid w:val="00001E1A"/>
    <w:rsid w:val="0000238B"/>
    <w:rsid w:val="000026D0"/>
    <w:rsid w:val="00002B26"/>
    <w:rsid w:val="00002DFA"/>
    <w:rsid w:val="00002F27"/>
    <w:rsid w:val="00002FBD"/>
    <w:rsid w:val="0000303B"/>
    <w:rsid w:val="000030F0"/>
    <w:rsid w:val="000034A6"/>
    <w:rsid w:val="00003A9F"/>
    <w:rsid w:val="00003FF5"/>
    <w:rsid w:val="0000423D"/>
    <w:rsid w:val="000043B5"/>
    <w:rsid w:val="000045F9"/>
    <w:rsid w:val="000047E4"/>
    <w:rsid w:val="00004FF8"/>
    <w:rsid w:val="00005441"/>
    <w:rsid w:val="00005607"/>
    <w:rsid w:val="00005EB4"/>
    <w:rsid w:val="00006295"/>
    <w:rsid w:val="00006863"/>
    <w:rsid w:val="000068BF"/>
    <w:rsid w:val="00006B3B"/>
    <w:rsid w:val="00006C01"/>
    <w:rsid w:val="00006F66"/>
    <w:rsid w:val="00007058"/>
    <w:rsid w:val="000071ED"/>
    <w:rsid w:val="000077C7"/>
    <w:rsid w:val="00007BD0"/>
    <w:rsid w:val="0001042A"/>
    <w:rsid w:val="00010672"/>
    <w:rsid w:val="000109D7"/>
    <w:rsid w:val="00010EC9"/>
    <w:rsid w:val="00011156"/>
    <w:rsid w:val="00011491"/>
    <w:rsid w:val="000119D5"/>
    <w:rsid w:val="00012085"/>
    <w:rsid w:val="000125AC"/>
    <w:rsid w:val="00012C17"/>
    <w:rsid w:val="00012C99"/>
    <w:rsid w:val="00012FF2"/>
    <w:rsid w:val="00013078"/>
    <w:rsid w:val="00013088"/>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040"/>
    <w:rsid w:val="00016C9C"/>
    <w:rsid w:val="00016E58"/>
    <w:rsid w:val="0001743F"/>
    <w:rsid w:val="00020047"/>
    <w:rsid w:val="000206F6"/>
    <w:rsid w:val="00020713"/>
    <w:rsid w:val="00020B7F"/>
    <w:rsid w:val="00020DCF"/>
    <w:rsid w:val="00020E6F"/>
    <w:rsid w:val="0002185E"/>
    <w:rsid w:val="00021ADE"/>
    <w:rsid w:val="00021C44"/>
    <w:rsid w:val="00021E77"/>
    <w:rsid w:val="00021FC5"/>
    <w:rsid w:val="00021FCA"/>
    <w:rsid w:val="00022100"/>
    <w:rsid w:val="000221CC"/>
    <w:rsid w:val="00022456"/>
    <w:rsid w:val="00022687"/>
    <w:rsid w:val="00022B0D"/>
    <w:rsid w:val="00023169"/>
    <w:rsid w:val="000232E9"/>
    <w:rsid w:val="000234FE"/>
    <w:rsid w:val="0002395F"/>
    <w:rsid w:val="00023D1F"/>
    <w:rsid w:val="00023E6F"/>
    <w:rsid w:val="0002460F"/>
    <w:rsid w:val="00024CBC"/>
    <w:rsid w:val="00025399"/>
    <w:rsid w:val="000254CF"/>
    <w:rsid w:val="00025774"/>
    <w:rsid w:val="000261CC"/>
    <w:rsid w:val="000265B9"/>
    <w:rsid w:val="00026714"/>
    <w:rsid w:val="00026977"/>
    <w:rsid w:val="00026E0C"/>
    <w:rsid w:val="00027033"/>
    <w:rsid w:val="00027085"/>
    <w:rsid w:val="000278B9"/>
    <w:rsid w:val="00027B8D"/>
    <w:rsid w:val="00027CD1"/>
    <w:rsid w:val="00027E09"/>
    <w:rsid w:val="000300B8"/>
    <w:rsid w:val="0003078B"/>
    <w:rsid w:val="00030D76"/>
    <w:rsid w:val="00030DEB"/>
    <w:rsid w:val="00030F90"/>
    <w:rsid w:val="00031163"/>
    <w:rsid w:val="00031334"/>
    <w:rsid w:val="0003137D"/>
    <w:rsid w:val="00031453"/>
    <w:rsid w:val="0003145B"/>
    <w:rsid w:val="000317BC"/>
    <w:rsid w:val="000317F9"/>
    <w:rsid w:val="000318DF"/>
    <w:rsid w:val="00031C7B"/>
    <w:rsid w:val="00031D82"/>
    <w:rsid w:val="00031E2E"/>
    <w:rsid w:val="0003213B"/>
    <w:rsid w:val="00032390"/>
    <w:rsid w:val="00032987"/>
    <w:rsid w:val="00032C17"/>
    <w:rsid w:val="00032DA2"/>
    <w:rsid w:val="00033259"/>
    <w:rsid w:val="00033342"/>
    <w:rsid w:val="0003393C"/>
    <w:rsid w:val="00033A05"/>
    <w:rsid w:val="00033A74"/>
    <w:rsid w:val="00033C19"/>
    <w:rsid w:val="00033D2D"/>
    <w:rsid w:val="00033D3C"/>
    <w:rsid w:val="00033D68"/>
    <w:rsid w:val="000341AB"/>
    <w:rsid w:val="000344B3"/>
    <w:rsid w:val="000346AA"/>
    <w:rsid w:val="000349E8"/>
    <w:rsid w:val="00034CB7"/>
    <w:rsid w:val="00034CC9"/>
    <w:rsid w:val="00034DDC"/>
    <w:rsid w:val="000359DA"/>
    <w:rsid w:val="00035B51"/>
    <w:rsid w:val="00035FDA"/>
    <w:rsid w:val="00036114"/>
    <w:rsid w:val="000364BF"/>
    <w:rsid w:val="00036C2F"/>
    <w:rsid w:val="00037404"/>
    <w:rsid w:val="0003744D"/>
    <w:rsid w:val="00037641"/>
    <w:rsid w:val="00037997"/>
    <w:rsid w:val="00037A15"/>
    <w:rsid w:val="00037AEB"/>
    <w:rsid w:val="00040085"/>
    <w:rsid w:val="00040303"/>
    <w:rsid w:val="0004034D"/>
    <w:rsid w:val="000407D5"/>
    <w:rsid w:val="00040C08"/>
    <w:rsid w:val="000413C4"/>
    <w:rsid w:val="0004143E"/>
    <w:rsid w:val="00041831"/>
    <w:rsid w:val="00041BD0"/>
    <w:rsid w:val="00041D18"/>
    <w:rsid w:val="0004258A"/>
    <w:rsid w:val="0004288F"/>
    <w:rsid w:val="00042926"/>
    <w:rsid w:val="00042F33"/>
    <w:rsid w:val="00043801"/>
    <w:rsid w:val="00043BA4"/>
    <w:rsid w:val="00043CDA"/>
    <w:rsid w:val="00044165"/>
    <w:rsid w:val="0004430A"/>
    <w:rsid w:val="0004443C"/>
    <w:rsid w:val="00044627"/>
    <w:rsid w:val="000446E4"/>
    <w:rsid w:val="000448DF"/>
    <w:rsid w:val="00044BCA"/>
    <w:rsid w:val="00044C1B"/>
    <w:rsid w:val="00044F00"/>
    <w:rsid w:val="00044F13"/>
    <w:rsid w:val="000457B5"/>
    <w:rsid w:val="00045BC4"/>
    <w:rsid w:val="00045E54"/>
    <w:rsid w:val="0004608E"/>
    <w:rsid w:val="00046120"/>
    <w:rsid w:val="00046AEE"/>
    <w:rsid w:val="00046B2D"/>
    <w:rsid w:val="00046BDE"/>
    <w:rsid w:val="00046C27"/>
    <w:rsid w:val="000471A5"/>
    <w:rsid w:val="000474BB"/>
    <w:rsid w:val="0004766D"/>
    <w:rsid w:val="0004773B"/>
    <w:rsid w:val="0004782C"/>
    <w:rsid w:val="000478E9"/>
    <w:rsid w:val="000504ED"/>
    <w:rsid w:val="00050886"/>
    <w:rsid w:val="00050BDB"/>
    <w:rsid w:val="00050CE5"/>
    <w:rsid w:val="0005114B"/>
    <w:rsid w:val="00051573"/>
    <w:rsid w:val="00051EBF"/>
    <w:rsid w:val="00052140"/>
    <w:rsid w:val="0005238F"/>
    <w:rsid w:val="000523F7"/>
    <w:rsid w:val="000526A4"/>
    <w:rsid w:val="0005276B"/>
    <w:rsid w:val="00052A6C"/>
    <w:rsid w:val="00052C44"/>
    <w:rsid w:val="00052C90"/>
    <w:rsid w:val="000533AE"/>
    <w:rsid w:val="000537E2"/>
    <w:rsid w:val="000539A9"/>
    <w:rsid w:val="00053DE2"/>
    <w:rsid w:val="0005410D"/>
    <w:rsid w:val="00054194"/>
    <w:rsid w:val="00054408"/>
    <w:rsid w:val="0005473A"/>
    <w:rsid w:val="00054A32"/>
    <w:rsid w:val="00054D9E"/>
    <w:rsid w:val="00054DE9"/>
    <w:rsid w:val="00054FD6"/>
    <w:rsid w:val="000550AF"/>
    <w:rsid w:val="000552CC"/>
    <w:rsid w:val="00055323"/>
    <w:rsid w:val="00055787"/>
    <w:rsid w:val="000561C7"/>
    <w:rsid w:val="00056297"/>
    <w:rsid w:val="00056513"/>
    <w:rsid w:val="000568B5"/>
    <w:rsid w:val="00056BAD"/>
    <w:rsid w:val="00056CA7"/>
    <w:rsid w:val="00056F7A"/>
    <w:rsid w:val="0005739A"/>
    <w:rsid w:val="00057857"/>
    <w:rsid w:val="00057892"/>
    <w:rsid w:val="0005796C"/>
    <w:rsid w:val="00060482"/>
    <w:rsid w:val="000604E7"/>
    <w:rsid w:val="0006063A"/>
    <w:rsid w:val="00060679"/>
    <w:rsid w:val="00060680"/>
    <w:rsid w:val="000606BF"/>
    <w:rsid w:val="00060E8F"/>
    <w:rsid w:val="00061A66"/>
    <w:rsid w:val="000622E7"/>
    <w:rsid w:val="00062381"/>
    <w:rsid w:val="000629AB"/>
    <w:rsid w:val="00062AB6"/>
    <w:rsid w:val="0006315F"/>
    <w:rsid w:val="000634B6"/>
    <w:rsid w:val="00063EB2"/>
    <w:rsid w:val="000643D9"/>
    <w:rsid w:val="000645AA"/>
    <w:rsid w:val="00064963"/>
    <w:rsid w:val="00064E7C"/>
    <w:rsid w:val="00065198"/>
    <w:rsid w:val="00065824"/>
    <w:rsid w:val="0006589E"/>
    <w:rsid w:val="0006596C"/>
    <w:rsid w:val="00065A51"/>
    <w:rsid w:val="00065AA7"/>
    <w:rsid w:val="00065E95"/>
    <w:rsid w:val="00065F74"/>
    <w:rsid w:val="0006601F"/>
    <w:rsid w:val="00066649"/>
    <w:rsid w:val="000669CD"/>
    <w:rsid w:val="00066FEB"/>
    <w:rsid w:val="0006717E"/>
    <w:rsid w:val="0006778C"/>
    <w:rsid w:val="00067B95"/>
    <w:rsid w:val="000700B7"/>
    <w:rsid w:val="00070120"/>
    <w:rsid w:val="00070779"/>
    <w:rsid w:val="00070A63"/>
    <w:rsid w:val="00070B5F"/>
    <w:rsid w:val="00070D5F"/>
    <w:rsid w:val="00070F3E"/>
    <w:rsid w:val="00071152"/>
    <w:rsid w:val="00071858"/>
    <w:rsid w:val="00071D72"/>
    <w:rsid w:val="00071F89"/>
    <w:rsid w:val="00072063"/>
    <w:rsid w:val="000723A4"/>
    <w:rsid w:val="00072489"/>
    <w:rsid w:val="000728CF"/>
    <w:rsid w:val="00072B44"/>
    <w:rsid w:val="000730F3"/>
    <w:rsid w:val="000734F4"/>
    <w:rsid w:val="000735D9"/>
    <w:rsid w:val="00073851"/>
    <w:rsid w:val="000738BA"/>
    <w:rsid w:val="00073981"/>
    <w:rsid w:val="00073EFC"/>
    <w:rsid w:val="00074103"/>
    <w:rsid w:val="00074233"/>
    <w:rsid w:val="00074443"/>
    <w:rsid w:val="0007468C"/>
    <w:rsid w:val="0007470C"/>
    <w:rsid w:val="000747D4"/>
    <w:rsid w:val="00074BF9"/>
    <w:rsid w:val="00074C6A"/>
    <w:rsid w:val="000754C8"/>
    <w:rsid w:val="000754CF"/>
    <w:rsid w:val="00075A92"/>
    <w:rsid w:val="000760C0"/>
    <w:rsid w:val="000761DC"/>
    <w:rsid w:val="0007631F"/>
    <w:rsid w:val="00076513"/>
    <w:rsid w:val="00076530"/>
    <w:rsid w:val="00076649"/>
    <w:rsid w:val="000770A2"/>
    <w:rsid w:val="000770D6"/>
    <w:rsid w:val="0007726C"/>
    <w:rsid w:val="000773CF"/>
    <w:rsid w:val="00077704"/>
    <w:rsid w:val="00077F5C"/>
    <w:rsid w:val="00080311"/>
    <w:rsid w:val="00080538"/>
    <w:rsid w:val="00080DD2"/>
    <w:rsid w:val="00080F1A"/>
    <w:rsid w:val="000810B7"/>
    <w:rsid w:val="0008111F"/>
    <w:rsid w:val="00081216"/>
    <w:rsid w:val="00081230"/>
    <w:rsid w:val="0008136D"/>
    <w:rsid w:val="00081417"/>
    <w:rsid w:val="000814F6"/>
    <w:rsid w:val="00081558"/>
    <w:rsid w:val="000819DF"/>
    <w:rsid w:val="00081CC8"/>
    <w:rsid w:val="0008206F"/>
    <w:rsid w:val="00082B7C"/>
    <w:rsid w:val="00082D54"/>
    <w:rsid w:val="00083039"/>
    <w:rsid w:val="0008336D"/>
    <w:rsid w:val="000835E6"/>
    <w:rsid w:val="00083ACA"/>
    <w:rsid w:val="000840E2"/>
    <w:rsid w:val="0008484C"/>
    <w:rsid w:val="00084CB8"/>
    <w:rsid w:val="00084E72"/>
    <w:rsid w:val="00085149"/>
    <w:rsid w:val="00085179"/>
    <w:rsid w:val="000861D8"/>
    <w:rsid w:val="00086349"/>
    <w:rsid w:val="000864BF"/>
    <w:rsid w:val="00087019"/>
    <w:rsid w:val="00087315"/>
    <w:rsid w:val="00087389"/>
    <w:rsid w:val="00087C26"/>
    <w:rsid w:val="00087D55"/>
    <w:rsid w:val="00087E41"/>
    <w:rsid w:val="0009025C"/>
    <w:rsid w:val="00090297"/>
    <w:rsid w:val="00090A60"/>
    <w:rsid w:val="00090AE2"/>
    <w:rsid w:val="00090B70"/>
    <w:rsid w:val="00090CF9"/>
    <w:rsid w:val="000910B9"/>
    <w:rsid w:val="000913CA"/>
    <w:rsid w:val="000913F2"/>
    <w:rsid w:val="000918E1"/>
    <w:rsid w:val="00091980"/>
    <w:rsid w:val="00091A6A"/>
    <w:rsid w:val="00091FD4"/>
    <w:rsid w:val="00092194"/>
    <w:rsid w:val="000923E0"/>
    <w:rsid w:val="000924F7"/>
    <w:rsid w:val="00092DF5"/>
    <w:rsid w:val="00093029"/>
    <w:rsid w:val="00093517"/>
    <w:rsid w:val="000937B3"/>
    <w:rsid w:val="00093C1A"/>
    <w:rsid w:val="00093F7F"/>
    <w:rsid w:val="000943C0"/>
    <w:rsid w:val="00094521"/>
    <w:rsid w:val="00094F50"/>
    <w:rsid w:val="00095120"/>
    <w:rsid w:val="000952F8"/>
    <w:rsid w:val="00095327"/>
    <w:rsid w:val="0009560E"/>
    <w:rsid w:val="000959E8"/>
    <w:rsid w:val="00095F8B"/>
    <w:rsid w:val="00096816"/>
    <w:rsid w:val="000968DE"/>
    <w:rsid w:val="000971B9"/>
    <w:rsid w:val="00097502"/>
    <w:rsid w:val="000975F7"/>
    <w:rsid w:val="00097698"/>
    <w:rsid w:val="00097C02"/>
    <w:rsid w:val="00097D37"/>
    <w:rsid w:val="00097DD9"/>
    <w:rsid w:val="000A0129"/>
    <w:rsid w:val="000A0209"/>
    <w:rsid w:val="000A02C6"/>
    <w:rsid w:val="000A02EF"/>
    <w:rsid w:val="000A0CAC"/>
    <w:rsid w:val="000A0EFF"/>
    <w:rsid w:val="000A107E"/>
    <w:rsid w:val="000A1234"/>
    <w:rsid w:val="000A14C5"/>
    <w:rsid w:val="000A17AE"/>
    <w:rsid w:val="000A23C5"/>
    <w:rsid w:val="000A25C5"/>
    <w:rsid w:val="000A2C95"/>
    <w:rsid w:val="000A2E03"/>
    <w:rsid w:val="000A2E55"/>
    <w:rsid w:val="000A3006"/>
    <w:rsid w:val="000A3330"/>
    <w:rsid w:val="000A35D3"/>
    <w:rsid w:val="000A37A0"/>
    <w:rsid w:val="000A38FF"/>
    <w:rsid w:val="000A3A1C"/>
    <w:rsid w:val="000A3AC5"/>
    <w:rsid w:val="000A4351"/>
    <w:rsid w:val="000A45C8"/>
    <w:rsid w:val="000A4B7D"/>
    <w:rsid w:val="000A4D5A"/>
    <w:rsid w:val="000A4FB9"/>
    <w:rsid w:val="000A51C2"/>
    <w:rsid w:val="000A60E5"/>
    <w:rsid w:val="000A6215"/>
    <w:rsid w:val="000A66C7"/>
    <w:rsid w:val="000A761B"/>
    <w:rsid w:val="000A79F5"/>
    <w:rsid w:val="000A7C3E"/>
    <w:rsid w:val="000B0535"/>
    <w:rsid w:val="000B09FC"/>
    <w:rsid w:val="000B0B47"/>
    <w:rsid w:val="000B0B60"/>
    <w:rsid w:val="000B0CB0"/>
    <w:rsid w:val="000B0F79"/>
    <w:rsid w:val="000B1C32"/>
    <w:rsid w:val="000B202B"/>
    <w:rsid w:val="000B25D8"/>
    <w:rsid w:val="000B266B"/>
    <w:rsid w:val="000B2C8D"/>
    <w:rsid w:val="000B32F7"/>
    <w:rsid w:val="000B34A0"/>
    <w:rsid w:val="000B3DB1"/>
    <w:rsid w:val="000B3FD3"/>
    <w:rsid w:val="000B430F"/>
    <w:rsid w:val="000B4452"/>
    <w:rsid w:val="000B4470"/>
    <w:rsid w:val="000B4EFA"/>
    <w:rsid w:val="000B53D0"/>
    <w:rsid w:val="000B57D2"/>
    <w:rsid w:val="000B5B78"/>
    <w:rsid w:val="000B5BAB"/>
    <w:rsid w:val="000B5C0B"/>
    <w:rsid w:val="000B5D6F"/>
    <w:rsid w:val="000B60E0"/>
    <w:rsid w:val="000B61C5"/>
    <w:rsid w:val="000B641C"/>
    <w:rsid w:val="000B67C0"/>
    <w:rsid w:val="000B6AD0"/>
    <w:rsid w:val="000B71EB"/>
    <w:rsid w:val="000B76FF"/>
    <w:rsid w:val="000B7CF2"/>
    <w:rsid w:val="000B7CF4"/>
    <w:rsid w:val="000B7DFF"/>
    <w:rsid w:val="000B7ECB"/>
    <w:rsid w:val="000C0248"/>
    <w:rsid w:val="000C04E8"/>
    <w:rsid w:val="000C05C9"/>
    <w:rsid w:val="000C0AFD"/>
    <w:rsid w:val="000C10EC"/>
    <w:rsid w:val="000C1266"/>
    <w:rsid w:val="000C1FD6"/>
    <w:rsid w:val="000C30BC"/>
    <w:rsid w:val="000C33C3"/>
    <w:rsid w:val="000C347E"/>
    <w:rsid w:val="000C382A"/>
    <w:rsid w:val="000C3C41"/>
    <w:rsid w:val="000C3DF2"/>
    <w:rsid w:val="000C40FC"/>
    <w:rsid w:val="000C431F"/>
    <w:rsid w:val="000C47B3"/>
    <w:rsid w:val="000C4AAD"/>
    <w:rsid w:val="000C4C21"/>
    <w:rsid w:val="000C574B"/>
    <w:rsid w:val="000C57DF"/>
    <w:rsid w:val="000C59E4"/>
    <w:rsid w:val="000C5B09"/>
    <w:rsid w:val="000C5B45"/>
    <w:rsid w:val="000C5C21"/>
    <w:rsid w:val="000C5D0A"/>
    <w:rsid w:val="000C5D1B"/>
    <w:rsid w:val="000C5F79"/>
    <w:rsid w:val="000C67CC"/>
    <w:rsid w:val="000C69C8"/>
    <w:rsid w:val="000C6C27"/>
    <w:rsid w:val="000C7415"/>
    <w:rsid w:val="000C7426"/>
    <w:rsid w:val="000C7A93"/>
    <w:rsid w:val="000C7C51"/>
    <w:rsid w:val="000D0336"/>
    <w:rsid w:val="000D07E5"/>
    <w:rsid w:val="000D0A03"/>
    <w:rsid w:val="000D0DCD"/>
    <w:rsid w:val="000D16B8"/>
    <w:rsid w:val="000D1772"/>
    <w:rsid w:val="000D21AF"/>
    <w:rsid w:val="000D2867"/>
    <w:rsid w:val="000D2B97"/>
    <w:rsid w:val="000D2F02"/>
    <w:rsid w:val="000D2FB5"/>
    <w:rsid w:val="000D30A7"/>
    <w:rsid w:val="000D37B0"/>
    <w:rsid w:val="000D381E"/>
    <w:rsid w:val="000D3AA1"/>
    <w:rsid w:val="000D3AE7"/>
    <w:rsid w:val="000D432E"/>
    <w:rsid w:val="000D49CD"/>
    <w:rsid w:val="000D4BE1"/>
    <w:rsid w:val="000D4DD5"/>
    <w:rsid w:val="000D4E3F"/>
    <w:rsid w:val="000D502B"/>
    <w:rsid w:val="000D503E"/>
    <w:rsid w:val="000D51DA"/>
    <w:rsid w:val="000D569F"/>
    <w:rsid w:val="000D5F1B"/>
    <w:rsid w:val="000D645B"/>
    <w:rsid w:val="000D67DC"/>
    <w:rsid w:val="000D6B5F"/>
    <w:rsid w:val="000D7D54"/>
    <w:rsid w:val="000E0032"/>
    <w:rsid w:val="000E0314"/>
    <w:rsid w:val="000E03E0"/>
    <w:rsid w:val="000E0BFB"/>
    <w:rsid w:val="000E0D80"/>
    <w:rsid w:val="000E0EB7"/>
    <w:rsid w:val="000E0FB9"/>
    <w:rsid w:val="000E1109"/>
    <w:rsid w:val="000E155B"/>
    <w:rsid w:val="000E1B45"/>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3"/>
    <w:rsid w:val="000E4D3A"/>
    <w:rsid w:val="000E4ED4"/>
    <w:rsid w:val="000E50AD"/>
    <w:rsid w:val="000E51EF"/>
    <w:rsid w:val="000E5636"/>
    <w:rsid w:val="000E566A"/>
    <w:rsid w:val="000E5899"/>
    <w:rsid w:val="000E5933"/>
    <w:rsid w:val="000E5A3A"/>
    <w:rsid w:val="000E602D"/>
    <w:rsid w:val="000E64C9"/>
    <w:rsid w:val="000E66AC"/>
    <w:rsid w:val="000E6720"/>
    <w:rsid w:val="000E693E"/>
    <w:rsid w:val="000E695E"/>
    <w:rsid w:val="000E6AA6"/>
    <w:rsid w:val="000E6BB6"/>
    <w:rsid w:val="000E6C79"/>
    <w:rsid w:val="000E6DE6"/>
    <w:rsid w:val="000E7097"/>
    <w:rsid w:val="000E74CA"/>
    <w:rsid w:val="000E792C"/>
    <w:rsid w:val="000E7C80"/>
    <w:rsid w:val="000E7CBF"/>
    <w:rsid w:val="000E7DA1"/>
    <w:rsid w:val="000E7DD2"/>
    <w:rsid w:val="000F00F9"/>
    <w:rsid w:val="000F03E3"/>
    <w:rsid w:val="000F06B1"/>
    <w:rsid w:val="000F07BB"/>
    <w:rsid w:val="000F0998"/>
    <w:rsid w:val="000F0A81"/>
    <w:rsid w:val="000F105E"/>
    <w:rsid w:val="000F10A7"/>
    <w:rsid w:val="000F1261"/>
    <w:rsid w:val="000F14C3"/>
    <w:rsid w:val="000F14C6"/>
    <w:rsid w:val="000F14D4"/>
    <w:rsid w:val="000F1AF2"/>
    <w:rsid w:val="000F1B86"/>
    <w:rsid w:val="000F2115"/>
    <w:rsid w:val="000F2179"/>
    <w:rsid w:val="000F2813"/>
    <w:rsid w:val="000F3278"/>
    <w:rsid w:val="000F36CC"/>
    <w:rsid w:val="000F376D"/>
    <w:rsid w:val="000F3A45"/>
    <w:rsid w:val="000F3B5F"/>
    <w:rsid w:val="000F3BA5"/>
    <w:rsid w:val="000F3BA7"/>
    <w:rsid w:val="000F3EF1"/>
    <w:rsid w:val="000F4496"/>
    <w:rsid w:val="000F45CE"/>
    <w:rsid w:val="000F480A"/>
    <w:rsid w:val="000F4BB3"/>
    <w:rsid w:val="000F4C2D"/>
    <w:rsid w:val="000F4E80"/>
    <w:rsid w:val="000F4FBC"/>
    <w:rsid w:val="000F5397"/>
    <w:rsid w:val="000F547C"/>
    <w:rsid w:val="000F593D"/>
    <w:rsid w:val="000F5D2A"/>
    <w:rsid w:val="000F5ECE"/>
    <w:rsid w:val="000F621A"/>
    <w:rsid w:val="000F6423"/>
    <w:rsid w:val="000F68C6"/>
    <w:rsid w:val="000F6944"/>
    <w:rsid w:val="000F6A44"/>
    <w:rsid w:val="000F6BBA"/>
    <w:rsid w:val="000F6C48"/>
    <w:rsid w:val="000F6F92"/>
    <w:rsid w:val="000F752B"/>
    <w:rsid w:val="000F7781"/>
    <w:rsid w:val="000F7E4C"/>
    <w:rsid w:val="000F7FC4"/>
    <w:rsid w:val="001003DE"/>
    <w:rsid w:val="0010042D"/>
    <w:rsid w:val="0010057A"/>
    <w:rsid w:val="0010059F"/>
    <w:rsid w:val="00100B76"/>
    <w:rsid w:val="0010133E"/>
    <w:rsid w:val="00101D68"/>
    <w:rsid w:val="0010261D"/>
    <w:rsid w:val="00102A51"/>
    <w:rsid w:val="00102D39"/>
    <w:rsid w:val="0010341A"/>
    <w:rsid w:val="00103485"/>
    <w:rsid w:val="00103C76"/>
    <w:rsid w:val="00103E5A"/>
    <w:rsid w:val="00103FAD"/>
    <w:rsid w:val="00103FCE"/>
    <w:rsid w:val="00104057"/>
    <w:rsid w:val="00104159"/>
    <w:rsid w:val="00104D21"/>
    <w:rsid w:val="00104E76"/>
    <w:rsid w:val="001052D4"/>
    <w:rsid w:val="0010539C"/>
    <w:rsid w:val="00105632"/>
    <w:rsid w:val="0010566B"/>
    <w:rsid w:val="00105890"/>
    <w:rsid w:val="00105A25"/>
    <w:rsid w:val="00105DCF"/>
    <w:rsid w:val="00105DD3"/>
    <w:rsid w:val="0010640D"/>
    <w:rsid w:val="00106539"/>
    <w:rsid w:val="00106815"/>
    <w:rsid w:val="001068E7"/>
    <w:rsid w:val="00106BDC"/>
    <w:rsid w:val="00106E6B"/>
    <w:rsid w:val="001075FB"/>
    <w:rsid w:val="00107924"/>
    <w:rsid w:val="00107DC8"/>
    <w:rsid w:val="001104C7"/>
    <w:rsid w:val="00110FD8"/>
    <w:rsid w:val="001113B5"/>
    <w:rsid w:val="00112117"/>
    <w:rsid w:val="0011220C"/>
    <w:rsid w:val="001123D6"/>
    <w:rsid w:val="001123DB"/>
    <w:rsid w:val="0011248C"/>
    <w:rsid w:val="001125A1"/>
    <w:rsid w:val="00112D48"/>
    <w:rsid w:val="001132B5"/>
    <w:rsid w:val="00113F34"/>
    <w:rsid w:val="00113FDA"/>
    <w:rsid w:val="0011451D"/>
    <w:rsid w:val="00114781"/>
    <w:rsid w:val="00114869"/>
    <w:rsid w:val="00115054"/>
    <w:rsid w:val="0011509F"/>
    <w:rsid w:val="00115135"/>
    <w:rsid w:val="00115399"/>
    <w:rsid w:val="001156D0"/>
    <w:rsid w:val="00115731"/>
    <w:rsid w:val="00115EB1"/>
    <w:rsid w:val="0011658F"/>
    <w:rsid w:val="00116CA5"/>
    <w:rsid w:val="001172A6"/>
    <w:rsid w:val="001174B7"/>
    <w:rsid w:val="001176F2"/>
    <w:rsid w:val="001177E6"/>
    <w:rsid w:val="001178CC"/>
    <w:rsid w:val="001179F4"/>
    <w:rsid w:val="00117BBF"/>
    <w:rsid w:val="0012027D"/>
    <w:rsid w:val="00120567"/>
    <w:rsid w:val="00120C4A"/>
    <w:rsid w:val="00120D95"/>
    <w:rsid w:val="00120E79"/>
    <w:rsid w:val="00121339"/>
    <w:rsid w:val="001214EC"/>
    <w:rsid w:val="0012154B"/>
    <w:rsid w:val="0012195C"/>
    <w:rsid w:val="00121D1E"/>
    <w:rsid w:val="00121D2D"/>
    <w:rsid w:val="00121D66"/>
    <w:rsid w:val="00121EB0"/>
    <w:rsid w:val="0012227C"/>
    <w:rsid w:val="00122311"/>
    <w:rsid w:val="00122998"/>
    <w:rsid w:val="0012310C"/>
    <w:rsid w:val="001238A3"/>
    <w:rsid w:val="001238AD"/>
    <w:rsid w:val="00123F15"/>
    <w:rsid w:val="00123FB3"/>
    <w:rsid w:val="00124093"/>
    <w:rsid w:val="001240D4"/>
    <w:rsid w:val="001241B9"/>
    <w:rsid w:val="0012450C"/>
    <w:rsid w:val="001248E5"/>
    <w:rsid w:val="00124A9D"/>
    <w:rsid w:val="00124B7C"/>
    <w:rsid w:val="00124D21"/>
    <w:rsid w:val="00125011"/>
    <w:rsid w:val="00125156"/>
    <w:rsid w:val="001254D4"/>
    <w:rsid w:val="001255A5"/>
    <w:rsid w:val="00125606"/>
    <w:rsid w:val="00125621"/>
    <w:rsid w:val="001258AE"/>
    <w:rsid w:val="001258E4"/>
    <w:rsid w:val="001259B8"/>
    <w:rsid w:val="00125D27"/>
    <w:rsid w:val="00125FF5"/>
    <w:rsid w:val="00126394"/>
    <w:rsid w:val="0012667F"/>
    <w:rsid w:val="0012677B"/>
    <w:rsid w:val="001267F5"/>
    <w:rsid w:val="00126A7C"/>
    <w:rsid w:val="00126C3C"/>
    <w:rsid w:val="00126DDD"/>
    <w:rsid w:val="0012761F"/>
    <w:rsid w:val="00127849"/>
    <w:rsid w:val="00127950"/>
    <w:rsid w:val="001279C4"/>
    <w:rsid w:val="00127B05"/>
    <w:rsid w:val="00127D81"/>
    <w:rsid w:val="001306D8"/>
    <w:rsid w:val="00130825"/>
    <w:rsid w:val="00130A12"/>
    <w:rsid w:val="001317AC"/>
    <w:rsid w:val="0013193D"/>
    <w:rsid w:val="00132109"/>
    <w:rsid w:val="001323D4"/>
    <w:rsid w:val="00132841"/>
    <w:rsid w:val="00132C25"/>
    <w:rsid w:val="00132DA1"/>
    <w:rsid w:val="00132E7F"/>
    <w:rsid w:val="0013374D"/>
    <w:rsid w:val="00133ED6"/>
    <w:rsid w:val="00134488"/>
    <w:rsid w:val="001346F4"/>
    <w:rsid w:val="00134B83"/>
    <w:rsid w:val="00134C67"/>
    <w:rsid w:val="001350EA"/>
    <w:rsid w:val="00135512"/>
    <w:rsid w:val="00135DCE"/>
    <w:rsid w:val="001367DD"/>
    <w:rsid w:val="00136898"/>
    <w:rsid w:val="001368E3"/>
    <w:rsid w:val="00136BEE"/>
    <w:rsid w:val="00136C20"/>
    <w:rsid w:val="001373C4"/>
    <w:rsid w:val="00137504"/>
    <w:rsid w:val="00137696"/>
    <w:rsid w:val="00137A9B"/>
    <w:rsid w:val="00137D76"/>
    <w:rsid w:val="00137F69"/>
    <w:rsid w:val="0014065D"/>
    <w:rsid w:val="001406FE"/>
    <w:rsid w:val="00140960"/>
    <w:rsid w:val="001409EC"/>
    <w:rsid w:val="00140B2F"/>
    <w:rsid w:val="00140DDA"/>
    <w:rsid w:val="001414FB"/>
    <w:rsid w:val="00141725"/>
    <w:rsid w:val="0014186D"/>
    <w:rsid w:val="001419E6"/>
    <w:rsid w:val="00141F58"/>
    <w:rsid w:val="00142342"/>
    <w:rsid w:val="00142A02"/>
    <w:rsid w:val="00142A46"/>
    <w:rsid w:val="00143087"/>
    <w:rsid w:val="001430D1"/>
    <w:rsid w:val="00143169"/>
    <w:rsid w:val="00143242"/>
    <w:rsid w:val="00143717"/>
    <w:rsid w:val="001437C2"/>
    <w:rsid w:val="001440B0"/>
    <w:rsid w:val="00144266"/>
    <w:rsid w:val="00144881"/>
    <w:rsid w:val="00144892"/>
    <w:rsid w:val="00144DA6"/>
    <w:rsid w:val="00144DF2"/>
    <w:rsid w:val="00145253"/>
    <w:rsid w:val="001459A8"/>
    <w:rsid w:val="00145B45"/>
    <w:rsid w:val="001463FD"/>
    <w:rsid w:val="00146976"/>
    <w:rsid w:val="00147033"/>
    <w:rsid w:val="00147242"/>
    <w:rsid w:val="00147529"/>
    <w:rsid w:val="00147604"/>
    <w:rsid w:val="0014764A"/>
    <w:rsid w:val="00147758"/>
    <w:rsid w:val="00147B4B"/>
    <w:rsid w:val="00147D09"/>
    <w:rsid w:val="00147E0E"/>
    <w:rsid w:val="001500FF"/>
    <w:rsid w:val="001505B3"/>
    <w:rsid w:val="00151602"/>
    <w:rsid w:val="00151CB3"/>
    <w:rsid w:val="00151DE3"/>
    <w:rsid w:val="00151E36"/>
    <w:rsid w:val="001521BF"/>
    <w:rsid w:val="00152970"/>
    <w:rsid w:val="001530C9"/>
    <w:rsid w:val="001530E5"/>
    <w:rsid w:val="00153546"/>
    <w:rsid w:val="00154498"/>
    <w:rsid w:val="00154569"/>
    <w:rsid w:val="001545E7"/>
    <w:rsid w:val="00154BD5"/>
    <w:rsid w:val="00154E06"/>
    <w:rsid w:val="00155091"/>
    <w:rsid w:val="001550F0"/>
    <w:rsid w:val="0015554A"/>
    <w:rsid w:val="00155560"/>
    <w:rsid w:val="001555BA"/>
    <w:rsid w:val="001559A1"/>
    <w:rsid w:val="00155BA5"/>
    <w:rsid w:val="00155BF2"/>
    <w:rsid w:val="00155E46"/>
    <w:rsid w:val="001561D8"/>
    <w:rsid w:val="0015666B"/>
    <w:rsid w:val="00156680"/>
    <w:rsid w:val="00156BCF"/>
    <w:rsid w:val="0015723F"/>
    <w:rsid w:val="00157321"/>
    <w:rsid w:val="0015740A"/>
    <w:rsid w:val="0015753E"/>
    <w:rsid w:val="00157A7A"/>
    <w:rsid w:val="00157AF0"/>
    <w:rsid w:val="00157D7C"/>
    <w:rsid w:val="0016009C"/>
    <w:rsid w:val="00160179"/>
    <w:rsid w:val="00160253"/>
    <w:rsid w:val="001603A4"/>
    <w:rsid w:val="001618DA"/>
    <w:rsid w:val="00161BD1"/>
    <w:rsid w:val="00161FB0"/>
    <w:rsid w:val="00162007"/>
    <w:rsid w:val="00162253"/>
    <w:rsid w:val="00162348"/>
    <w:rsid w:val="0016260A"/>
    <w:rsid w:val="00162625"/>
    <w:rsid w:val="0016285F"/>
    <w:rsid w:val="00162CED"/>
    <w:rsid w:val="00162D50"/>
    <w:rsid w:val="00162ED2"/>
    <w:rsid w:val="00162F7E"/>
    <w:rsid w:val="001633F9"/>
    <w:rsid w:val="00163576"/>
    <w:rsid w:val="00163CD6"/>
    <w:rsid w:val="00163CE5"/>
    <w:rsid w:val="00163F65"/>
    <w:rsid w:val="001642CA"/>
    <w:rsid w:val="001645BA"/>
    <w:rsid w:val="00164E76"/>
    <w:rsid w:val="001657B6"/>
    <w:rsid w:val="00165942"/>
    <w:rsid w:val="00165A9B"/>
    <w:rsid w:val="00165B5E"/>
    <w:rsid w:val="00165F09"/>
    <w:rsid w:val="001663A2"/>
    <w:rsid w:val="0016646E"/>
    <w:rsid w:val="00166698"/>
    <w:rsid w:val="001668C9"/>
    <w:rsid w:val="00166BE1"/>
    <w:rsid w:val="00166D70"/>
    <w:rsid w:val="00167400"/>
    <w:rsid w:val="00167502"/>
    <w:rsid w:val="00167897"/>
    <w:rsid w:val="00167E65"/>
    <w:rsid w:val="001702A2"/>
    <w:rsid w:val="00170B1B"/>
    <w:rsid w:val="00170F08"/>
    <w:rsid w:val="00170F16"/>
    <w:rsid w:val="0017169D"/>
    <w:rsid w:val="001717DD"/>
    <w:rsid w:val="00171828"/>
    <w:rsid w:val="00171D95"/>
    <w:rsid w:val="0017212B"/>
    <w:rsid w:val="001721E1"/>
    <w:rsid w:val="001728D4"/>
    <w:rsid w:val="00172940"/>
    <w:rsid w:val="00172D06"/>
    <w:rsid w:val="00172F2D"/>
    <w:rsid w:val="00173093"/>
    <w:rsid w:val="00173180"/>
    <w:rsid w:val="00173491"/>
    <w:rsid w:val="0017367D"/>
    <w:rsid w:val="00173760"/>
    <w:rsid w:val="0017384D"/>
    <w:rsid w:val="001740EC"/>
    <w:rsid w:val="001744CB"/>
    <w:rsid w:val="00174B61"/>
    <w:rsid w:val="00174C13"/>
    <w:rsid w:val="001756D9"/>
    <w:rsid w:val="00175763"/>
    <w:rsid w:val="001759EF"/>
    <w:rsid w:val="001760E8"/>
    <w:rsid w:val="00176254"/>
    <w:rsid w:val="00176A2F"/>
    <w:rsid w:val="001773CE"/>
    <w:rsid w:val="00177B0B"/>
    <w:rsid w:val="00180355"/>
    <w:rsid w:val="001804FE"/>
    <w:rsid w:val="00180574"/>
    <w:rsid w:val="00180729"/>
    <w:rsid w:val="001807FA"/>
    <w:rsid w:val="00180AAA"/>
    <w:rsid w:val="00180B88"/>
    <w:rsid w:val="0018100A"/>
    <w:rsid w:val="00181411"/>
    <w:rsid w:val="001817D5"/>
    <w:rsid w:val="001819B5"/>
    <w:rsid w:val="00181D50"/>
    <w:rsid w:val="00181D91"/>
    <w:rsid w:val="00181E03"/>
    <w:rsid w:val="00182126"/>
    <w:rsid w:val="00182416"/>
    <w:rsid w:val="00182848"/>
    <w:rsid w:val="0018289C"/>
    <w:rsid w:val="00182A58"/>
    <w:rsid w:val="00182DC2"/>
    <w:rsid w:val="00182E48"/>
    <w:rsid w:val="001832FA"/>
    <w:rsid w:val="001833EF"/>
    <w:rsid w:val="001834B9"/>
    <w:rsid w:val="0018372E"/>
    <w:rsid w:val="0018398E"/>
    <w:rsid w:val="001844E0"/>
    <w:rsid w:val="001847AC"/>
    <w:rsid w:val="001847F0"/>
    <w:rsid w:val="001848CB"/>
    <w:rsid w:val="00184DF4"/>
    <w:rsid w:val="001851E5"/>
    <w:rsid w:val="00185741"/>
    <w:rsid w:val="00185D09"/>
    <w:rsid w:val="00185D0E"/>
    <w:rsid w:val="00185D83"/>
    <w:rsid w:val="00185E72"/>
    <w:rsid w:val="001863A8"/>
    <w:rsid w:val="0018667C"/>
    <w:rsid w:val="00186B39"/>
    <w:rsid w:val="00186CF0"/>
    <w:rsid w:val="00186E27"/>
    <w:rsid w:val="00186FB0"/>
    <w:rsid w:val="0018703F"/>
    <w:rsid w:val="001903E1"/>
    <w:rsid w:val="001904C5"/>
    <w:rsid w:val="00190730"/>
    <w:rsid w:val="001907D6"/>
    <w:rsid w:val="001908E1"/>
    <w:rsid w:val="00190DD9"/>
    <w:rsid w:val="00190E69"/>
    <w:rsid w:val="00191239"/>
    <w:rsid w:val="00191935"/>
    <w:rsid w:val="001920B5"/>
    <w:rsid w:val="0019224E"/>
    <w:rsid w:val="00192DE9"/>
    <w:rsid w:val="001931FB"/>
    <w:rsid w:val="001936A8"/>
    <w:rsid w:val="00193A98"/>
    <w:rsid w:val="00193BD3"/>
    <w:rsid w:val="00193ED2"/>
    <w:rsid w:val="00193EF4"/>
    <w:rsid w:val="0019409B"/>
    <w:rsid w:val="001941E7"/>
    <w:rsid w:val="001949E2"/>
    <w:rsid w:val="001957DD"/>
    <w:rsid w:val="00195B4C"/>
    <w:rsid w:val="00195C53"/>
    <w:rsid w:val="00196317"/>
    <w:rsid w:val="001963AA"/>
    <w:rsid w:val="00196439"/>
    <w:rsid w:val="00197094"/>
    <w:rsid w:val="0019717A"/>
    <w:rsid w:val="00197495"/>
    <w:rsid w:val="00197597"/>
    <w:rsid w:val="00197611"/>
    <w:rsid w:val="00197636"/>
    <w:rsid w:val="001A00C5"/>
    <w:rsid w:val="001A096E"/>
    <w:rsid w:val="001A0AF9"/>
    <w:rsid w:val="001A0C15"/>
    <w:rsid w:val="001A1923"/>
    <w:rsid w:val="001A1A90"/>
    <w:rsid w:val="001A1C02"/>
    <w:rsid w:val="001A208F"/>
    <w:rsid w:val="001A210E"/>
    <w:rsid w:val="001A2467"/>
    <w:rsid w:val="001A24CD"/>
    <w:rsid w:val="001A262A"/>
    <w:rsid w:val="001A2641"/>
    <w:rsid w:val="001A2711"/>
    <w:rsid w:val="001A2812"/>
    <w:rsid w:val="001A2A64"/>
    <w:rsid w:val="001A2AE7"/>
    <w:rsid w:val="001A2CFD"/>
    <w:rsid w:val="001A2E65"/>
    <w:rsid w:val="001A31DE"/>
    <w:rsid w:val="001A32E2"/>
    <w:rsid w:val="001A3654"/>
    <w:rsid w:val="001A3734"/>
    <w:rsid w:val="001A3861"/>
    <w:rsid w:val="001A38A9"/>
    <w:rsid w:val="001A3993"/>
    <w:rsid w:val="001A3D04"/>
    <w:rsid w:val="001A4397"/>
    <w:rsid w:val="001A46A3"/>
    <w:rsid w:val="001A4EB0"/>
    <w:rsid w:val="001A5124"/>
    <w:rsid w:val="001A5347"/>
    <w:rsid w:val="001A5A94"/>
    <w:rsid w:val="001A5B46"/>
    <w:rsid w:val="001A5C6F"/>
    <w:rsid w:val="001A5DAF"/>
    <w:rsid w:val="001A5F2E"/>
    <w:rsid w:val="001A6658"/>
    <w:rsid w:val="001A666F"/>
    <w:rsid w:val="001A6B97"/>
    <w:rsid w:val="001A7079"/>
    <w:rsid w:val="001A767F"/>
    <w:rsid w:val="001A7725"/>
    <w:rsid w:val="001A786D"/>
    <w:rsid w:val="001A79E0"/>
    <w:rsid w:val="001A7C96"/>
    <w:rsid w:val="001B0660"/>
    <w:rsid w:val="001B09B8"/>
    <w:rsid w:val="001B0BE4"/>
    <w:rsid w:val="001B0DE1"/>
    <w:rsid w:val="001B1000"/>
    <w:rsid w:val="001B10B5"/>
    <w:rsid w:val="001B157F"/>
    <w:rsid w:val="001B1D8A"/>
    <w:rsid w:val="001B1EFA"/>
    <w:rsid w:val="001B22FA"/>
    <w:rsid w:val="001B27A2"/>
    <w:rsid w:val="001B2A81"/>
    <w:rsid w:val="001B2D28"/>
    <w:rsid w:val="001B2D85"/>
    <w:rsid w:val="001B2D9E"/>
    <w:rsid w:val="001B3043"/>
    <w:rsid w:val="001B30B2"/>
    <w:rsid w:val="001B32DB"/>
    <w:rsid w:val="001B36A0"/>
    <w:rsid w:val="001B3847"/>
    <w:rsid w:val="001B38B3"/>
    <w:rsid w:val="001B3B55"/>
    <w:rsid w:val="001B3CC2"/>
    <w:rsid w:val="001B403F"/>
    <w:rsid w:val="001B40F9"/>
    <w:rsid w:val="001B4454"/>
    <w:rsid w:val="001B4529"/>
    <w:rsid w:val="001B4B71"/>
    <w:rsid w:val="001B4B8A"/>
    <w:rsid w:val="001B5062"/>
    <w:rsid w:val="001B5173"/>
    <w:rsid w:val="001B551E"/>
    <w:rsid w:val="001B5D4F"/>
    <w:rsid w:val="001B5F27"/>
    <w:rsid w:val="001B616C"/>
    <w:rsid w:val="001B61AE"/>
    <w:rsid w:val="001B63A5"/>
    <w:rsid w:val="001B64A1"/>
    <w:rsid w:val="001B6B52"/>
    <w:rsid w:val="001C0410"/>
    <w:rsid w:val="001C05A0"/>
    <w:rsid w:val="001C09D1"/>
    <w:rsid w:val="001C0A2B"/>
    <w:rsid w:val="001C0C20"/>
    <w:rsid w:val="001C14B2"/>
    <w:rsid w:val="001C1543"/>
    <w:rsid w:val="001C1AD9"/>
    <w:rsid w:val="001C1B4B"/>
    <w:rsid w:val="001C1F71"/>
    <w:rsid w:val="001C1FD6"/>
    <w:rsid w:val="001C21F6"/>
    <w:rsid w:val="001C226C"/>
    <w:rsid w:val="001C2355"/>
    <w:rsid w:val="001C236D"/>
    <w:rsid w:val="001C3A3B"/>
    <w:rsid w:val="001C3FF6"/>
    <w:rsid w:val="001C41B3"/>
    <w:rsid w:val="001C43C3"/>
    <w:rsid w:val="001C449D"/>
    <w:rsid w:val="001C495A"/>
    <w:rsid w:val="001C4A40"/>
    <w:rsid w:val="001C4B62"/>
    <w:rsid w:val="001C51D3"/>
    <w:rsid w:val="001C576D"/>
    <w:rsid w:val="001C5B77"/>
    <w:rsid w:val="001C61AF"/>
    <w:rsid w:val="001C6248"/>
    <w:rsid w:val="001C644B"/>
    <w:rsid w:val="001C66BB"/>
    <w:rsid w:val="001C68F7"/>
    <w:rsid w:val="001C6B19"/>
    <w:rsid w:val="001C74EC"/>
    <w:rsid w:val="001C7824"/>
    <w:rsid w:val="001C7B9C"/>
    <w:rsid w:val="001C7E42"/>
    <w:rsid w:val="001D0081"/>
    <w:rsid w:val="001D0858"/>
    <w:rsid w:val="001D0C2E"/>
    <w:rsid w:val="001D0F76"/>
    <w:rsid w:val="001D0FD4"/>
    <w:rsid w:val="001D10B9"/>
    <w:rsid w:val="001D11D3"/>
    <w:rsid w:val="001D17A4"/>
    <w:rsid w:val="001D19CC"/>
    <w:rsid w:val="001D209D"/>
    <w:rsid w:val="001D2341"/>
    <w:rsid w:val="001D3130"/>
    <w:rsid w:val="001D3670"/>
    <w:rsid w:val="001D3D6A"/>
    <w:rsid w:val="001D3FF2"/>
    <w:rsid w:val="001D40C4"/>
    <w:rsid w:val="001D4C19"/>
    <w:rsid w:val="001D4CA3"/>
    <w:rsid w:val="001D4F4F"/>
    <w:rsid w:val="001D6C65"/>
    <w:rsid w:val="001D6E75"/>
    <w:rsid w:val="001D7300"/>
    <w:rsid w:val="001D750C"/>
    <w:rsid w:val="001D7D5D"/>
    <w:rsid w:val="001D7DCF"/>
    <w:rsid w:val="001D7F11"/>
    <w:rsid w:val="001E032B"/>
    <w:rsid w:val="001E0B77"/>
    <w:rsid w:val="001E0CF3"/>
    <w:rsid w:val="001E0F90"/>
    <w:rsid w:val="001E0F97"/>
    <w:rsid w:val="001E0FB3"/>
    <w:rsid w:val="001E167F"/>
    <w:rsid w:val="001E1B55"/>
    <w:rsid w:val="001E1C57"/>
    <w:rsid w:val="001E22FD"/>
    <w:rsid w:val="001E23D7"/>
    <w:rsid w:val="001E25DC"/>
    <w:rsid w:val="001E26A5"/>
    <w:rsid w:val="001E3374"/>
    <w:rsid w:val="001E3481"/>
    <w:rsid w:val="001E35B4"/>
    <w:rsid w:val="001E3970"/>
    <w:rsid w:val="001E3E62"/>
    <w:rsid w:val="001E44C2"/>
    <w:rsid w:val="001E49DC"/>
    <w:rsid w:val="001E4AA8"/>
    <w:rsid w:val="001E4B6A"/>
    <w:rsid w:val="001E4B8F"/>
    <w:rsid w:val="001E4FF1"/>
    <w:rsid w:val="001E51D1"/>
    <w:rsid w:val="001E5224"/>
    <w:rsid w:val="001E5448"/>
    <w:rsid w:val="001E549F"/>
    <w:rsid w:val="001E54BE"/>
    <w:rsid w:val="001E5FE6"/>
    <w:rsid w:val="001E612D"/>
    <w:rsid w:val="001E69BA"/>
    <w:rsid w:val="001E6AFC"/>
    <w:rsid w:val="001E6C2E"/>
    <w:rsid w:val="001E7802"/>
    <w:rsid w:val="001E7DAF"/>
    <w:rsid w:val="001E7E51"/>
    <w:rsid w:val="001F0057"/>
    <w:rsid w:val="001F01A0"/>
    <w:rsid w:val="001F02E4"/>
    <w:rsid w:val="001F052B"/>
    <w:rsid w:val="001F0554"/>
    <w:rsid w:val="001F058F"/>
    <w:rsid w:val="001F0815"/>
    <w:rsid w:val="001F0AC0"/>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7C5"/>
    <w:rsid w:val="001F4B82"/>
    <w:rsid w:val="001F4E9A"/>
    <w:rsid w:val="001F4FD9"/>
    <w:rsid w:val="001F5359"/>
    <w:rsid w:val="001F5390"/>
    <w:rsid w:val="001F56B2"/>
    <w:rsid w:val="001F62BE"/>
    <w:rsid w:val="001F6476"/>
    <w:rsid w:val="001F64C9"/>
    <w:rsid w:val="001F678F"/>
    <w:rsid w:val="001F68BC"/>
    <w:rsid w:val="001F6CD3"/>
    <w:rsid w:val="001F717E"/>
    <w:rsid w:val="001F73BC"/>
    <w:rsid w:val="001F73F4"/>
    <w:rsid w:val="001F74B0"/>
    <w:rsid w:val="001F74E8"/>
    <w:rsid w:val="001F7951"/>
    <w:rsid w:val="001F7F62"/>
    <w:rsid w:val="002000C7"/>
    <w:rsid w:val="002004B5"/>
    <w:rsid w:val="0020069F"/>
    <w:rsid w:val="00200789"/>
    <w:rsid w:val="00200984"/>
    <w:rsid w:val="002009E5"/>
    <w:rsid w:val="00201642"/>
    <w:rsid w:val="00201908"/>
    <w:rsid w:val="00201A93"/>
    <w:rsid w:val="00201B7D"/>
    <w:rsid w:val="00201BE8"/>
    <w:rsid w:val="0020209B"/>
    <w:rsid w:val="00202469"/>
    <w:rsid w:val="00202558"/>
    <w:rsid w:val="002025ED"/>
    <w:rsid w:val="00202B2B"/>
    <w:rsid w:val="00202DE9"/>
    <w:rsid w:val="00203083"/>
    <w:rsid w:val="00203EFD"/>
    <w:rsid w:val="00204CC6"/>
    <w:rsid w:val="002053C1"/>
    <w:rsid w:val="00205885"/>
    <w:rsid w:val="00205974"/>
    <w:rsid w:val="002059DB"/>
    <w:rsid w:val="00205DE3"/>
    <w:rsid w:val="002064A9"/>
    <w:rsid w:val="0020685A"/>
    <w:rsid w:val="00206C94"/>
    <w:rsid w:val="00206EA1"/>
    <w:rsid w:val="0020716C"/>
    <w:rsid w:val="0020782F"/>
    <w:rsid w:val="0020786D"/>
    <w:rsid w:val="00207A9C"/>
    <w:rsid w:val="00207DB9"/>
    <w:rsid w:val="00207E63"/>
    <w:rsid w:val="00210466"/>
    <w:rsid w:val="00210A4F"/>
    <w:rsid w:val="00210C30"/>
    <w:rsid w:val="00210C5B"/>
    <w:rsid w:val="00211233"/>
    <w:rsid w:val="00211A24"/>
    <w:rsid w:val="00211C22"/>
    <w:rsid w:val="002120B5"/>
    <w:rsid w:val="002125F7"/>
    <w:rsid w:val="00212750"/>
    <w:rsid w:val="00212BEF"/>
    <w:rsid w:val="00212CEB"/>
    <w:rsid w:val="00212E20"/>
    <w:rsid w:val="00213517"/>
    <w:rsid w:val="0021353B"/>
    <w:rsid w:val="00213633"/>
    <w:rsid w:val="0021373C"/>
    <w:rsid w:val="0021398F"/>
    <w:rsid w:val="002139FD"/>
    <w:rsid w:val="00213A90"/>
    <w:rsid w:val="00213B91"/>
    <w:rsid w:val="002143ED"/>
    <w:rsid w:val="002146A2"/>
    <w:rsid w:val="00215200"/>
    <w:rsid w:val="00215212"/>
    <w:rsid w:val="00216069"/>
    <w:rsid w:val="0021638C"/>
    <w:rsid w:val="00216651"/>
    <w:rsid w:val="0021682C"/>
    <w:rsid w:val="00216902"/>
    <w:rsid w:val="00216B3D"/>
    <w:rsid w:val="002174C6"/>
    <w:rsid w:val="00217643"/>
    <w:rsid w:val="0021776A"/>
    <w:rsid w:val="0021781B"/>
    <w:rsid w:val="00217AE1"/>
    <w:rsid w:val="00217BA0"/>
    <w:rsid w:val="00217BC0"/>
    <w:rsid w:val="00217F26"/>
    <w:rsid w:val="00220117"/>
    <w:rsid w:val="00220496"/>
    <w:rsid w:val="00220559"/>
    <w:rsid w:val="0022072C"/>
    <w:rsid w:val="002209D6"/>
    <w:rsid w:val="00220AFB"/>
    <w:rsid w:val="00220E0D"/>
    <w:rsid w:val="00220F00"/>
    <w:rsid w:val="002214BA"/>
    <w:rsid w:val="0022150B"/>
    <w:rsid w:val="0022190A"/>
    <w:rsid w:val="00221D83"/>
    <w:rsid w:val="00221DAD"/>
    <w:rsid w:val="00221EEC"/>
    <w:rsid w:val="00221F1D"/>
    <w:rsid w:val="002224AB"/>
    <w:rsid w:val="002224B8"/>
    <w:rsid w:val="00222677"/>
    <w:rsid w:val="00222907"/>
    <w:rsid w:val="00222C58"/>
    <w:rsid w:val="002236FA"/>
    <w:rsid w:val="00223701"/>
    <w:rsid w:val="00223745"/>
    <w:rsid w:val="00223A4C"/>
    <w:rsid w:val="00224235"/>
    <w:rsid w:val="0022459D"/>
    <w:rsid w:val="00224662"/>
    <w:rsid w:val="00224FE9"/>
    <w:rsid w:val="00225554"/>
    <w:rsid w:val="0022587A"/>
    <w:rsid w:val="00225A73"/>
    <w:rsid w:val="00225C77"/>
    <w:rsid w:val="00226281"/>
    <w:rsid w:val="00226292"/>
    <w:rsid w:val="00226435"/>
    <w:rsid w:val="002268B8"/>
    <w:rsid w:val="00226B44"/>
    <w:rsid w:val="0022714E"/>
    <w:rsid w:val="0022756D"/>
    <w:rsid w:val="00227A42"/>
    <w:rsid w:val="00230388"/>
    <w:rsid w:val="0023055D"/>
    <w:rsid w:val="002305B6"/>
    <w:rsid w:val="00230F47"/>
    <w:rsid w:val="00230F98"/>
    <w:rsid w:val="00231509"/>
    <w:rsid w:val="002316B2"/>
    <w:rsid w:val="00231DAE"/>
    <w:rsid w:val="00231DE7"/>
    <w:rsid w:val="0023201E"/>
    <w:rsid w:val="00232125"/>
    <w:rsid w:val="00232433"/>
    <w:rsid w:val="00232507"/>
    <w:rsid w:val="00232566"/>
    <w:rsid w:val="00232D94"/>
    <w:rsid w:val="00232DF6"/>
    <w:rsid w:val="0023327C"/>
    <w:rsid w:val="00233E21"/>
    <w:rsid w:val="00234ACC"/>
    <w:rsid w:val="00234B68"/>
    <w:rsid w:val="00234C19"/>
    <w:rsid w:val="00234C1D"/>
    <w:rsid w:val="00234FFB"/>
    <w:rsid w:val="00235259"/>
    <w:rsid w:val="00235459"/>
    <w:rsid w:val="00235521"/>
    <w:rsid w:val="002356B1"/>
    <w:rsid w:val="00236551"/>
    <w:rsid w:val="00236BC0"/>
    <w:rsid w:val="00236C76"/>
    <w:rsid w:val="002372D8"/>
    <w:rsid w:val="002374D7"/>
    <w:rsid w:val="002374FC"/>
    <w:rsid w:val="0023760C"/>
    <w:rsid w:val="00237B8A"/>
    <w:rsid w:val="00240184"/>
    <w:rsid w:val="002408D1"/>
    <w:rsid w:val="00240A37"/>
    <w:rsid w:val="00240E07"/>
    <w:rsid w:val="00240E0C"/>
    <w:rsid w:val="00240F3E"/>
    <w:rsid w:val="002410F3"/>
    <w:rsid w:val="0024124E"/>
    <w:rsid w:val="0024127A"/>
    <w:rsid w:val="00241539"/>
    <w:rsid w:val="00241592"/>
    <w:rsid w:val="00241697"/>
    <w:rsid w:val="00241E2E"/>
    <w:rsid w:val="00241E62"/>
    <w:rsid w:val="00241F07"/>
    <w:rsid w:val="00242044"/>
    <w:rsid w:val="002421EB"/>
    <w:rsid w:val="002426BF"/>
    <w:rsid w:val="002427BB"/>
    <w:rsid w:val="00242856"/>
    <w:rsid w:val="002428ED"/>
    <w:rsid w:val="00242BD3"/>
    <w:rsid w:val="00242EEA"/>
    <w:rsid w:val="00242F12"/>
    <w:rsid w:val="00243175"/>
    <w:rsid w:val="00243A8E"/>
    <w:rsid w:val="00244016"/>
    <w:rsid w:val="00244602"/>
    <w:rsid w:val="00244E28"/>
    <w:rsid w:val="00244F3A"/>
    <w:rsid w:val="00244FA0"/>
    <w:rsid w:val="00245F2E"/>
    <w:rsid w:val="002461B0"/>
    <w:rsid w:val="002462B5"/>
    <w:rsid w:val="002468B9"/>
    <w:rsid w:val="00246F58"/>
    <w:rsid w:val="00247602"/>
    <w:rsid w:val="00247C2C"/>
    <w:rsid w:val="00247DF8"/>
    <w:rsid w:val="00250000"/>
    <w:rsid w:val="00250413"/>
    <w:rsid w:val="00250855"/>
    <w:rsid w:val="00250A7A"/>
    <w:rsid w:val="00250AB1"/>
    <w:rsid w:val="00250E3C"/>
    <w:rsid w:val="00251194"/>
    <w:rsid w:val="00251EB0"/>
    <w:rsid w:val="00252063"/>
    <w:rsid w:val="002520A3"/>
    <w:rsid w:val="00252245"/>
    <w:rsid w:val="0025268D"/>
    <w:rsid w:val="002527B3"/>
    <w:rsid w:val="00252BA1"/>
    <w:rsid w:val="002530C8"/>
    <w:rsid w:val="00253618"/>
    <w:rsid w:val="00253707"/>
    <w:rsid w:val="0025382B"/>
    <w:rsid w:val="00253898"/>
    <w:rsid w:val="0025390B"/>
    <w:rsid w:val="00253A2D"/>
    <w:rsid w:val="00253C4D"/>
    <w:rsid w:val="0025400C"/>
    <w:rsid w:val="0025420C"/>
    <w:rsid w:val="002545D0"/>
    <w:rsid w:val="002547A7"/>
    <w:rsid w:val="00255191"/>
    <w:rsid w:val="002552C7"/>
    <w:rsid w:val="0025575D"/>
    <w:rsid w:val="002559A5"/>
    <w:rsid w:val="002559B4"/>
    <w:rsid w:val="00255A0D"/>
    <w:rsid w:val="00255EE9"/>
    <w:rsid w:val="0025641A"/>
    <w:rsid w:val="00256589"/>
    <w:rsid w:val="0025676F"/>
    <w:rsid w:val="00256A04"/>
    <w:rsid w:val="00257085"/>
    <w:rsid w:val="00257167"/>
    <w:rsid w:val="00257330"/>
    <w:rsid w:val="00257522"/>
    <w:rsid w:val="00257ABF"/>
    <w:rsid w:val="00257BE5"/>
    <w:rsid w:val="002600D2"/>
    <w:rsid w:val="0026099B"/>
    <w:rsid w:val="00260A45"/>
    <w:rsid w:val="00260B50"/>
    <w:rsid w:val="00260E7F"/>
    <w:rsid w:val="0026145B"/>
    <w:rsid w:val="0026182A"/>
    <w:rsid w:val="0026186D"/>
    <w:rsid w:val="002618DF"/>
    <w:rsid w:val="00261C09"/>
    <w:rsid w:val="002620BE"/>
    <w:rsid w:val="0026281D"/>
    <w:rsid w:val="00262B01"/>
    <w:rsid w:val="00262E5E"/>
    <w:rsid w:val="0026331C"/>
    <w:rsid w:val="00263422"/>
    <w:rsid w:val="00263A9D"/>
    <w:rsid w:val="00263B3A"/>
    <w:rsid w:val="00263FE7"/>
    <w:rsid w:val="00264215"/>
    <w:rsid w:val="00264277"/>
    <w:rsid w:val="0026532B"/>
    <w:rsid w:val="0026533A"/>
    <w:rsid w:val="0026543C"/>
    <w:rsid w:val="00265513"/>
    <w:rsid w:val="00265815"/>
    <w:rsid w:val="0026599C"/>
    <w:rsid w:val="002662A2"/>
    <w:rsid w:val="0026633C"/>
    <w:rsid w:val="0026648B"/>
    <w:rsid w:val="00266517"/>
    <w:rsid w:val="00266730"/>
    <w:rsid w:val="00266F1D"/>
    <w:rsid w:val="00267128"/>
    <w:rsid w:val="00267361"/>
    <w:rsid w:val="002678E4"/>
    <w:rsid w:val="00267DE7"/>
    <w:rsid w:val="00267F24"/>
    <w:rsid w:val="00267F41"/>
    <w:rsid w:val="00270132"/>
    <w:rsid w:val="002701D1"/>
    <w:rsid w:val="002704E7"/>
    <w:rsid w:val="00270D26"/>
    <w:rsid w:val="00270DC3"/>
    <w:rsid w:val="00270F04"/>
    <w:rsid w:val="002712F3"/>
    <w:rsid w:val="00271502"/>
    <w:rsid w:val="002715F0"/>
    <w:rsid w:val="00271C02"/>
    <w:rsid w:val="00271CF2"/>
    <w:rsid w:val="00271DBF"/>
    <w:rsid w:val="00272183"/>
    <w:rsid w:val="0027277E"/>
    <w:rsid w:val="00272937"/>
    <w:rsid w:val="00272A5E"/>
    <w:rsid w:val="00272C73"/>
    <w:rsid w:val="00272E91"/>
    <w:rsid w:val="00273005"/>
    <w:rsid w:val="0027300D"/>
    <w:rsid w:val="00273091"/>
    <w:rsid w:val="00273314"/>
    <w:rsid w:val="00273430"/>
    <w:rsid w:val="0027369E"/>
    <w:rsid w:val="00274209"/>
    <w:rsid w:val="002742F1"/>
    <w:rsid w:val="00274313"/>
    <w:rsid w:val="002749FB"/>
    <w:rsid w:val="00274B89"/>
    <w:rsid w:val="00274E3C"/>
    <w:rsid w:val="00274F2B"/>
    <w:rsid w:val="00275065"/>
    <w:rsid w:val="002750F2"/>
    <w:rsid w:val="00275B89"/>
    <w:rsid w:val="00276B89"/>
    <w:rsid w:val="00276D77"/>
    <w:rsid w:val="0027721D"/>
    <w:rsid w:val="00277824"/>
    <w:rsid w:val="00277AAF"/>
    <w:rsid w:val="00277DC8"/>
    <w:rsid w:val="00277ECC"/>
    <w:rsid w:val="00280042"/>
    <w:rsid w:val="00280282"/>
    <w:rsid w:val="002802A9"/>
    <w:rsid w:val="00280659"/>
    <w:rsid w:val="0028139B"/>
    <w:rsid w:val="00281B21"/>
    <w:rsid w:val="00281C9C"/>
    <w:rsid w:val="00282067"/>
    <w:rsid w:val="00282130"/>
    <w:rsid w:val="00282177"/>
    <w:rsid w:val="002821BE"/>
    <w:rsid w:val="00282502"/>
    <w:rsid w:val="00282800"/>
    <w:rsid w:val="00282941"/>
    <w:rsid w:val="00284124"/>
    <w:rsid w:val="00284592"/>
    <w:rsid w:val="0028461B"/>
    <w:rsid w:val="00284889"/>
    <w:rsid w:val="00284D28"/>
    <w:rsid w:val="0028512B"/>
    <w:rsid w:val="00285BAC"/>
    <w:rsid w:val="00285D1A"/>
    <w:rsid w:val="00285F60"/>
    <w:rsid w:val="0028637D"/>
    <w:rsid w:val="002864DA"/>
    <w:rsid w:val="00286B83"/>
    <w:rsid w:val="00286D70"/>
    <w:rsid w:val="002873DC"/>
    <w:rsid w:val="00287449"/>
    <w:rsid w:val="00287573"/>
    <w:rsid w:val="00287B80"/>
    <w:rsid w:val="00287F41"/>
    <w:rsid w:val="00290146"/>
    <w:rsid w:val="00290517"/>
    <w:rsid w:val="002906D6"/>
    <w:rsid w:val="002908E9"/>
    <w:rsid w:val="00290B48"/>
    <w:rsid w:val="00291095"/>
    <w:rsid w:val="002910BD"/>
    <w:rsid w:val="0029137E"/>
    <w:rsid w:val="002914DE"/>
    <w:rsid w:val="0029193E"/>
    <w:rsid w:val="00291BBE"/>
    <w:rsid w:val="00291E13"/>
    <w:rsid w:val="0029201B"/>
    <w:rsid w:val="0029216A"/>
    <w:rsid w:val="002929E2"/>
    <w:rsid w:val="00292A9C"/>
    <w:rsid w:val="00292E9C"/>
    <w:rsid w:val="00292FDF"/>
    <w:rsid w:val="002938BD"/>
    <w:rsid w:val="00293C10"/>
    <w:rsid w:val="00294032"/>
    <w:rsid w:val="00294126"/>
    <w:rsid w:val="002945DC"/>
    <w:rsid w:val="00294947"/>
    <w:rsid w:val="00294A44"/>
    <w:rsid w:val="00294A6C"/>
    <w:rsid w:val="00294D87"/>
    <w:rsid w:val="002952BA"/>
    <w:rsid w:val="0029539A"/>
    <w:rsid w:val="002959B8"/>
    <w:rsid w:val="00295B76"/>
    <w:rsid w:val="00295D2C"/>
    <w:rsid w:val="00295D85"/>
    <w:rsid w:val="00296819"/>
    <w:rsid w:val="0029725A"/>
    <w:rsid w:val="00297530"/>
    <w:rsid w:val="002978F8"/>
    <w:rsid w:val="00297B4B"/>
    <w:rsid w:val="00297B59"/>
    <w:rsid w:val="002A009D"/>
    <w:rsid w:val="002A043D"/>
    <w:rsid w:val="002A05B5"/>
    <w:rsid w:val="002A0831"/>
    <w:rsid w:val="002A094A"/>
    <w:rsid w:val="002A0A6C"/>
    <w:rsid w:val="002A2133"/>
    <w:rsid w:val="002A254E"/>
    <w:rsid w:val="002A28D5"/>
    <w:rsid w:val="002A2BF6"/>
    <w:rsid w:val="002A2FCD"/>
    <w:rsid w:val="002A3337"/>
    <w:rsid w:val="002A414F"/>
    <w:rsid w:val="002A42D4"/>
    <w:rsid w:val="002A431F"/>
    <w:rsid w:val="002A447C"/>
    <w:rsid w:val="002A482E"/>
    <w:rsid w:val="002A4B25"/>
    <w:rsid w:val="002A4C6F"/>
    <w:rsid w:val="002A4D46"/>
    <w:rsid w:val="002A4F73"/>
    <w:rsid w:val="002A4FC2"/>
    <w:rsid w:val="002A4FF0"/>
    <w:rsid w:val="002A5005"/>
    <w:rsid w:val="002A56B9"/>
    <w:rsid w:val="002A58A9"/>
    <w:rsid w:val="002A5DD1"/>
    <w:rsid w:val="002A60B3"/>
    <w:rsid w:val="002A6143"/>
    <w:rsid w:val="002A6209"/>
    <w:rsid w:val="002A67F5"/>
    <w:rsid w:val="002A68AA"/>
    <w:rsid w:val="002A6CB7"/>
    <w:rsid w:val="002A79FF"/>
    <w:rsid w:val="002A7FB8"/>
    <w:rsid w:val="002B01C2"/>
    <w:rsid w:val="002B0726"/>
    <w:rsid w:val="002B078D"/>
    <w:rsid w:val="002B088B"/>
    <w:rsid w:val="002B08ED"/>
    <w:rsid w:val="002B0937"/>
    <w:rsid w:val="002B0E1F"/>
    <w:rsid w:val="002B1626"/>
    <w:rsid w:val="002B17E5"/>
    <w:rsid w:val="002B18CF"/>
    <w:rsid w:val="002B1A71"/>
    <w:rsid w:val="002B1C75"/>
    <w:rsid w:val="002B2071"/>
    <w:rsid w:val="002B26AC"/>
    <w:rsid w:val="002B26D8"/>
    <w:rsid w:val="002B2E28"/>
    <w:rsid w:val="002B2E9B"/>
    <w:rsid w:val="002B30CD"/>
    <w:rsid w:val="002B310B"/>
    <w:rsid w:val="002B3129"/>
    <w:rsid w:val="002B3284"/>
    <w:rsid w:val="002B34E6"/>
    <w:rsid w:val="002B3E94"/>
    <w:rsid w:val="002B3EBF"/>
    <w:rsid w:val="002B3FF3"/>
    <w:rsid w:val="002B42FC"/>
    <w:rsid w:val="002B46B6"/>
    <w:rsid w:val="002B48A6"/>
    <w:rsid w:val="002B5199"/>
    <w:rsid w:val="002B5358"/>
    <w:rsid w:val="002B536A"/>
    <w:rsid w:val="002B53D5"/>
    <w:rsid w:val="002B5AF4"/>
    <w:rsid w:val="002B5FB2"/>
    <w:rsid w:val="002B6637"/>
    <w:rsid w:val="002B6725"/>
    <w:rsid w:val="002B69AA"/>
    <w:rsid w:val="002B6BB5"/>
    <w:rsid w:val="002B6BD1"/>
    <w:rsid w:val="002B7140"/>
    <w:rsid w:val="002B72A6"/>
    <w:rsid w:val="002B731A"/>
    <w:rsid w:val="002B7495"/>
    <w:rsid w:val="002B7600"/>
    <w:rsid w:val="002B7721"/>
    <w:rsid w:val="002B78B6"/>
    <w:rsid w:val="002B7A7E"/>
    <w:rsid w:val="002B7D6B"/>
    <w:rsid w:val="002B7DBE"/>
    <w:rsid w:val="002B7FB8"/>
    <w:rsid w:val="002C020D"/>
    <w:rsid w:val="002C0288"/>
    <w:rsid w:val="002C0ADD"/>
    <w:rsid w:val="002C1177"/>
    <w:rsid w:val="002C1526"/>
    <w:rsid w:val="002C1592"/>
    <w:rsid w:val="002C1697"/>
    <w:rsid w:val="002C169D"/>
    <w:rsid w:val="002C1874"/>
    <w:rsid w:val="002C18B3"/>
    <w:rsid w:val="002C18DA"/>
    <w:rsid w:val="002C1B97"/>
    <w:rsid w:val="002C26CF"/>
    <w:rsid w:val="002C2876"/>
    <w:rsid w:val="002C29DB"/>
    <w:rsid w:val="002C36EF"/>
    <w:rsid w:val="002C3A51"/>
    <w:rsid w:val="002C3D5D"/>
    <w:rsid w:val="002C408D"/>
    <w:rsid w:val="002C4729"/>
    <w:rsid w:val="002C4A8A"/>
    <w:rsid w:val="002C4B2A"/>
    <w:rsid w:val="002C4FF8"/>
    <w:rsid w:val="002C5038"/>
    <w:rsid w:val="002C56F9"/>
    <w:rsid w:val="002C5CD5"/>
    <w:rsid w:val="002C5E09"/>
    <w:rsid w:val="002C5E98"/>
    <w:rsid w:val="002C5F40"/>
    <w:rsid w:val="002C6749"/>
    <w:rsid w:val="002C7040"/>
    <w:rsid w:val="002C7078"/>
    <w:rsid w:val="002C721A"/>
    <w:rsid w:val="002C729C"/>
    <w:rsid w:val="002C7447"/>
    <w:rsid w:val="002C744C"/>
    <w:rsid w:val="002C75DE"/>
    <w:rsid w:val="002C7AC8"/>
    <w:rsid w:val="002C7B3B"/>
    <w:rsid w:val="002C7C60"/>
    <w:rsid w:val="002C7E9A"/>
    <w:rsid w:val="002D01E7"/>
    <w:rsid w:val="002D0337"/>
    <w:rsid w:val="002D03C6"/>
    <w:rsid w:val="002D042F"/>
    <w:rsid w:val="002D0B4C"/>
    <w:rsid w:val="002D0C07"/>
    <w:rsid w:val="002D1012"/>
    <w:rsid w:val="002D1185"/>
    <w:rsid w:val="002D1709"/>
    <w:rsid w:val="002D180D"/>
    <w:rsid w:val="002D18EA"/>
    <w:rsid w:val="002D2375"/>
    <w:rsid w:val="002D24D5"/>
    <w:rsid w:val="002D2823"/>
    <w:rsid w:val="002D2BAC"/>
    <w:rsid w:val="002D2CC0"/>
    <w:rsid w:val="002D2D9D"/>
    <w:rsid w:val="002D2DA8"/>
    <w:rsid w:val="002D3792"/>
    <w:rsid w:val="002D3D48"/>
    <w:rsid w:val="002D4402"/>
    <w:rsid w:val="002D4A60"/>
    <w:rsid w:val="002D4E61"/>
    <w:rsid w:val="002D5207"/>
    <w:rsid w:val="002D531F"/>
    <w:rsid w:val="002D541F"/>
    <w:rsid w:val="002D6187"/>
    <w:rsid w:val="002D6205"/>
    <w:rsid w:val="002D666E"/>
    <w:rsid w:val="002D7583"/>
    <w:rsid w:val="002D7796"/>
    <w:rsid w:val="002D7815"/>
    <w:rsid w:val="002D7A14"/>
    <w:rsid w:val="002D7B68"/>
    <w:rsid w:val="002D7BCB"/>
    <w:rsid w:val="002E0088"/>
    <w:rsid w:val="002E03CF"/>
    <w:rsid w:val="002E04A3"/>
    <w:rsid w:val="002E0500"/>
    <w:rsid w:val="002E05B3"/>
    <w:rsid w:val="002E12A5"/>
    <w:rsid w:val="002E159F"/>
    <w:rsid w:val="002E1699"/>
    <w:rsid w:val="002E1BA5"/>
    <w:rsid w:val="002E1C49"/>
    <w:rsid w:val="002E1C7A"/>
    <w:rsid w:val="002E24BE"/>
    <w:rsid w:val="002E261F"/>
    <w:rsid w:val="002E32B2"/>
    <w:rsid w:val="002E34F6"/>
    <w:rsid w:val="002E35F8"/>
    <w:rsid w:val="002E38A5"/>
    <w:rsid w:val="002E4587"/>
    <w:rsid w:val="002E4648"/>
    <w:rsid w:val="002E46EB"/>
    <w:rsid w:val="002E4AA6"/>
    <w:rsid w:val="002E501D"/>
    <w:rsid w:val="002E5203"/>
    <w:rsid w:val="002E554A"/>
    <w:rsid w:val="002E55DD"/>
    <w:rsid w:val="002E560A"/>
    <w:rsid w:val="002E570E"/>
    <w:rsid w:val="002E5D72"/>
    <w:rsid w:val="002E62C3"/>
    <w:rsid w:val="002E669A"/>
    <w:rsid w:val="002E6A9E"/>
    <w:rsid w:val="002E7046"/>
    <w:rsid w:val="002E707A"/>
    <w:rsid w:val="002F01C0"/>
    <w:rsid w:val="002F04D6"/>
    <w:rsid w:val="002F1560"/>
    <w:rsid w:val="002F16C7"/>
    <w:rsid w:val="002F1ABE"/>
    <w:rsid w:val="002F1AC5"/>
    <w:rsid w:val="002F1F0F"/>
    <w:rsid w:val="002F2502"/>
    <w:rsid w:val="002F2556"/>
    <w:rsid w:val="002F25D1"/>
    <w:rsid w:val="002F2F2E"/>
    <w:rsid w:val="002F2FAB"/>
    <w:rsid w:val="002F3169"/>
    <w:rsid w:val="002F321F"/>
    <w:rsid w:val="002F3483"/>
    <w:rsid w:val="002F34AA"/>
    <w:rsid w:val="002F35FE"/>
    <w:rsid w:val="002F3897"/>
    <w:rsid w:val="002F3946"/>
    <w:rsid w:val="002F4045"/>
    <w:rsid w:val="002F421C"/>
    <w:rsid w:val="002F4384"/>
    <w:rsid w:val="002F4662"/>
    <w:rsid w:val="002F532B"/>
    <w:rsid w:val="002F5458"/>
    <w:rsid w:val="002F5C9B"/>
    <w:rsid w:val="002F5D64"/>
    <w:rsid w:val="002F65D9"/>
    <w:rsid w:val="002F6C9F"/>
    <w:rsid w:val="002F6E24"/>
    <w:rsid w:val="002F73FE"/>
    <w:rsid w:val="002F7434"/>
    <w:rsid w:val="002F75B6"/>
    <w:rsid w:val="002F7839"/>
    <w:rsid w:val="002F7C45"/>
    <w:rsid w:val="0030015E"/>
    <w:rsid w:val="003004E6"/>
    <w:rsid w:val="00300D1C"/>
    <w:rsid w:val="00300EB5"/>
    <w:rsid w:val="00301624"/>
    <w:rsid w:val="0030180A"/>
    <w:rsid w:val="00301851"/>
    <w:rsid w:val="0030198A"/>
    <w:rsid w:val="00301EA3"/>
    <w:rsid w:val="003022D1"/>
    <w:rsid w:val="00302318"/>
    <w:rsid w:val="003024F1"/>
    <w:rsid w:val="00302ADC"/>
    <w:rsid w:val="00303155"/>
    <w:rsid w:val="00303364"/>
    <w:rsid w:val="0030344C"/>
    <w:rsid w:val="0030381D"/>
    <w:rsid w:val="00303BD0"/>
    <w:rsid w:val="00303C17"/>
    <w:rsid w:val="0030452F"/>
    <w:rsid w:val="00304710"/>
    <w:rsid w:val="003049FA"/>
    <w:rsid w:val="00304A8F"/>
    <w:rsid w:val="00304ADD"/>
    <w:rsid w:val="00304B68"/>
    <w:rsid w:val="00304B80"/>
    <w:rsid w:val="00304C3E"/>
    <w:rsid w:val="00304EF1"/>
    <w:rsid w:val="0030528C"/>
    <w:rsid w:val="003055DB"/>
    <w:rsid w:val="003056F3"/>
    <w:rsid w:val="0030578B"/>
    <w:rsid w:val="003066A5"/>
    <w:rsid w:val="00306B43"/>
    <w:rsid w:val="00306F64"/>
    <w:rsid w:val="003072F6"/>
    <w:rsid w:val="00307305"/>
    <w:rsid w:val="00307402"/>
    <w:rsid w:val="003077D0"/>
    <w:rsid w:val="00307E4B"/>
    <w:rsid w:val="0031026D"/>
    <w:rsid w:val="0031044C"/>
    <w:rsid w:val="00310945"/>
    <w:rsid w:val="0031095C"/>
    <w:rsid w:val="00310C83"/>
    <w:rsid w:val="00310DFA"/>
    <w:rsid w:val="003111A9"/>
    <w:rsid w:val="00311566"/>
    <w:rsid w:val="00311A91"/>
    <w:rsid w:val="00311D38"/>
    <w:rsid w:val="003122FE"/>
    <w:rsid w:val="00312A17"/>
    <w:rsid w:val="00312A5D"/>
    <w:rsid w:val="00312DC6"/>
    <w:rsid w:val="003130EE"/>
    <w:rsid w:val="00313306"/>
    <w:rsid w:val="00313324"/>
    <w:rsid w:val="003134CC"/>
    <w:rsid w:val="00313853"/>
    <w:rsid w:val="003141F3"/>
    <w:rsid w:val="003146E2"/>
    <w:rsid w:val="0031489B"/>
    <w:rsid w:val="0031499B"/>
    <w:rsid w:val="00315200"/>
    <w:rsid w:val="003152E6"/>
    <w:rsid w:val="00315B25"/>
    <w:rsid w:val="003160EE"/>
    <w:rsid w:val="0031622A"/>
    <w:rsid w:val="0031635A"/>
    <w:rsid w:val="003163E5"/>
    <w:rsid w:val="0031695E"/>
    <w:rsid w:val="003169D4"/>
    <w:rsid w:val="00316CF3"/>
    <w:rsid w:val="003170E4"/>
    <w:rsid w:val="00317387"/>
    <w:rsid w:val="0031747B"/>
    <w:rsid w:val="00317708"/>
    <w:rsid w:val="00317918"/>
    <w:rsid w:val="00317A9E"/>
    <w:rsid w:val="00317C77"/>
    <w:rsid w:val="00317EDE"/>
    <w:rsid w:val="003204FB"/>
    <w:rsid w:val="0032067A"/>
    <w:rsid w:val="00320771"/>
    <w:rsid w:val="00320919"/>
    <w:rsid w:val="00320B71"/>
    <w:rsid w:val="00320D08"/>
    <w:rsid w:val="00321260"/>
    <w:rsid w:val="0032171B"/>
    <w:rsid w:val="00321A64"/>
    <w:rsid w:val="00321E6A"/>
    <w:rsid w:val="00321E6E"/>
    <w:rsid w:val="0032210D"/>
    <w:rsid w:val="00322163"/>
    <w:rsid w:val="00322474"/>
    <w:rsid w:val="0032264B"/>
    <w:rsid w:val="00322B58"/>
    <w:rsid w:val="00322BF0"/>
    <w:rsid w:val="00323224"/>
    <w:rsid w:val="003234B8"/>
    <w:rsid w:val="00323C03"/>
    <w:rsid w:val="0032411D"/>
    <w:rsid w:val="003248EF"/>
    <w:rsid w:val="00324C0C"/>
    <w:rsid w:val="00324CFD"/>
    <w:rsid w:val="00324FF3"/>
    <w:rsid w:val="003254BC"/>
    <w:rsid w:val="003255F5"/>
    <w:rsid w:val="00325BF5"/>
    <w:rsid w:val="00325E41"/>
    <w:rsid w:val="00325F22"/>
    <w:rsid w:val="003261A1"/>
    <w:rsid w:val="00326CDE"/>
    <w:rsid w:val="00326DF5"/>
    <w:rsid w:val="00327804"/>
    <w:rsid w:val="00327C39"/>
    <w:rsid w:val="0033015D"/>
    <w:rsid w:val="003303A6"/>
    <w:rsid w:val="003305F3"/>
    <w:rsid w:val="003307BC"/>
    <w:rsid w:val="003307C5"/>
    <w:rsid w:val="0033091A"/>
    <w:rsid w:val="00330AA1"/>
    <w:rsid w:val="00330B19"/>
    <w:rsid w:val="00330D2D"/>
    <w:rsid w:val="00331159"/>
    <w:rsid w:val="00331D37"/>
    <w:rsid w:val="00331E8F"/>
    <w:rsid w:val="00332A96"/>
    <w:rsid w:val="00332AA3"/>
    <w:rsid w:val="00332AE1"/>
    <w:rsid w:val="00332C10"/>
    <w:rsid w:val="00332C39"/>
    <w:rsid w:val="00332F21"/>
    <w:rsid w:val="00332FD3"/>
    <w:rsid w:val="00333F06"/>
    <w:rsid w:val="003344AC"/>
    <w:rsid w:val="00334E78"/>
    <w:rsid w:val="00335128"/>
    <w:rsid w:val="00335273"/>
    <w:rsid w:val="003353D8"/>
    <w:rsid w:val="00335566"/>
    <w:rsid w:val="00335B8C"/>
    <w:rsid w:val="00335E11"/>
    <w:rsid w:val="003363CA"/>
    <w:rsid w:val="00336822"/>
    <w:rsid w:val="00336BEA"/>
    <w:rsid w:val="00336E31"/>
    <w:rsid w:val="00336F2F"/>
    <w:rsid w:val="00336FF8"/>
    <w:rsid w:val="00337142"/>
    <w:rsid w:val="003375B0"/>
    <w:rsid w:val="003375B9"/>
    <w:rsid w:val="003379E0"/>
    <w:rsid w:val="00337F91"/>
    <w:rsid w:val="00337FBB"/>
    <w:rsid w:val="00340045"/>
    <w:rsid w:val="00340291"/>
    <w:rsid w:val="003409A1"/>
    <w:rsid w:val="00340B57"/>
    <w:rsid w:val="00340F94"/>
    <w:rsid w:val="003410A8"/>
    <w:rsid w:val="0034180B"/>
    <w:rsid w:val="00341E1C"/>
    <w:rsid w:val="00342365"/>
    <w:rsid w:val="003424E1"/>
    <w:rsid w:val="00342F25"/>
    <w:rsid w:val="00343147"/>
    <w:rsid w:val="003431EE"/>
    <w:rsid w:val="003437E5"/>
    <w:rsid w:val="003438D6"/>
    <w:rsid w:val="003445C3"/>
    <w:rsid w:val="00344656"/>
    <w:rsid w:val="0034489E"/>
    <w:rsid w:val="003448A0"/>
    <w:rsid w:val="0034492B"/>
    <w:rsid w:val="00344CBB"/>
    <w:rsid w:val="00344E56"/>
    <w:rsid w:val="00345676"/>
    <w:rsid w:val="00345954"/>
    <w:rsid w:val="00345B78"/>
    <w:rsid w:val="00345C19"/>
    <w:rsid w:val="00345CAF"/>
    <w:rsid w:val="00345CB5"/>
    <w:rsid w:val="00345DD4"/>
    <w:rsid w:val="003464B5"/>
    <w:rsid w:val="003465BA"/>
    <w:rsid w:val="00346779"/>
    <w:rsid w:val="00346C2F"/>
    <w:rsid w:val="00346CD5"/>
    <w:rsid w:val="00346DB7"/>
    <w:rsid w:val="00346F79"/>
    <w:rsid w:val="00346F7D"/>
    <w:rsid w:val="00347018"/>
    <w:rsid w:val="00347249"/>
    <w:rsid w:val="00347DB1"/>
    <w:rsid w:val="0035009E"/>
    <w:rsid w:val="0035035B"/>
    <w:rsid w:val="003509E5"/>
    <w:rsid w:val="00350A7C"/>
    <w:rsid w:val="003510FB"/>
    <w:rsid w:val="003516AA"/>
    <w:rsid w:val="0035187F"/>
    <w:rsid w:val="00351935"/>
    <w:rsid w:val="00351970"/>
    <w:rsid w:val="00351BD6"/>
    <w:rsid w:val="003520CA"/>
    <w:rsid w:val="0035230C"/>
    <w:rsid w:val="00352523"/>
    <w:rsid w:val="003525D9"/>
    <w:rsid w:val="00352BDA"/>
    <w:rsid w:val="00352C13"/>
    <w:rsid w:val="00353071"/>
    <w:rsid w:val="003531AA"/>
    <w:rsid w:val="00353542"/>
    <w:rsid w:val="003536BB"/>
    <w:rsid w:val="003536D4"/>
    <w:rsid w:val="003537BD"/>
    <w:rsid w:val="003539C5"/>
    <w:rsid w:val="00353AC0"/>
    <w:rsid w:val="00353B5A"/>
    <w:rsid w:val="00353CB3"/>
    <w:rsid w:val="003543FF"/>
    <w:rsid w:val="003547D3"/>
    <w:rsid w:val="00354A9E"/>
    <w:rsid w:val="00354CD5"/>
    <w:rsid w:val="003550B1"/>
    <w:rsid w:val="00355753"/>
    <w:rsid w:val="003559CA"/>
    <w:rsid w:val="00355C45"/>
    <w:rsid w:val="00355EF2"/>
    <w:rsid w:val="00356010"/>
    <w:rsid w:val="003562A6"/>
    <w:rsid w:val="003570FA"/>
    <w:rsid w:val="003572CA"/>
    <w:rsid w:val="003574DC"/>
    <w:rsid w:val="003577E0"/>
    <w:rsid w:val="00357915"/>
    <w:rsid w:val="0036007D"/>
    <w:rsid w:val="00360422"/>
    <w:rsid w:val="00360541"/>
    <w:rsid w:val="00360995"/>
    <w:rsid w:val="00361345"/>
    <w:rsid w:val="00361718"/>
    <w:rsid w:val="003622F2"/>
    <w:rsid w:val="0036279F"/>
    <w:rsid w:val="003632E0"/>
    <w:rsid w:val="003639D6"/>
    <w:rsid w:val="003639F0"/>
    <w:rsid w:val="0036421E"/>
    <w:rsid w:val="00364734"/>
    <w:rsid w:val="00364D8E"/>
    <w:rsid w:val="00364E33"/>
    <w:rsid w:val="0036518A"/>
    <w:rsid w:val="00365335"/>
    <w:rsid w:val="0036570B"/>
    <w:rsid w:val="00365752"/>
    <w:rsid w:val="0036583C"/>
    <w:rsid w:val="00365B2C"/>
    <w:rsid w:val="00365E32"/>
    <w:rsid w:val="00365F16"/>
    <w:rsid w:val="003664BB"/>
    <w:rsid w:val="003665CB"/>
    <w:rsid w:val="003666D3"/>
    <w:rsid w:val="00366833"/>
    <w:rsid w:val="00366BA1"/>
    <w:rsid w:val="00366DAC"/>
    <w:rsid w:val="00367006"/>
    <w:rsid w:val="0036719C"/>
    <w:rsid w:val="0036777F"/>
    <w:rsid w:val="003677DE"/>
    <w:rsid w:val="003678C1"/>
    <w:rsid w:val="0036794A"/>
    <w:rsid w:val="00367EE5"/>
    <w:rsid w:val="003702A2"/>
    <w:rsid w:val="00370C48"/>
    <w:rsid w:val="00371182"/>
    <w:rsid w:val="003716BE"/>
    <w:rsid w:val="00371834"/>
    <w:rsid w:val="00371E6A"/>
    <w:rsid w:val="00372217"/>
    <w:rsid w:val="00372302"/>
    <w:rsid w:val="00372886"/>
    <w:rsid w:val="00372A58"/>
    <w:rsid w:val="00372D95"/>
    <w:rsid w:val="00372FA8"/>
    <w:rsid w:val="00372FF1"/>
    <w:rsid w:val="003735B7"/>
    <w:rsid w:val="00373988"/>
    <w:rsid w:val="003739DE"/>
    <w:rsid w:val="00373C86"/>
    <w:rsid w:val="00373E56"/>
    <w:rsid w:val="00374041"/>
    <w:rsid w:val="0037475F"/>
    <w:rsid w:val="00375646"/>
    <w:rsid w:val="003757EC"/>
    <w:rsid w:val="00375A4F"/>
    <w:rsid w:val="00375B34"/>
    <w:rsid w:val="00375E3F"/>
    <w:rsid w:val="003760FF"/>
    <w:rsid w:val="00376203"/>
    <w:rsid w:val="00376255"/>
    <w:rsid w:val="00376788"/>
    <w:rsid w:val="00376A7D"/>
    <w:rsid w:val="00376C53"/>
    <w:rsid w:val="00376D36"/>
    <w:rsid w:val="00376E50"/>
    <w:rsid w:val="00377045"/>
    <w:rsid w:val="003773F9"/>
    <w:rsid w:val="00377708"/>
    <w:rsid w:val="0037791F"/>
    <w:rsid w:val="00377934"/>
    <w:rsid w:val="00377B17"/>
    <w:rsid w:val="00377CEE"/>
    <w:rsid w:val="00377F1B"/>
    <w:rsid w:val="003801C7"/>
    <w:rsid w:val="003803A5"/>
    <w:rsid w:val="00380445"/>
    <w:rsid w:val="0038053F"/>
    <w:rsid w:val="0038068E"/>
    <w:rsid w:val="0038093C"/>
    <w:rsid w:val="0038098D"/>
    <w:rsid w:val="0038109A"/>
    <w:rsid w:val="003814F5"/>
    <w:rsid w:val="00381719"/>
    <w:rsid w:val="00381760"/>
    <w:rsid w:val="0038176E"/>
    <w:rsid w:val="003817A7"/>
    <w:rsid w:val="00381936"/>
    <w:rsid w:val="00381C1A"/>
    <w:rsid w:val="00381F34"/>
    <w:rsid w:val="00382193"/>
    <w:rsid w:val="00382355"/>
    <w:rsid w:val="00382473"/>
    <w:rsid w:val="0038260D"/>
    <w:rsid w:val="003828F1"/>
    <w:rsid w:val="00382F1B"/>
    <w:rsid w:val="003830FB"/>
    <w:rsid w:val="003831E8"/>
    <w:rsid w:val="00383F78"/>
    <w:rsid w:val="00384060"/>
    <w:rsid w:val="003840E9"/>
    <w:rsid w:val="00384C21"/>
    <w:rsid w:val="00384DD9"/>
    <w:rsid w:val="00384FC0"/>
    <w:rsid w:val="0038502C"/>
    <w:rsid w:val="003850DC"/>
    <w:rsid w:val="00385C7D"/>
    <w:rsid w:val="00386651"/>
    <w:rsid w:val="00386E10"/>
    <w:rsid w:val="003871E2"/>
    <w:rsid w:val="00387496"/>
    <w:rsid w:val="00387E98"/>
    <w:rsid w:val="003907B0"/>
    <w:rsid w:val="00390866"/>
    <w:rsid w:val="00390B05"/>
    <w:rsid w:val="00390B7E"/>
    <w:rsid w:val="00390E01"/>
    <w:rsid w:val="00390F42"/>
    <w:rsid w:val="00391C05"/>
    <w:rsid w:val="00391F32"/>
    <w:rsid w:val="00392367"/>
    <w:rsid w:val="00392595"/>
    <w:rsid w:val="003925E2"/>
    <w:rsid w:val="00392C3A"/>
    <w:rsid w:val="00392DAD"/>
    <w:rsid w:val="00392F37"/>
    <w:rsid w:val="0039305C"/>
    <w:rsid w:val="00393E7C"/>
    <w:rsid w:val="00393FBA"/>
    <w:rsid w:val="00394079"/>
    <w:rsid w:val="003943C8"/>
    <w:rsid w:val="003943FD"/>
    <w:rsid w:val="00394A23"/>
    <w:rsid w:val="00394C61"/>
    <w:rsid w:val="00394D4C"/>
    <w:rsid w:val="00394EE4"/>
    <w:rsid w:val="003954A4"/>
    <w:rsid w:val="003954FA"/>
    <w:rsid w:val="003956CC"/>
    <w:rsid w:val="00396099"/>
    <w:rsid w:val="003960EA"/>
    <w:rsid w:val="0039643E"/>
    <w:rsid w:val="0039678E"/>
    <w:rsid w:val="0039782F"/>
    <w:rsid w:val="003A037B"/>
    <w:rsid w:val="003A0D23"/>
    <w:rsid w:val="003A137B"/>
    <w:rsid w:val="003A1476"/>
    <w:rsid w:val="003A14F2"/>
    <w:rsid w:val="003A179E"/>
    <w:rsid w:val="003A1DC8"/>
    <w:rsid w:val="003A23E0"/>
    <w:rsid w:val="003A24DF"/>
    <w:rsid w:val="003A2792"/>
    <w:rsid w:val="003A298D"/>
    <w:rsid w:val="003A32C1"/>
    <w:rsid w:val="003A34BD"/>
    <w:rsid w:val="003A35D2"/>
    <w:rsid w:val="003A43B1"/>
    <w:rsid w:val="003A4588"/>
    <w:rsid w:val="003A4D48"/>
    <w:rsid w:val="003A4E1C"/>
    <w:rsid w:val="003A5261"/>
    <w:rsid w:val="003A588B"/>
    <w:rsid w:val="003A5C67"/>
    <w:rsid w:val="003A5D6A"/>
    <w:rsid w:val="003A5EC5"/>
    <w:rsid w:val="003A6656"/>
    <w:rsid w:val="003A6689"/>
    <w:rsid w:val="003A6965"/>
    <w:rsid w:val="003A6C6A"/>
    <w:rsid w:val="003A748E"/>
    <w:rsid w:val="003A7885"/>
    <w:rsid w:val="003A7B31"/>
    <w:rsid w:val="003A7CEC"/>
    <w:rsid w:val="003A7D7C"/>
    <w:rsid w:val="003B04B8"/>
    <w:rsid w:val="003B0512"/>
    <w:rsid w:val="003B06F1"/>
    <w:rsid w:val="003B0ADC"/>
    <w:rsid w:val="003B0C14"/>
    <w:rsid w:val="003B0D78"/>
    <w:rsid w:val="003B1F01"/>
    <w:rsid w:val="003B2552"/>
    <w:rsid w:val="003B2736"/>
    <w:rsid w:val="003B2E71"/>
    <w:rsid w:val="003B3335"/>
    <w:rsid w:val="003B41A5"/>
    <w:rsid w:val="003B456F"/>
    <w:rsid w:val="003B4647"/>
    <w:rsid w:val="003B570F"/>
    <w:rsid w:val="003B5713"/>
    <w:rsid w:val="003B5A2D"/>
    <w:rsid w:val="003B5CDA"/>
    <w:rsid w:val="003B5EEF"/>
    <w:rsid w:val="003B6486"/>
    <w:rsid w:val="003B64D6"/>
    <w:rsid w:val="003B65DD"/>
    <w:rsid w:val="003B6F0E"/>
    <w:rsid w:val="003B72BB"/>
    <w:rsid w:val="003B736B"/>
    <w:rsid w:val="003B7467"/>
    <w:rsid w:val="003B7625"/>
    <w:rsid w:val="003B7D7F"/>
    <w:rsid w:val="003C06D7"/>
    <w:rsid w:val="003C0742"/>
    <w:rsid w:val="003C0B1C"/>
    <w:rsid w:val="003C0F37"/>
    <w:rsid w:val="003C1551"/>
    <w:rsid w:val="003C15B9"/>
    <w:rsid w:val="003C1CE9"/>
    <w:rsid w:val="003C1F8C"/>
    <w:rsid w:val="003C23BE"/>
    <w:rsid w:val="003C2667"/>
    <w:rsid w:val="003C278C"/>
    <w:rsid w:val="003C304F"/>
    <w:rsid w:val="003C3085"/>
    <w:rsid w:val="003C3643"/>
    <w:rsid w:val="003C3B02"/>
    <w:rsid w:val="003C3E6A"/>
    <w:rsid w:val="003C3EAC"/>
    <w:rsid w:val="003C41D6"/>
    <w:rsid w:val="003C424F"/>
    <w:rsid w:val="003C4657"/>
    <w:rsid w:val="003C4989"/>
    <w:rsid w:val="003C4FFB"/>
    <w:rsid w:val="003C54DC"/>
    <w:rsid w:val="003C58D7"/>
    <w:rsid w:val="003C5CCE"/>
    <w:rsid w:val="003C6173"/>
    <w:rsid w:val="003C6881"/>
    <w:rsid w:val="003C6D67"/>
    <w:rsid w:val="003C6DEA"/>
    <w:rsid w:val="003C6F01"/>
    <w:rsid w:val="003C7210"/>
    <w:rsid w:val="003C759A"/>
    <w:rsid w:val="003C75BF"/>
    <w:rsid w:val="003C7887"/>
    <w:rsid w:val="003C7EE1"/>
    <w:rsid w:val="003D04F6"/>
    <w:rsid w:val="003D0830"/>
    <w:rsid w:val="003D095E"/>
    <w:rsid w:val="003D0DF2"/>
    <w:rsid w:val="003D132C"/>
    <w:rsid w:val="003D1572"/>
    <w:rsid w:val="003D16A4"/>
    <w:rsid w:val="003D1769"/>
    <w:rsid w:val="003D1DC2"/>
    <w:rsid w:val="003D21AF"/>
    <w:rsid w:val="003D235F"/>
    <w:rsid w:val="003D285E"/>
    <w:rsid w:val="003D37B0"/>
    <w:rsid w:val="003D3821"/>
    <w:rsid w:val="003D39B7"/>
    <w:rsid w:val="003D3A55"/>
    <w:rsid w:val="003D43EF"/>
    <w:rsid w:val="003D4EB0"/>
    <w:rsid w:val="003D5005"/>
    <w:rsid w:val="003D52A3"/>
    <w:rsid w:val="003D560B"/>
    <w:rsid w:val="003D5AB1"/>
    <w:rsid w:val="003D5D63"/>
    <w:rsid w:val="003D61AC"/>
    <w:rsid w:val="003D642E"/>
    <w:rsid w:val="003D644B"/>
    <w:rsid w:val="003D6732"/>
    <w:rsid w:val="003D79DC"/>
    <w:rsid w:val="003D7E43"/>
    <w:rsid w:val="003D7EA8"/>
    <w:rsid w:val="003D7F0E"/>
    <w:rsid w:val="003D7F3E"/>
    <w:rsid w:val="003D7FFA"/>
    <w:rsid w:val="003E05CB"/>
    <w:rsid w:val="003E067C"/>
    <w:rsid w:val="003E0858"/>
    <w:rsid w:val="003E0C6A"/>
    <w:rsid w:val="003E0F26"/>
    <w:rsid w:val="003E148F"/>
    <w:rsid w:val="003E1A6B"/>
    <w:rsid w:val="003E1F58"/>
    <w:rsid w:val="003E26CF"/>
    <w:rsid w:val="003E26ED"/>
    <w:rsid w:val="003E2B26"/>
    <w:rsid w:val="003E2E6B"/>
    <w:rsid w:val="003E30AD"/>
    <w:rsid w:val="003E3617"/>
    <w:rsid w:val="003E37B2"/>
    <w:rsid w:val="003E3841"/>
    <w:rsid w:val="003E39DE"/>
    <w:rsid w:val="003E3C5C"/>
    <w:rsid w:val="003E3FEF"/>
    <w:rsid w:val="003E41A4"/>
    <w:rsid w:val="003E439A"/>
    <w:rsid w:val="003E4412"/>
    <w:rsid w:val="003E47D2"/>
    <w:rsid w:val="003E47FC"/>
    <w:rsid w:val="003E4860"/>
    <w:rsid w:val="003E4933"/>
    <w:rsid w:val="003E4A7C"/>
    <w:rsid w:val="003E4D08"/>
    <w:rsid w:val="003E4D57"/>
    <w:rsid w:val="003E5440"/>
    <w:rsid w:val="003E568A"/>
    <w:rsid w:val="003E5F5A"/>
    <w:rsid w:val="003E60BC"/>
    <w:rsid w:val="003E6298"/>
    <w:rsid w:val="003E6906"/>
    <w:rsid w:val="003E6D82"/>
    <w:rsid w:val="003E7EAD"/>
    <w:rsid w:val="003F0811"/>
    <w:rsid w:val="003F08D3"/>
    <w:rsid w:val="003F08E8"/>
    <w:rsid w:val="003F09F3"/>
    <w:rsid w:val="003F0AF7"/>
    <w:rsid w:val="003F0C90"/>
    <w:rsid w:val="003F0FF2"/>
    <w:rsid w:val="003F0FF4"/>
    <w:rsid w:val="003F129D"/>
    <w:rsid w:val="003F1B69"/>
    <w:rsid w:val="003F2046"/>
    <w:rsid w:val="003F209D"/>
    <w:rsid w:val="003F20FA"/>
    <w:rsid w:val="003F22D7"/>
    <w:rsid w:val="003F2516"/>
    <w:rsid w:val="003F2725"/>
    <w:rsid w:val="003F2937"/>
    <w:rsid w:val="003F2D13"/>
    <w:rsid w:val="003F359B"/>
    <w:rsid w:val="003F4319"/>
    <w:rsid w:val="003F45F2"/>
    <w:rsid w:val="003F462F"/>
    <w:rsid w:val="003F4664"/>
    <w:rsid w:val="003F4AD0"/>
    <w:rsid w:val="003F5035"/>
    <w:rsid w:val="003F5673"/>
    <w:rsid w:val="003F5B6F"/>
    <w:rsid w:val="003F6658"/>
    <w:rsid w:val="003F6B1B"/>
    <w:rsid w:val="003F6DDB"/>
    <w:rsid w:val="003F6F54"/>
    <w:rsid w:val="003F78C3"/>
    <w:rsid w:val="003F7B37"/>
    <w:rsid w:val="003F7CFC"/>
    <w:rsid w:val="004002B1"/>
    <w:rsid w:val="00400349"/>
    <w:rsid w:val="00400731"/>
    <w:rsid w:val="00400799"/>
    <w:rsid w:val="00401614"/>
    <w:rsid w:val="004016BE"/>
    <w:rsid w:val="00401BE3"/>
    <w:rsid w:val="00401C3D"/>
    <w:rsid w:val="00401CD8"/>
    <w:rsid w:val="00401D29"/>
    <w:rsid w:val="00401D56"/>
    <w:rsid w:val="00401E3B"/>
    <w:rsid w:val="00401EEE"/>
    <w:rsid w:val="00401FAB"/>
    <w:rsid w:val="004023C9"/>
    <w:rsid w:val="0040275D"/>
    <w:rsid w:val="004029C5"/>
    <w:rsid w:val="00402BBF"/>
    <w:rsid w:val="0040320E"/>
    <w:rsid w:val="004035AE"/>
    <w:rsid w:val="00403B9A"/>
    <w:rsid w:val="00403C33"/>
    <w:rsid w:val="00403DE1"/>
    <w:rsid w:val="00403F56"/>
    <w:rsid w:val="004048A7"/>
    <w:rsid w:val="00404927"/>
    <w:rsid w:val="00404AB9"/>
    <w:rsid w:val="00404C76"/>
    <w:rsid w:val="00404F59"/>
    <w:rsid w:val="0040525C"/>
    <w:rsid w:val="00405270"/>
    <w:rsid w:val="0040576B"/>
    <w:rsid w:val="00405C0A"/>
    <w:rsid w:val="00405E64"/>
    <w:rsid w:val="004061F9"/>
    <w:rsid w:val="004066FC"/>
    <w:rsid w:val="0040679D"/>
    <w:rsid w:val="00406B79"/>
    <w:rsid w:val="00407079"/>
    <w:rsid w:val="004071D7"/>
    <w:rsid w:val="004071F0"/>
    <w:rsid w:val="004071FD"/>
    <w:rsid w:val="00407204"/>
    <w:rsid w:val="0040721C"/>
    <w:rsid w:val="004072E4"/>
    <w:rsid w:val="00407551"/>
    <w:rsid w:val="0040768B"/>
    <w:rsid w:val="004079C3"/>
    <w:rsid w:val="00407B0F"/>
    <w:rsid w:val="00407B52"/>
    <w:rsid w:val="00407BDF"/>
    <w:rsid w:val="0041028C"/>
    <w:rsid w:val="00410307"/>
    <w:rsid w:val="004114AB"/>
    <w:rsid w:val="0041163C"/>
    <w:rsid w:val="004117C3"/>
    <w:rsid w:val="004119B4"/>
    <w:rsid w:val="00411F1B"/>
    <w:rsid w:val="00412110"/>
    <w:rsid w:val="004123DC"/>
    <w:rsid w:val="00412AF0"/>
    <w:rsid w:val="00412C88"/>
    <w:rsid w:val="0041325F"/>
    <w:rsid w:val="00413495"/>
    <w:rsid w:val="00413B28"/>
    <w:rsid w:val="00413BE0"/>
    <w:rsid w:val="0041417B"/>
    <w:rsid w:val="004142FE"/>
    <w:rsid w:val="00414645"/>
    <w:rsid w:val="004149E7"/>
    <w:rsid w:val="00414C67"/>
    <w:rsid w:val="00414E7A"/>
    <w:rsid w:val="00415174"/>
    <w:rsid w:val="00415182"/>
    <w:rsid w:val="004153FD"/>
    <w:rsid w:val="00415458"/>
    <w:rsid w:val="0041570D"/>
    <w:rsid w:val="00415889"/>
    <w:rsid w:val="00415A1C"/>
    <w:rsid w:val="00415C38"/>
    <w:rsid w:val="004164DD"/>
    <w:rsid w:val="0041657F"/>
    <w:rsid w:val="0041662F"/>
    <w:rsid w:val="00416AE8"/>
    <w:rsid w:val="00417245"/>
    <w:rsid w:val="004177F1"/>
    <w:rsid w:val="00417A9B"/>
    <w:rsid w:val="00420465"/>
    <w:rsid w:val="004204D7"/>
    <w:rsid w:val="004206F1"/>
    <w:rsid w:val="00420754"/>
    <w:rsid w:val="004208A3"/>
    <w:rsid w:val="00420946"/>
    <w:rsid w:val="00420AA6"/>
    <w:rsid w:val="00420F18"/>
    <w:rsid w:val="0042140A"/>
    <w:rsid w:val="004215E6"/>
    <w:rsid w:val="00421716"/>
    <w:rsid w:val="0042190E"/>
    <w:rsid w:val="00421A9F"/>
    <w:rsid w:val="00421C36"/>
    <w:rsid w:val="00421D36"/>
    <w:rsid w:val="00421ED6"/>
    <w:rsid w:val="00421FDF"/>
    <w:rsid w:val="00422269"/>
    <w:rsid w:val="004226C9"/>
    <w:rsid w:val="0042286E"/>
    <w:rsid w:val="004229D5"/>
    <w:rsid w:val="00422A38"/>
    <w:rsid w:val="00422B0B"/>
    <w:rsid w:val="00422B92"/>
    <w:rsid w:val="00422CE2"/>
    <w:rsid w:val="00423669"/>
    <w:rsid w:val="0042367B"/>
    <w:rsid w:val="00423701"/>
    <w:rsid w:val="0042371C"/>
    <w:rsid w:val="0042374E"/>
    <w:rsid w:val="00423845"/>
    <w:rsid w:val="00423B1E"/>
    <w:rsid w:val="0042420D"/>
    <w:rsid w:val="004243D7"/>
    <w:rsid w:val="004244FF"/>
    <w:rsid w:val="004247D7"/>
    <w:rsid w:val="00424FC2"/>
    <w:rsid w:val="00425705"/>
    <w:rsid w:val="004257B4"/>
    <w:rsid w:val="00425A31"/>
    <w:rsid w:val="00426054"/>
    <w:rsid w:val="004261E7"/>
    <w:rsid w:val="00426693"/>
    <w:rsid w:val="004271AE"/>
    <w:rsid w:val="0042729E"/>
    <w:rsid w:val="00427370"/>
    <w:rsid w:val="00427799"/>
    <w:rsid w:val="00427A74"/>
    <w:rsid w:val="00427EF3"/>
    <w:rsid w:val="00427F95"/>
    <w:rsid w:val="00427FFD"/>
    <w:rsid w:val="00430224"/>
    <w:rsid w:val="004302BC"/>
    <w:rsid w:val="0043060F"/>
    <w:rsid w:val="00430AB7"/>
    <w:rsid w:val="004310C2"/>
    <w:rsid w:val="00431136"/>
    <w:rsid w:val="00431AC5"/>
    <w:rsid w:val="0043206B"/>
    <w:rsid w:val="00432463"/>
    <w:rsid w:val="00432A3A"/>
    <w:rsid w:val="00432AFC"/>
    <w:rsid w:val="00432B79"/>
    <w:rsid w:val="004335BA"/>
    <w:rsid w:val="0043393F"/>
    <w:rsid w:val="00433C43"/>
    <w:rsid w:val="00434537"/>
    <w:rsid w:val="0043467A"/>
    <w:rsid w:val="00435274"/>
    <w:rsid w:val="00435570"/>
    <w:rsid w:val="004359B3"/>
    <w:rsid w:val="00435D19"/>
    <w:rsid w:val="00435EB5"/>
    <w:rsid w:val="00435F18"/>
    <w:rsid w:val="004361C7"/>
    <w:rsid w:val="0043628C"/>
    <w:rsid w:val="004368FD"/>
    <w:rsid w:val="00436BB2"/>
    <w:rsid w:val="00436D37"/>
    <w:rsid w:val="00436EB4"/>
    <w:rsid w:val="00437070"/>
    <w:rsid w:val="0043744F"/>
    <w:rsid w:val="004374E8"/>
    <w:rsid w:val="0043753C"/>
    <w:rsid w:val="00437A6E"/>
    <w:rsid w:val="00437C7D"/>
    <w:rsid w:val="00437CE5"/>
    <w:rsid w:val="00437D8B"/>
    <w:rsid w:val="00437EED"/>
    <w:rsid w:val="0044060E"/>
    <w:rsid w:val="00440A54"/>
    <w:rsid w:val="00440B16"/>
    <w:rsid w:val="00440BB8"/>
    <w:rsid w:val="00440EA5"/>
    <w:rsid w:val="0044113D"/>
    <w:rsid w:val="00441535"/>
    <w:rsid w:val="00441A7E"/>
    <w:rsid w:val="00441B42"/>
    <w:rsid w:val="00441E17"/>
    <w:rsid w:val="00442129"/>
    <w:rsid w:val="00442956"/>
    <w:rsid w:val="00442D67"/>
    <w:rsid w:val="00442ED1"/>
    <w:rsid w:val="00442EDC"/>
    <w:rsid w:val="00442F0E"/>
    <w:rsid w:val="004430B4"/>
    <w:rsid w:val="00443A2D"/>
    <w:rsid w:val="00443D9D"/>
    <w:rsid w:val="00443EF7"/>
    <w:rsid w:val="00443F45"/>
    <w:rsid w:val="0044410A"/>
    <w:rsid w:val="004441D9"/>
    <w:rsid w:val="004442CB"/>
    <w:rsid w:val="00444919"/>
    <w:rsid w:val="00444ADE"/>
    <w:rsid w:val="00444C30"/>
    <w:rsid w:val="00444EF4"/>
    <w:rsid w:val="0044533E"/>
    <w:rsid w:val="0044545A"/>
    <w:rsid w:val="00445793"/>
    <w:rsid w:val="00445875"/>
    <w:rsid w:val="00445E71"/>
    <w:rsid w:val="00446BC6"/>
    <w:rsid w:val="00446CB8"/>
    <w:rsid w:val="004470DB"/>
    <w:rsid w:val="004474B4"/>
    <w:rsid w:val="00447910"/>
    <w:rsid w:val="004504A1"/>
    <w:rsid w:val="00450624"/>
    <w:rsid w:val="004506E7"/>
    <w:rsid w:val="004509F0"/>
    <w:rsid w:val="004509FF"/>
    <w:rsid w:val="00450BDF"/>
    <w:rsid w:val="00450C97"/>
    <w:rsid w:val="0045126A"/>
    <w:rsid w:val="00451994"/>
    <w:rsid w:val="00451BDE"/>
    <w:rsid w:val="00451C40"/>
    <w:rsid w:val="00451C5A"/>
    <w:rsid w:val="0045216E"/>
    <w:rsid w:val="0045217B"/>
    <w:rsid w:val="004521D1"/>
    <w:rsid w:val="004526E5"/>
    <w:rsid w:val="0045287B"/>
    <w:rsid w:val="004530A8"/>
    <w:rsid w:val="00453172"/>
    <w:rsid w:val="004533CA"/>
    <w:rsid w:val="00453AB5"/>
    <w:rsid w:val="00453F2E"/>
    <w:rsid w:val="00454158"/>
    <w:rsid w:val="00454FEB"/>
    <w:rsid w:val="004554DD"/>
    <w:rsid w:val="00455ACD"/>
    <w:rsid w:val="00455C11"/>
    <w:rsid w:val="00455F1A"/>
    <w:rsid w:val="004565CF"/>
    <w:rsid w:val="004567F1"/>
    <w:rsid w:val="0045691F"/>
    <w:rsid w:val="00456A0C"/>
    <w:rsid w:val="00456E39"/>
    <w:rsid w:val="004576CB"/>
    <w:rsid w:val="004576DA"/>
    <w:rsid w:val="004576F5"/>
    <w:rsid w:val="00457EA9"/>
    <w:rsid w:val="00457FC2"/>
    <w:rsid w:val="00460AD6"/>
    <w:rsid w:val="00460AE5"/>
    <w:rsid w:val="004617ED"/>
    <w:rsid w:val="00461A73"/>
    <w:rsid w:val="00461AEC"/>
    <w:rsid w:val="00461BB5"/>
    <w:rsid w:val="0046215A"/>
    <w:rsid w:val="0046218A"/>
    <w:rsid w:val="0046251F"/>
    <w:rsid w:val="00462793"/>
    <w:rsid w:val="004629C2"/>
    <w:rsid w:val="004629FB"/>
    <w:rsid w:val="00462CCF"/>
    <w:rsid w:val="00462D69"/>
    <w:rsid w:val="00462F04"/>
    <w:rsid w:val="004634EA"/>
    <w:rsid w:val="0046357C"/>
    <w:rsid w:val="00463B6E"/>
    <w:rsid w:val="00463E25"/>
    <w:rsid w:val="00463E78"/>
    <w:rsid w:val="0046477E"/>
    <w:rsid w:val="00464AC3"/>
    <w:rsid w:val="00464FD5"/>
    <w:rsid w:val="00465174"/>
    <w:rsid w:val="0046531A"/>
    <w:rsid w:val="00465463"/>
    <w:rsid w:val="0046573D"/>
    <w:rsid w:val="00465E70"/>
    <w:rsid w:val="00465E88"/>
    <w:rsid w:val="00466129"/>
    <w:rsid w:val="00466B4B"/>
    <w:rsid w:val="00466E20"/>
    <w:rsid w:val="00466F1B"/>
    <w:rsid w:val="00467059"/>
    <w:rsid w:val="0046712E"/>
    <w:rsid w:val="00467201"/>
    <w:rsid w:val="0046726B"/>
    <w:rsid w:val="00467621"/>
    <w:rsid w:val="00467AE8"/>
    <w:rsid w:val="00467C4F"/>
    <w:rsid w:val="00467E08"/>
    <w:rsid w:val="00467F21"/>
    <w:rsid w:val="00470066"/>
    <w:rsid w:val="0047012C"/>
    <w:rsid w:val="0047012D"/>
    <w:rsid w:val="0047032F"/>
    <w:rsid w:val="004708C3"/>
    <w:rsid w:val="00470F54"/>
    <w:rsid w:val="00471146"/>
    <w:rsid w:val="0047127B"/>
    <w:rsid w:val="004715F6"/>
    <w:rsid w:val="00471603"/>
    <w:rsid w:val="004718E8"/>
    <w:rsid w:val="0047191C"/>
    <w:rsid w:val="00471CAC"/>
    <w:rsid w:val="00471F27"/>
    <w:rsid w:val="00472543"/>
    <w:rsid w:val="00472783"/>
    <w:rsid w:val="00472924"/>
    <w:rsid w:val="00472BA8"/>
    <w:rsid w:val="00473B7E"/>
    <w:rsid w:val="00473E1F"/>
    <w:rsid w:val="004741A0"/>
    <w:rsid w:val="00474B48"/>
    <w:rsid w:val="00474B6E"/>
    <w:rsid w:val="004752D0"/>
    <w:rsid w:val="004754EE"/>
    <w:rsid w:val="0047568E"/>
    <w:rsid w:val="00475E3C"/>
    <w:rsid w:val="0047607C"/>
    <w:rsid w:val="004763E6"/>
    <w:rsid w:val="00476680"/>
    <w:rsid w:val="00476AA4"/>
    <w:rsid w:val="00476AC0"/>
    <w:rsid w:val="00476D0D"/>
    <w:rsid w:val="0047756B"/>
    <w:rsid w:val="0047785F"/>
    <w:rsid w:val="00477894"/>
    <w:rsid w:val="004779B2"/>
    <w:rsid w:val="00477A93"/>
    <w:rsid w:val="00477C36"/>
    <w:rsid w:val="00477C5D"/>
    <w:rsid w:val="00477CCF"/>
    <w:rsid w:val="00477D6E"/>
    <w:rsid w:val="00477DC9"/>
    <w:rsid w:val="00480087"/>
    <w:rsid w:val="00480359"/>
    <w:rsid w:val="0048052F"/>
    <w:rsid w:val="00480BFA"/>
    <w:rsid w:val="00480EE4"/>
    <w:rsid w:val="00480FA8"/>
    <w:rsid w:val="004810CD"/>
    <w:rsid w:val="00481BBF"/>
    <w:rsid w:val="00481E51"/>
    <w:rsid w:val="00482382"/>
    <w:rsid w:val="004824BB"/>
    <w:rsid w:val="00482539"/>
    <w:rsid w:val="00482E98"/>
    <w:rsid w:val="00483958"/>
    <w:rsid w:val="0048414D"/>
    <w:rsid w:val="00484170"/>
    <w:rsid w:val="004841D4"/>
    <w:rsid w:val="00484232"/>
    <w:rsid w:val="004842DA"/>
    <w:rsid w:val="00484329"/>
    <w:rsid w:val="0048447B"/>
    <w:rsid w:val="004846B3"/>
    <w:rsid w:val="00484EB7"/>
    <w:rsid w:val="00485322"/>
    <w:rsid w:val="00485477"/>
    <w:rsid w:val="004855DE"/>
    <w:rsid w:val="00485BA6"/>
    <w:rsid w:val="00485BF4"/>
    <w:rsid w:val="00485C87"/>
    <w:rsid w:val="00485D0B"/>
    <w:rsid w:val="00485EE2"/>
    <w:rsid w:val="00486384"/>
    <w:rsid w:val="00486553"/>
    <w:rsid w:val="00486555"/>
    <w:rsid w:val="00486D58"/>
    <w:rsid w:val="00486E06"/>
    <w:rsid w:val="00487150"/>
    <w:rsid w:val="004874A3"/>
    <w:rsid w:val="004874D8"/>
    <w:rsid w:val="00487A65"/>
    <w:rsid w:val="00487D43"/>
    <w:rsid w:val="00487E65"/>
    <w:rsid w:val="00490349"/>
    <w:rsid w:val="00490421"/>
    <w:rsid w:val="0049057B"/>
    <w:rsid w:val="00490A55"/>
    <w:rsid w:val="00490D00"/>
    <w:rsid w:val="00490D5F"/>
    <w:rsid w:val="00490D64"/>
    <w:rsid w:val="00490F9A"/>
    <w:rsid w:val="0049118E"/>
    <w:rsid w:val="004913BE"/>
    <w:rsid w:val="004916C9"/>
    <w:rsid w:val="00491924"/>
    <w:rsid w:val="00491EAB"/>
    <w:rsid w:val="00491EEB"/>
    <w:rsid w:val="00491EF2"/>
    <w:rsid w:val="00491F89"/>
    <w:rsid w:val="004920CC"/>
    <w:rsid w:val="004923F7"/>
    <w:rsid w:val="00492452"/>
    <w:rsid w:val="004924BC"/>
    <w:rsid w:val="004924BD"/>
    <w:rsid w:val="00492A3F"/>
    <w:rsid w:val="00493601"/>
    <w:rsid w:val="0049363D"/>
    <w:rsid w:val="004938BA"/>
    <w:rsid w:val="00493C9E"/>
    <w:rsid w:val="00493F3B"/>
    <w:rsid w:val="00493FA0"/>
    <w:rsid w:val="0049482E"/>
    <w:rsid w:val="004948B3"/>
    <w:rsid w:val="00494A20"/>
    <w:rsid w:val="00495066"/>
    <w:rsid w:val="0049531E"/>
    <w:rsid w:val="00495418"/>
    <w:rsid w:val="00495FD9"/>
    <w:rsid w:val="004965B3"/>
    <w:rsid w:val="004966C1"/>
    <w:rsid w:val="00496DB7"/>
    <w:rsid w:val="00497669"/>
    <w:rsid w:val="004978EE"/>
    <w:rsid w:val="00497920"/>
    <w:rsid w:val="00497CC5"/>
    <w:rsid w:val="004A018C"/>
    <w:rsid w:val="004A04DB"/>
    <w:rsid w:val="004A07AC"/>
    <w:rsid w:val="004A0E96"/>
    <w:rsid w:val="004A12D4"/>
    <w:rsid w:val="004A1C1F"/>
    <w:rsid w:val="004A1D3F"/>
    <w:rsid w:val="004A212A"/>
    <w:rsid w:val="004A22F4"/>
    <w:rsid w:val="004A273E"/>
    <w:rsid w:val="004A289C"/>
    <w:rsid w:val="004A2E68"/>
    <w:rsid w:val="004A2E69"/>
    <w:rsid w:val="004A2FA1"/>
    <w:rsid w:val="004A30A1"/>
    <w:rsid w:val="004A33AC"/>
    <w:rsid w:val="004A3615"/>
    <w:rsid w:val="004A3689"/>
    <w:rsid w:val="004A49D1"/>
    <w:rsid w:val="004A5017"/>
    <w:rsid w:val="004A5124"/>
    <w:rsid w:val="004A515B"/>
    <w:rsid w:val="004A517F"/>
    <w:rsid w:val="004A5482"/>
    <w:rsid w:val="004A5604"/>
    <w:rsid w:val="004A574C"/>
    <w:rsid w:val="004A5AFE"/>
    <w:rsid w:val="004A5E10"/>
    <w:rsid w:val="004A5EE7"/>
    <w:rsid w:val="004A5EE8"/>
    <w:rsid w:val="004A6706"/>
    <w:rsid w:val="004A6A71"/>
    <w:rsid w:val="004A6B29"/>
    <w:rsid w:val="004A6DD9"/>
    <w:rsid w:val="004A6E1D"/>
    <w:rsid w:val="004A7148"/>
    <w:rsid w:val="004A75E4"/>
    <w:rsid w:val="004B0132"/>
    <w:rsid w:val="004B027E"/>
    <w:rsid w:val="004B0611"/>
    <w:rsid w:val="004B07DC"/>
    <w:rsid w:val="004B0950"/>
    <w:rsid w:val="004B0B09"/>
    <w:rsid w:val="004B0B20"/>
    <w:rsid w:val="004B0C6D"/>
    <w:rsid w:val="004B0DCF"/>
    <w:rsid w:val="004B0FDA"/>
    <w:rsid w:val="004B12F0"/>
    <w:rsid w:val="004B1697"/>
    <w:rsid w:val="004B16E3"/>
    <w:rsid w:val="004B173A"/>
    <w:rsid w:val="004B1D16"/>
    <w:rsid w:val="004B1F71"/>
    <w:rsid w:val="004B2265"/>
    <w:rsid w:val="004B22DD"/>
    <w:rsid w:val="004B23CC"/>
    <w:rsid w:val="004B287F"/>
    <w:rsid w:val="004B31FF"/>
    <w:rsid w:val="004B32F1"/>
    <w:rsid w:val="004B344B"/>
    <w:rsid w:val="004B3618"/>
    <w:rsid w:val="004B36D9"/>
    <w:rsid w:val="004B376D"/>
    <w:rsid w:val="004B3D63"/>
    <w:rsid w:val="004B3EA9"/>
    <w:rsid w:val="004B3EE6"/>
    <w:rsid w:val="004B463A"/>
    <w:rsid w:val="004B52E1"/>
    <w:rsid w:val="004B5F8E"/>
    <w:rsid w:val="004B5FEE"/>
    <w:rsid w:val="004B6146"/>
    <w:rsid w:val="004B6299"/>
    <w:rsid w:val="004B6415"/>
    <w:rsid w:val="004B6A42"/>
    <w:rsid w:val="004B6AB7"/>
    <w:rsid w:val="004B6C74"/>
    <w:rsid w:val="004B75DC"/>
    <w:rsid w:val="004B7717"/>
    <w:rsid w:val="004B77ED"/>
    <w:rsid w:val="004B7872"/>
    <w:rsid w:val="004B7CE8"/>
    <w:rsid w:val="004C0A97"/>
    <w:rsid w:val="004C0CC8"/>
    <w:rsid w:val="004C1194"/>
    <w:rsid w:val="004C1438"/>
    <w:rsid w:val="004C155C"/>
    <w:rsid w:val="004C17A6"/>
    <w:rsid w:val="004C1AC7"/>
    <w:rsid w:val="004C1C35"/>
    <w:rsid w:val="004C27BD"/>
    <w:rsid w:val="004C2A24"/>
    <w:rsid w:val="004C2DD2"/>
    <w:rsid w:val="004C317C"/>
    <w:rsid w:val="004C349F"/>
    <w:rsid w:val="004C36D6"/>
    <w:rsid w:val="004C3893"/>
    <w:rsid w:val="004C3EC9"/>
    <w:rsid w:val="004C4075"/>
    <w:rsid w:val="004C4415"/>
    <w:rsid w:val="004C44C6"/>
    <w:rsid w:val="004C4609"/>
    <w:rsid w:val="004C4742"/>
    <w:rsid w:val="004C4933"/>
    <w:rsid w:val="004C4DF0"/>
    <w:rsid w:val="004C52FE"/>
    <w:rsid w:val="004C5B2B"/>
    <w:rsid w:val="004C5BEA"/>
    <w:rsid w:val="004C60BD"/>
    <w:rsid w:val="004C6197"/>
    <w:rsid w:val="004C6280"/>
    <w:rsid w:val="004C6511"/>
    <w:rsid w:val="004C705A"/>
    <w:rsid w:val="004C7229"/>
    <w:rsid w:val="004C74A4"/>
    <w:rsid w:val="004C7820"/>
    <w:rsid w:val="004C7CE2"/>
    <w:rsid w:val="004C7D73"/>
    <w:rsid w:val="004D003D"/>
    <w:rsid w:val="004D0044"/>
    <w:rsid w:val="004D01A5"/>
    <w:rsid w:val="004D01EC"/>
    <w:rsid w:val="004D0363"/>
    <w:rsid w:val="004D08F4"/>
    <w:rsid w:val="004D0AA7"/>
    <w:rsid w:val="004D0F20"/>
    <w:rsid w:val="004D13B5"/>
    <w:rsid w:val="004D13E7"/>
    <w:rsid w:val="004D1733"/>
    <w:rsid w:val="004D1BE9"/>
    <w:rsid w:val="004D20BA"/>
    <w:rsid w:val="004D215C"/>
    <w:rsid w:val="004D242A"/>
    <w:rsid w:val="004D27EA"/>
    <w:rsid w:val="004D3559"/>
    <w:rsid w:val="004D38A3"/>
    <w:rsid w:val="004D39CE"/>
    <w:rsid w:val="004D3F8B"/>
    <w:rsid w:val="004D4A74"/>
    <w:rsid w:val="004D4AD8"/>
    <w:rsid w:val="004D4ADD"/>
    <w:rsid w:val="004D4E0A"/>
    <w:rsid w:val="004D4F17"/>
    <w:rsid w:val="004D59CE"/>
    <w:rsid w:val="004D5A88"/>
    <w:rsid w:val="004D5CF0"/>
    <w:rsid w:val="004D607D"/>
    <w:rsid w:val="004D62D4"/>
    <w:rsid w:val="004D62F2"/>
    <w:rsid w:val="004D686A"/>
    <w:rsid w:val="004D7565"/>
    <w:rsid w:val="004D7805"/>
    <w:rsid w:val="004D7E9E"/>
    <w:rsid w:val="004E06A0"/>
    <w:rsid w:val="004E0A90"/>
    <w:rsid w:val="004E11F4"/>
    <w:rsid w:val="004E1464"/>
    <w:rsid w:val="004E1B62"/>
    <w:rsid w:val="004E205D"/>
    <w:rsid w:val="004E20B2"/>
    <w:rsid w:val="004E2E1C"/>
    <w:rsid w:val="004E30C2"/>
    <w:rsid w:val="004E30E4"/>
    <w:rsid w:val="004E3575"/>
    <w:rsid w:val="004E4167"/>
    <w:rsid w:val="004E42CA"/>
    <w:rsid w:val="004E4586"/>
    <w:rsid w:val="004E4590"/>
    <w:rsid w:val="004E4CC8"/>
    <w:rsid w:val="004E4ECE"/>
    <w:rsid w:val="004E525D"/>
    <w:rsid w:val="004E53F7"/>
    <w:rsid w:val="004E58F2"/>
    <w:rsid w:val="004E58FA"/>
    <w:rsid w:val="004E59EE"/>
    <w:rsid w:val="004E5EAE"/>
    <w:rsid w:val="004E601F"/>
    <w:rsid w:val="004E6B08"/>
    <w:rsid w:val="004E6CFA"/>
    <w:rsid w:val="004E6E8A"/>
    <w:rsid w:val="004E7075"/>
    <w:rsid w:val="004E70D8"/>
    <w:rsid w:val="004E72C2"/>
    <w:rsid w:val="004E7337"/>
    <w:rsid w:val="004E7768"/>
    <w:rsid w:val="004E7793"/>
    <w:rsid w:val="004E77CE"/>
    <w:rsid w:val="004E7F5A"/>
    <w:rsid w:val="004F00F9"/>
    <w:rsid w:val="004F01BF"/>
    <w:rsid w:val="004F03E8"/>
    <w:rsid w:val="004F03F0"/>
    <w:rsid w:val="004F044D"/>
    <w:rsid w:val="004F099A"/>
    <w:rsid w:val="004F09B3"/>
    <w:rsid w:val="004F0AA0"/>
    <w:rsid w:val="004F103F"/>
    <w:rsid w:val="004F1059"/>
    <w:rsid w:val="004F1839"/>
    <w:rsid w:val="004F19D2"/>
    <w:rsid w:val="004F1A97"/>
    <w:rsid w:val="004F1D61"/>
    <w:rsid w:val="004F1E21"/>
    <w:rsid w:val="004F1ED6"/>
    <w:rsid w:val="004F1F7B"/>
    <w:rsid w:val="004F2120"/>
    <w:rsid w:val="004F228A"/>
    <w:rsid w:val="004F22E9"/>
    <w:rsid w:val="004F24B0"/>
    <w:rsid w:val="004F2739"/>
    <w:rsid w:val="004F2746"/>
    <w:rsid w:val="004F28E7"/>
    <w:rsid w:val="004F2DCA"/>
    <w:rsid w:val="004F32A6"/>
    <w:rsid w:val="004F33BA"/>
    <w:rsid w:val="004F3476"/>
    <w:rsid w:val="004F3D20"/>
    <w:rsid w:val="004F4325"/>
    <w:rsid w:val="004F4426"/>
    <w:rsid w:val="004F4461"/>
    <w:rsid w:val="004F460E"/>
    <w:rsid w:val="004F4692"/>
    <w:rsid w:val="004F4882"/>
    <w:rsid w:val="004F4BB9"/>
    <w:rsid w:val="004F4BCA"/>
    <w:rsid w:val="004F5601"/>
    <w:rsid w:val="004F5771"/>
    <w:rsid w:val="004F5D22"/>
    <w:rsid w:val="004F63B9"/>
    <w:rsid w:val="004F6F19"/>
    <w:rsid w:val="004F6F2C"/>
    <w:rsid w:val="004F7506"/>
    <w:rsid w:val="004F75DD"/>
    <w:rsid w:val="004F762E"/>
    <w:rsid w:val="004F7785"/>
    <w:rsid w:val="004F79C5"/>
    <w:rsid w:val="004F7E8C"/>
    <w:rsid w:val="00500015"/>
    <w:rsid w:val="00500371"/>
    <w:rsid w:val="005004BC"/>
    <w:rsid w:val="00500731"/>
    <w:rsid w:val="00500AA8"/>
    <w:rsid w:val="0050100A"/>
    <w:rsid w:val="0050111B"/>
    <w:rsid w:val="0050147E"/>
    <w:rsid w:val="00501ADF"/>
    <w:rsid w:val="005020CB"/>
    <w:rsid w:val="00502A55"/>
    <w:rsid w:val="00502CFF"/>
    <w:rsid w:val="005032D1"/>
    <w:rsid w:val="00503717"/>
    <w:rsid w:val="005038DB"/>
    <w:rsid w:val="00503BD4"/>
    <w:rsid w:val="00504073"/>
    <w:rsid w:val="00504431"/>
    <w:rsid w:val="00505034"/>
    <w:rsid w:val="0050560E"/>
    <w:rsid w:val="00505676"/>
    <w:rsid w:val="005056EA"/>
    <w:rsid w:val="0050574E"/>
    <w:rsid w:val="005065EB"/>
    <w:rsid w:val="00506D26"/>
    <w:rsid w:val="00507656"/>
    <w:rsid w:val="00507B19"/>
    <w:rsid w:val="00507C25"/>
    <w:rsid w:val="00507CD6"/>
    <w:rsid w:val="00507FA9"/>
    <w:rsid w:val="00510126"/>
    <w:rsid w:val="00510345"/>
    <w:rsid w:val="0051060F"/>
    <w:rsid w:val="0051064D"/>
    <w:rsid w:val="0051093E"/>
    <w:rsid w:val="00510ABD"/>
    <w:rsid w:val="00510D12"/>
    <w:rsid w:val="00510D28"/>
    <w:rsid w:val="00511253"/>
    <w:rsid w:val="005113D0"/>
    <w:rsid w:val="00511A39"/>
    <w:rsid w:val="00511BAD"/>
    <w:rsid w:val="00511D9E"/>
    <w:rsid w:val="00512862"/>
    <w:rsid w:val="00512BF0"/>
    <w:rsid w:val="00512F23"/>
    <w:rsid w:val="00512FEA"/>
    <w:rsid w:val="005132E4"/>
    <w:rsid w:val="005135F0"/>
    <w:rsid w:val="005140E8"/>
    <w:rsid w:val="005142CF"/>
    <w:rsid w:val="005145A9"/>
    <w:rsid w:val="00514690"/>
    <w:rsid w:val="005147A0"/>
    <w:rsid w:val="0051543B"/>
    <w:rsid w:val="0051676F"/>
    <w:rsid w:val="00516B21"/>
    <w:rsid w:val="00516C28"/>
    <w:rsid w:val="00516E41"/>
    <w:rsid w:val="00517090"/>
    <w:rsid w:val="00517420"/>
    <w:rsid w:val="00517A78"/>
    <w:rsid w:val="00517C8C"/>
    <w:rsid w:val="005201F1"/>
    <w:rsid w:val="0052035E"/>
    <w:rsid w:val="00522480"/>
    <w:rsid w:val="005228AC"/>
    <w:rsid w:val="00522A41"/>
    <w:rsid w:val="00522D61"/>
    <w:rsid w:val="00522EA4"/>
    <w:rsid w:val="00523B78"/>
    <w:rsid w:val="00523C2E"/>
    <w:rsid w:val="00523F9C"/>
    <w:rsid w:val="005244D9"/>
    <w:rsid w:val="005245DF"/>
    <w:rsid w:val="005255F3"/>
    <w:rsid w:val="0052562F"/>
    <w:rsid w:val="005256BD"/>
    <w:rsid w:val="00525B67"/>
    <w:rsid w:val="00526292"/>
    <w:rsid w:val="005263DF"/>
    <w:rsid w:val="005264A7"/>
    <w:rsid w:val="00526C46"/>
    <w:rsid w:val="00527249"/>
    <w:rsid w:val="00527B73"/>
    <w:rsid w:val="00527CA8"/>
    <w:rsid w:val="0053028B"/>
    <w:rsid w:val="00530E0B"/>
    <w:rsid w:val="005312F9"/>
    <w:rsid w:val="0053135F"/>
    <w:rsid w:val="005315F9"/>
    <w:rsid w:val="0053175F"/>
    <w:rsid w:val="00531E7A"/>
    <w:rsid w:val="00532729"/>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AAC"/>
    <w:rsid w:val="00536CE9"/>
    <w:rsid w:val="00536E44"/>
    <w:rsid w:val="00536E81"/>
    <w:rsid w:val="00536EAF"/>
    <w:rsid w:val="0053737B"/>
    <w:rsid w:val="00540129"/>
    <w:rsid w:val="00540515"/>
    <w:rsid w:val="00540522"/>
    <w:rsid w:val="0054080A"/>
    <w:rsid w:val="00540987"/>
    <w:rsid w:val="00540A1F"/>
    <w:rsid w:val="00541199"/>
    <w:rsid w:val="005411E7"/>
    <w:rsid w:val="0054145F"/>
    <w:rsid w:val="00541913"/>
    <w:rsid w:val="00541A01"/>
    <w:rsid w:val="00541C7E"/>
    <w:rsid w:val="005423E8"/>
    <w:rsid w:val="005426EE"/>
    <w:rsid w:val="00542A98"/>
    <w:rsid w:val="00543323"/>
    <w:rsid w:val="00543473"/>
    <w:rsid w:val="00543ACD"/>
    <w:rsid w:val="00543C36"/>
    <w:rsid w:val="00543CFA"/>
    <w:rsid w:val="00543FB9"/>
    <w:rsid w:val="0054418D"/>
    <w:rsid w:val="005445CE"/>
    <w:rsid w:val="005447EB"/>
    <w:rsid w:val="00544A05"/>
    <w:rsid w:val="00544A19"/>
    <w:rsid w:val="00544CB7"/>
    <w:rsid w:val="0054503F"/>
    <w:rsid w:val="0054509B"/>
    <w:rsid w:val="0054517F"/>
    <w:rsid w:val="005454AC"/>
    <w:rsid w:val="00545581"/>
    <w:rsid w:val="00545CC4"/>
    <w:rsid w:val="00545D72"/>
    <w:rsid w:val="00545E4C"/>
    <w:rsid w:val="0054624C"/>
    <w:rsid w:val="005466D7"/>
    <w:rsid w:val="0054671A"/>
    <w:rsid w:val="00546856"/>
    <w:rsid w:val="00546A01"/>
    <w:rsid w:val="00546A62"/>
    <w:rsid w:val="00546BAE"/>
    <w:rsid w:val="00546D54"/>
    <w:rsid w:val="0054731D"/>
    <w:rsid w:val="005474B5"/>
    <w:rsid w:val="00547899"/>
    <w:rsid w:val="00547A1F"/>
    <w:rsid w:val="00547C86"/>
    <w:rsid w:val="00547DF8"/>
    <w:rsid w:val="00550163"/>
    <w:rsid w:val="005505B9"/>
    <w:rsid w:val="005508C6"/>
    <w:rsid w:val="00550AFD"/>
    <w:rsid w:val="00550CA7"/>
    <w:rsid w:val="00550FCE"/>
    <w:rsid w:val="005516C9"/>
    <w:rsid w:val="00551952"/>
    <w:rsid w:val="00551A04"/>
    <w:rsid w:val="00551FE5"/>
    <w:rsid w:val="00552387"/>
    <w:rsid w:val="00552487"/>
    <w:rsid w:val="00552592"/>
    <w:rsid w:val="00552A43"/>
    <w:rsid w:val="00552AAB"/>
    <w:rsid w:val="00552EEB"/>
    <w:rsid w:val="00553810"/>
    <w:rsid w:val="00553829"/>
    <w:rsid w:val="005538FA"/>
    <w:rsid w:val="00553A7E"/>
    <w:rsid w:val="005542D5"/>
    <w:rsid w:val="005545A3"/>
    <w:rsid w:val="00554B2F"/>
    <w:rsid w:val="00555203"/>
    <w:rsid w:val="0055521F"/>
    <w:rsid w:val="0055537E"/>
    <w:rsid w:val="0055548D"/>
    <w:rsid w:val="00555542"/>
    <w:rsid w:val="00555C48"/>
    <w:rsid w:val="00555D2A"/>
    <w:rsid w:val="00555D6D"/>
    <w:rsid w:val="005561BD"/>
    <w:rsid w:val="005563A5"/>
    <w:rsid w:val="005568D0"/>
    <w:rsid w:val="00556E1F"/>
    <w:rsid w:val="005571ED"/>
    <w:rsid w:val="0055730A"/>
    <w:rsid w:val="005573CA"/>
    <w:rsid w:val="00557B0E"/>
    <w:rsid w:val="005604A6"/>
    <w:rsid w:val="005604B8"/>
    <w:rsid w:val="005604E8"/>
    <w:rsid w:val="00560CC1"/>
    <w:rsid w:val="0056112F"/>
    <w:rsid w:val="0056126C"/>
    <w:rsid w:val="0056127A"/>
    <w:rsid w:val="005614C1"/>
    <w:rsid w:val="00561B6F"/>
    <w:rsid w:val="0056200D"/>
    <w:rsid w:val="005623CE"/>
    <w:rsid w:val="005631E0"/>
    <w:rsid w:val="00563230"/>
    <w:rsid w:val="00563267"/>
    <w:rsid w:val="005634EE"/>
    <w:rsid w:val="0056355B"/>
    <w:rsid w:val="005635F1"/>
    <w:rsid w:val="005646D1"/>
    <w:rsid w:val="00564890"/>
    <w:rsid w:val="005649E5"/>
    <w:rsid w:val="00564CED"/>
    <w:rsid w:val="005650B9"/>
    <w:rsid w:val="0056569C"/>
    <w:rsid w:val="00565E59"/>
    <w:rsid w:val="00565EBC"/>
    <w:rsid w:val="00566267"/>
    <w:rsid w:val="0056628A"/>
    <w:rsid w:val="005662F4"/>
    <w:rsid w:val="00566566"/>
    <w:rsid w:val="00566696"/>
    <w:rsid w:val="00566E90"/>
    <w:rsid w:val="00566FAF"/>
    <w:rsid w:val="005670E2"/>
    <w:rsid w:val="0056735A"/>
    <w:rsid w:val="0056783F"/>
    <w:rsid w:val="005704AB"/>
    <w:rsid w:val="0057078F"/>
    <w:rsid w:val="005708AA"/>
    <w:rsid w:val="005708AD"/>
    <w:rsid w:val="005709B5"/>
    <w:rsid w:val="00570A9E"/>
    <w:rsid w:val="00570D58"/>
    <w:rsid w:val="005711E2"/>
    <w:rsid w:val="0057124B"/>
    <w:rsid w:val="005714B2"/>
    <w:rsid w:val="00571632"/>
    <w:rsid w:val="00571662"/>
    <w:rsid w:val="005719FB"/>
    <w:rsid w:val="00571C19"/>
    <w:rsid w:val="00571C1E"/>
    <w:rsid w:val="005721EA"/>
    <w:rsid w:val="0057327E"/>
    <w:rsid w:val="00573396"/>
    <w:rsid w:val="00573776"/>
    <w:rsid w:val="00573B96"/>
    <w:rsid w:val="0057404A"/>
    <w:rsid w:val="00574124"/>
    <w:rsid w:val="00574242"/>
    <w:rsid w:val="00574353"/>
    <w:rsid w:val="005746A2"/>
    <w:rsid w:val="0057471E"/>
    <w:rsid w:val="00574DE8"/>
    <w:rsid w:val="005753E5"/>
    <w:rsid w:val="0057592F"/>
    <w:rsid w:val="00576065"/>
    <w:rsid w:val="00576132"/>
    <w:rsid w:val="00576557"/>
    <w:rsid w:val="00577024"/>
    <w:rsid w:val="0057739D"/>
    <w:rsid w:val="0057796F"/>
    <w:rsid w:val="00577A8E"/>
    <w:rsid w:val="005803E6"/>
    <w:rsid w:val="00580479"/>
    <w:rsid w:val="005807BA"/>
    <w:rsid w:val="00580CE9"/>
    <w:rsid w:val="0058124A"/>
    <w:rsid w:val="0058132D"/>
    <w:rsid w:val="00581772"/>
    <w:rsid w:val="005830DE"/>
    <w:rsid w:val="00583234"/>
    <w:rsid w:val="00583DA8"/>
    <w:rsid w:val="005845FD"/>
    <w:rsid w:val="00584787"/>
    <w:rsid w:val="00584CDC"/>
    <w:rsid w:val="00585CDB"/>
    <w:rsid w:val="00585D6D"/>
    <w:rsid w:val="00585F9F"/>
    <w:rsid w:val="005863E9"/>
    <w:rsid w:val="0058650E"/>
    <w:rsid w:val="005867D6"/>
    <w:rsid w:val="00586962"/>
    <w:rsid w:val="00586A6A"/>
    <w:rsid w:val="00586DB2"/>
    <w:rsid w:val="0058735E"/>
    <w:rsid w:val="005874FB"/>
    <w:rsid w:val="0058765E"/>
    <w:rsid w:val="00587B01"/>
    <w:rsid w:val="00587CA4"/>
    <w:rsid w:val="00587E09"/>
    <w:rsid w:val="00587EBE"/>
    <w:rsid w:val="005901D4"/>
    <w:rsid w:val="00590201"/>
    <w:rsid w:val="00590707"/>
    <w:rsid w:val="00590A2E"/>
    <w:rsid w:val="00590C5D"/>
    <w:rsid w:val="00590CD5"/>
    <w:rsid w:val="005911A1"/>
    <w:rsid w:val="005917A8"/>
    <w:rsid w:val="00591F02"/>
    <w:rsid w:val="0059232C"/>
    <w:rsid w:val="00592628"/>
    <w:rsid w:val="00592D01"/>
    <w:rsid w:val="005930BC"/>
    <w:rsid w:val="005932E5"/>
    <w:rsid w:val="00593350"/>
    <w:rsid w:val="0059369D"/>
    <w:rsid w:val="00593A8E"/>
    <w:rsid w:val="00593C81"/>
    <w:rsid w:val="00593DE5"/>
    <w:rsid w:val="00593F42"/>
    <w:rsid w:val="00594118"/>
    <w:rsid w:val="00594857"/>
    <w:rsid w:val="00594CA5"/>
    <w:rsid w:val="005954CD"/>
    <w:rsid w:val="005958A8"/>
    <w:rsid w:val="00595B35"/>
    <w:rsid w:val="005961BD"/>
    <w:rsid w:val="00596399"/>
    <w:rsid w:val="00596718"/>
    <w:rsid w:val="00596826"/>
    <w:rsid w:val="00596958"/>
    <w:rsid w:val="00596999"/>
    <w:rsid w:val="00596A60"/>
    <w:rsid w:val="00596BD3"/>
    <w:rsid w:val="005970DE"/>
    <w:rsid w:val="005970E2"/>
    <w:rsid w:val="00597978"/>
    <w:rsid w:val="00597A2D"/>
    <w:rsid w:val="005A04B9"/>
    <w:rsid w:val="005A050F"/>
    <w:rsid w:val="005A076D"/>
    <w:rsid w:val="005A08FE"/>
    <w:rsid w:val="005A0B0D"/>
    <w:rsid w:val="005A1540"/>
    <w:rsid w:val="005A1911"/>
    <w:rsid w:val="005A1A8A"/>
    <w:rsid w:val="005A1FE8"/>
    <w:rsid w:val="005A21EB"/>
    <w:rsid w:val="005A2354"/>
    <w:rsid w:val="005A2632"/>
    <w:rsid w:val="005A267E"/>
    <w:rsid w:val="005A296C"/>
    <w:rsid w:val="005A3063"/>
    <w:rsid w:val="005A3517"/>
    <w:rsid w:val="005A392D"/>
    <w:rsid w:val="005A3B12"/>
    <w:rsid w:val="005A3B55"/>
    <w:rsid w:val="005A3B72"/>
    <w:rsid w:val="005A3F20"/>
    <w:rsid w:val="005A41F0"/>
    <w:rsid w:val="005A4202"/>
    <w:rsid w:val="005A42ED"/>
    <w:rsid w:val="005A491A"/>
    <w:rsid w:val="005A5798"/>
    <w:rsid w:val="005A5940"/>
    <w:rsid w:val="005A598C"/>
    <w:rsid w:val="005A5998"/>
    <w:rsid w:val="005A5A4B"/>
    <w:rsid w:val="005A5F32"/>
    <w:rsid w:val="005A6356"/>
    <w:rsid w:val="005A6493"/>
    <w:rsid w:val="005A64D4"/>
    <w:rsid w:val="005A65ED"/>
    <w:rsid w:val="005A66D2"/>
    <w:rsid w:val="005A6B13"/>
    <w:rsid w:val="005A6D9C"/>
    <w:rsid w:val="005A7722"/>
    <w:rsid w:val="005A7A82"/>
    <w:rsid w:val="005A7F59"/>
    <w:rsid w:val="005B012E"/>
    <w:rsid w:val="005B01DD"/>
    <w:rsid w:val="005B0283"/>
    <w:rsid w:val="005B0506"/>
    <w:rsid w:val="005B0DC7"/>
    <w:rsid w:val="005B0F50"/>
    <w:rsid w:val="005B0FE8"/>
    <w:rsid w:val="005B11DD"/>
    <w:rsid w:val="005B131D"/>
    <w:rsid w:val="005B19F2"/>
    <w:rsid w:val="005B1A1E"/>
    <w:rsid w:val="005B1C58"/>
    <w:rsid w:val="005B1D91"/>
    <w:rsid w:val="005B2678"/>
    <w:rsid w:val="005B2C78"/>
    <w:rsid w:val="005B2D1B"/>
    <w:rsid w:val="005B35FB"/>
    <w:rsid w:val="005B36DB"/>
    <w:rsid w:val="005B3792"/>
    <w:rsid w:val="005B37E4"/>
    <w:rsid w:val="005B3F58"/>
    <w:rsid w:val="005B414A"/>
    <w:rsid w:val="005B4153"/>
    <w:rsid w:val="005B4303"/>
    <w:rsid w:val="005B4611"/>
    <w:rsid w:val="005B4D0C"/>
    <w:rsid w:val="005B5483"/>
    <w:rsid w:val="005B5904"/>
    <w:rsid w:val="005B59E6"/>
    <w:rsid w:val="005B5AA3"/>
    <w:rsid w:val="005B5B54"/>
    <w:rsid w:val="005B5D55"/>
    <w:rsid w:val="005B5F03"/>
    <w:rsid w:val="005B6B0F"/>
    <w:rsid w:val="005B6EE0"/>
    <w:rsid w:val="005B73C1"/>
    <w:rsid w:val="005B7509"/>
    <w:rsid w:val="005B752C"/>
    <w:rsid w:val="005C014C"/>
    <w:rsid w:val="005C037F"/>
    <w:rsid w:val="005C04B5"/>
    <w:rsid w:val="005C065C"/>
    <w:rsid w:val="005C0CFF"/>
    <w:rsid w:val="005C0ECE"/>
    <w:rsid w:val="005C1258"/>
    <w:rsid w:val="005C1694"/>
    <w:rsid w:val="005C1859"/>
    <w:rsid w:val="005C189F"/>
    <w:rsid w:val="005C19AF"/>
    <w:rsid w:val="005C1AD2"/>
    <w:rsid w:val="005C1C2E"/>
    <w:rsid w:val="005C240B"/>
    <w:rsid w:val="005C2775"/>
    <w:rsid w:val="005C2CB3"/>
    <w:rsid w:val="005C2F2F"/>
    <w:rsid w:val="005C35A3"/>
    <w:rsid w:val="005C35CF"/>
    <w:rsid w:val="005C39C0"/>
    <w:rsid w:val="005C3C80"/>
    <w:rsid w:val="005C3F62"/>
    <w:rsid w:val="005C3F79"/>
    <w:rsid w:val="005C417E"/>
    <w:rsid w:val="005C4200"/>
    <w:rsid w:val="005C42A5"/>
    <w:rsid w:val="005C4BB1"/>
    <w:rsid w:val="005C4C76"/>
    <w:rsid w:val="005C4CBD"/>
    <w:rsid w:val="005C4DA4"/>
    <w:rsid w:val="005C4FED"/>
    <w:rsid w:val="005C522B"/>
    <w:rsid w:val="005C52B9"/>
    <w:rsid w:val="005C5663"/>
    <w:rsid w:val="005C5799"/>
    <w:rsid w:val="005C57E4"/>
    <w:rsid w:val="005C59BA"/>
    <w:rsid w:val="005C5C98"/>
    <w:rsid w:val="005C6160"/>
    <w:rsid w:val="005C6367"/>
    <w:rsid w:val="005C6733"/>
    <w:rsid w:val="005C6BAB"/>
    <w:rsid w:val="005C6D58"/>
    <w:rsid w:val="005C7670"/>
    <w:rsid w:val="005C7D50"/>
    <w:rsid w:val="005C7E11"/>
    <w:rsid w:val="005C7F78"/>
    <w:rsid w:val="005D00C0"/>
    <w:rsid w:val="005D086C"/>
    <w:rsid w:val="005D0B7D"/>
    <w:rsid w:val="005D0B9F"/>
    <w:rsid w:val="005D13BE"/>
    <w:rsid w:val="005D1724"/>
    <w:rsid w:val="005D1B5C"/>
    <w:rsid w:val="005D1B64"/>
    <w:rsid w:val="005D1C86"/>
    <w:rsid w:val="005D1E53"/>
    <w:rsid w:val="005D21C0"/>
    <w:rsid w:val="005D244F"/>
    <w:rsid w:val="005D2FF1"/>
    <w:rsid w:val="005D3666"/>
    <w:rsid w:val="005D3A29"/>
    <w:rsid w:val="005D3C15"/>
    <w:rsid w:val="005D3EAD"/>
    <w:rsid w:val="005D40DC"/>
    <w:rsid w:val="005D455E"/>
    <w:rsid w:val="005D4670"/>
    <w:rsid w:val="005D49A4"/>
    <w:rsid w:val="005D50BB"/>
    <w:rsid w:val="005D5187"/>
    <w:rsid w:val="005D518B"/>
    <w:rsid w:val="005D537B"/>
    <w:rsid w:val="005D57A4"/>
    <w:rsid w:val="005D5A63"/>
    <w:rsid w:val="005D5C2D"/>
    <w:rsid w:val="005D5EAE"/>
    <w:rsid w:val="005D6074"/>
    <w:rsid w:val="005D664C"/>
    <w:rsid w:val="005D694F"/>
    <w:rsid w:val="005D696F"/>
    <w:rsid w:val="005D6E0A"/>
    <w:rsid w:val="005D6FAA"/>
    <w:rsid w:val="005D704B"/>
    <w:rsid w:val="005D70ED"/>
    <w:rsid w:val="005D74EE"/>
    <w:rsid w:val="005D7B06"/>
    <w:rsid w:val="005D7EF3"/>
    <w:rsid w:val="005E0480"/>
    <w:rsid w:val="005E0644"/>
    <w:rsid w:val="005E0A52"/>
    <w:rsid w:val="005E0A90"/>
    <w:rsid w:val="005E0EDB"/>
    <w:rsid w:val="005E0FCB"/>
    <w:rsid w:val="005E110F"/>
    <w:rsid w:val="005E13C5"/>
    <w:rsid w:val="005E17CE"/>
    <w:rsid w:val="005E188F"/>
    <w:rsid w:val="005E1B4E"/>
    <w:rsid w:val="005E243F"/>
    <w:rsid w:val="005E24D5"/>
    <w:rsid w:val="005E24E7"/>
    <w:rsid w:val="005E2623"/>
    <w:rsid w:val="005E2BEA"/>
    <w:rsid w:val="005E2EFA"/>
    <w:rsid w:val="005E3508"/>
    <w:rsid w:val="005E3680"/>
    <w:rsid w:val="005E3930"/>
    <w:rsid w:val="005E3A16"/>
    <w:rsid w:val="005E3F04"/>
    <w:rsid w:val="005E4144"/>
    <w:rsid w:val="005E438F"/>
    <w:rsid w:val="005E454F"/>
    <w:rsid w:val="005E4866"/>
    <w:rsid w:val="005E4BA4"/>
    <w:rsid w:val="005E5118"/>
    <w:rsid w:val="005E5149"/>
    <w:rsid w:val="005E5192"/>
    <w:rsid w:val="005E62DF"/>
    <w:rsid w:val="005E69F5"/>
    <w:rsid w:val="005E6A21"/>
    <w:rsid w:val="005E6C6D"/>
    <w:rsid w:val="005E6DAD"/>
    <w:rsid w:val="005E732F"/>
    <w:rsid w:val="005E74D7"/>
    <w:rsid w:val="005E758C"/>
    <w:rsid w:val="005E7894"/>
    <w:rsid w:val="005E79C6"/>
    <w:rsid w:val="005F0031"/>
    <w:rsid w:val="005F02F0"/>
    <w:rsid w:val="005F0454"/>
    <w:rsid w:val="005F0693"/>
    <w:rsid w:val="005F0709"/>
    <w:rsid w:val="005F07BF"/>
    <w:rsid w:val="005F081C"/>
    <w:rsid w:val="005F0A5B"/>
    <w:rsid w:val="005F0C2C"/>
    <w:rsid w:val="005F0D3B"/>
    <w:rsid w:val="005F0DA3"/>
    <w:rsid w:val="005F0DAA"/>
    <w:rsid w:val="005F1101"/>
    <w:rsid w:val="005F1237"/>
    <w:rsid w:val="005F1A8E"/>
    <w:rsid w:val="005F1B34"/>
    <w:rsid w:val="005F2E64"/>
    <w:rsid w:val="005F2EF7"/>
    <w:rsid w:val="005F309B"/>
    <w:rsid w:val="005F34A8"/>
    <w:rsid w:val="005F39FE"/>
    <w:rsid w:val="005F3A0E"/>
    <w:rsid w:val="005F3BA5"/>
    <w:rsid w:val="005F3CDC"/>
    <w:rsid w:val="005F3E1E"/>
    <w:rsid w:val="005F4497"/>
    <w:rsid w:val="005F44FD"/>
    <w:rsid w:val="005F453B"/>
    <w:rsid w:val="005F4A72"/>
    <w:rsid w:val="005F4CBF"/>
    <w:rsid w:val="005F505A"/>
    <w:rsid w:val="005F572A"/>
    <w:rsid w:val="005F5CCB"/>
    <w:rsid w:val="005F5E2B"/>
    <w:rsid w:val="005F5F24"/>
    <w:rsid w:val="005F63F2"/>
    <w:rsid w:val="005F641C"/>
    <w:rsid w:val="005F6436"/>
    <w:rsid w:val="005F6568"/>
    <w:rsid w:val="005F6BEF"/>
    <w:rsid w:val="005F6C43"/>
    <w:rsid w:val="005F6E1A"/>
    <w:rsid w:val="005F711B"/>
    <w:rsid w:val="005F720D"/>
    <w:rsid w:val="005F73AB"/>
    <w:rsid w:val="005F784F"/>
    <w:rsid w:val="005F7AF1"/>
    <w:rsid w:val="005F7E54"/>
    <w:rsid w:val="005F7F62"/>
    <w:rsid w:val="005F7FCE"/>
    <w:rsid w:val="00600604"/>
    <w:rsid w:val="006006C6"/>
    <w:rsid w:val="00600993"/>
    <w:rsid w:val="00600D24"/>
    <w:rsid w:val="00600E12"/>
    <w:rsid w:val="00601311"/>
    <w:rsid w:val="006014E0"/>
    <w:rsid w:val="0060177C"/>
    <w:rsid w:val="006017F9"/>
    <w:rsid w:val="00601955"/>
    <w:rsid w:val="00601BCE"/>
    <w:rsid w:val="006024F7"/>
    <w:rsid w:val="00602C94"/>
    <w:rsid w:val="00603048"/>
    <w:rsid w:val="006030FD"/>
    <w:rsid w:val="00603116"/>
    <w:rsid w:val="00603278"/>
    <w:rsid w:val="0060348F"/>
    <w:rsid w:val="00603514"/>
    <w:rsid w:val="0060380C"/>
    <w:rsid w:val="00603E1C"/>
    <w:rsid w:val="006040A0"/>
    <w:rsid w:val="006042D8"/>
    <w:rsid w:val="00604442"/>
    <w:rsid w:val="00604B5E"/>
    <w:rsid w:val="00604D3F"/>
    <w:rsid w:val="00604FC0"/>
    <w:rsid w:val="00605107"/>
    <w:rsid w:val="006058FA"/>
    <w:rsid w:val="00605B19"/>
    <w:rsid w:val="00605B9F"/>
    <w:rsid w:val="00605C9B"/>
    <w:rsid w:val="00605EF3"/>
    <w:rsid w:val="00606309"/>
    <w:rsid w:val="0060671F"/>
    <w:rsid w:val="006069DA"/>
    <w:rsid w:val="00606BEC"/>
    <w:rsid w:val="00606D2D"/>
    <w:rsid w:val="00607347"/>
    <w:rsid w:val="00607721"/>
    <w:rsid w:val="0060787B"/>
    <w:rsid w:val="00607BD2"/>
    <w:rsid w:val="006100DA"/>
    <w:rsid w:val="00610532"/>
    <w:rsid w:val="006105D3"/>
    <w:rsid w:val="006105D6"/>
    <w:rsid w:val="00610C3B"/>
    <w:rsid w:val="00610F5E"/>
    <w:rsid w:val="006117E3"/>
    <w:rsid w:val="0061190D"/>
    <w:rsid w:val="00611CE2"/>
    <w:rsid w:val="0061200D"/>
    <w:rsid w:val="006121ED"/>
    <w:rsid w:val="0061279E"/>
    <w:rsid w:val="00612825"/>
    <w:rsid w:val="00612978"/>
    <w:rsid w:val="00612FC2"/>
    <w:rsid w:val="00613210"/>
    <w:rsid w:val="0061335F"/>
    <w:rsid w:val="006133A7"/>
    <w:rsid w:val="0061357D"/>
    <w:rsid w:val="006137AC"/>
    <w:rsid w:val="00613D84"/>
    <w:rsid w:val="00613DF2"/>
    <w:rsid w:val="006145AF"/>
    <w:rsid w:val="006147BA"/>
    <w:rsid w:val="006149BB"/>
    <w:rsid w:val="00614AE1"/>
    <w:rsid w:val="00615012"/>
    <w:rsid w:val="00615255"/>
    <w:rsid w:val="00615430"/>
    <w:rsid w:val="00615542"/>
    <w:rsid w:val="00615796"/>
    <w:rsid w:val="006158A7"/>
    <w:rsid w:val="006158D6"/>
    <w:rsid w:val="0061590B"/>
    <w:rsid w:val="00615D1B"/>
    <w:rsid w:val="006160C7"/>
    <w:rsid w:val="006163AC"/>
    <w:rsid w:val="00616A26"/>
    <w:rsid w:val="00616B9B"/>
    <w:rsid w:val="00616C00"/>
    <w:rsid w:val="00616DB8"/>
    <w:rsid w:val="00616E46"/>
    <w:rsid w:val="00616E83"/>
    <w:rsid w:val="00616F5C"/>
    <w:rsid w:val="006170FA"/>
    <w:rsid w:val="00617A23"/>
    <w:rsid w:val="00617A8A"/>
    <w:rsid w:val="00617BDF"/>
    <w:rsid w:val="00617DCB"/>
    <w:rsid w:val="0062003B"/>
    <w:rsid w:val="00620C5E"/>
    <w:rsid w:val="00620E13"/>
    <w:rsid w:val="006212BA"/>
    <w:rsid w:val="006214E2"/>
    <w:rsid w:val="00621531"/>
    <w:rsid w:val="00621C61"/>
    <w:rsid w:val="00621ED0"/>
    <w:rsid w:val="00622159"/>
    <w:rsid w:val="0062221F"/>
    <w:rsid w:val="0062254F"/>
    <w:rsid w:val="0062268A"/>
    <w:rsid w:val="00622B91"/>
    <w:rsid w:val="00622C97"/>
    <w:rsid w:val="00623357"/>
    <w:rsid w:val="006233D0"/>
    <w:rsid w:val="00623681"/>
    <w:rsid w:val="00623CA6"/>
    <w:rsid w:val="00624144"/>
    <w:rsid w:val="00624ACF"/>
    <w:rsid w:val="00624B42"/>
    <w:rsid w:val="00624CA6"/>
    <w:rsid w:val="00625C1A"/>
    <w:rsid w:val="00625E6C"/>
    <w:rsid w:val="006261D0"/>
    <w:rsid w:val="006264D8"/>
    <w:rsid w:val="00626783"/>
    <w:rsid w:val="00627633"/>
    <w:rsid w:val="0062792E"/>
    <w:rsid w:val="00627A41"/>
    <w:rsid w:val="00627AEF"/>
    <w:rsid w:val="00627FAE"/>
    <w:rsid w:val="00630434"/>
    <w:rsid w:val="006307A7"/>
    <w:rsid w:val="00630B33"/>
    <w:rsid w:val="00630C6B"/>
    <w:rsid w:val="00630CA6"/>
    <w:rsid w:val="00630E1A"/>
    <w:rsid w:val="00630EE8"/>
    <w:rsid w:val="0063107F"/>
    <w:rsid w:val="00631758"/>
    <w:rsid w:val="00631823"/>
    <w:rsid w:val="0063185E"/>
    <w:rsid w:val="006319F7"/>
    <w:rsid w:val="00631BDD"/>
    <w:rsid w:val="00632009"/>
    <w:rsid w:val="00632211"/>
    <w:rsid w:val="00632538"/>
    <w:rsid w:val="00632672"/>
    <w:rsid w:val="0063270F"/>
    <w:rsid w:val="006329B5"/>
    <w:rsid w:val="00633601"/>
    <w:rsid w:val="00633648"/>
    <w:rsid w:val="00633D90"/>
    <w:rsid w:val="006346C0"/>
    <w:rsid w:val="00634ABC"/>
    <w:rsid w:val="00634DDB"/>
    <w:rsid w:val="006352E8"/>
    <w:rsid w:val="006356E5"/>
    <w:rsid w:val="00635946"/>
    <w:rsid w:val="006359CA"/>
    <w:rsid w:val="00635B94"/>
    <w:rsid w:val="00635B98"/>
    <w:rsid w:val="00635BFB"/>
    <w:rsid w:val="00636498"/>
    <w:rsid w:val="006365A0"/>
    <w:rsid w:val="00636669"/>
    <w:rsid w:val="00637054"/>
    <w:rsid w:val="00637280"/>
    <w:rsid w:val="006374FD"/>
    <w:rsid w:val="00637505"/>
    <w:rsid w:val="0063753C"/>
    <w:rsid w:val="00637B1E"/>
    <w:rsid w:val="00637B9B"/>
    <w:rsid w:val="00637BA7"/>
    <w:rsid w:val="00637FAE"/>
    <w:rsid w:val="006400DB"/>
    <w:rsid w:val="00640422"/>
    <w:rsid w:val="006408CD"/>
    <w:rsid w:val="006413F4"/>
    <w:rsid w:val="00641A20"/>
    <w:rsid w:val="00641B70"/>
    <w:rsid w:val="00641D29"/>
    <w:rsid w:val="00642509"/>
    <w:rsid w:val="006427DC"/>
    <w:rsid w:val="00642921"/>
    <w:rsid w:val="00642B1D"/>
    <w:rsid w:val="00642EE2"/>
    <w:rsid w:val="00643064"/>
    <w:rsid w:val="00643573"/>
    <w:rsid w:val="00643624"/>
    <w:rsid w:val="00643994"/>
    <w:rsid w:val="00643F33"/>
    <w:rsid w:val="006448BB"/>
    <w:rsid w:val="00644C12"/>
    <w:rsid w:val="00644CA0"/>
    <w:rsid w:val="0064505B"/>
    <w:rsid w:val="006450E0"/>
    <w:rsid w:val="0064522A"/>
    <w:rsid w:val="00645284"/>
    <w:rsid w:val="0064567A"/>
    <w:rsid w:val="00645DC4"/>
    <w:rsid w:val="00646514"/>
    <w:rsid w:val="006466D3"/>
    <w:rsid w:val="00646955"/>
    <w:rsid w:val="00646978"/>
    <w:rsid w:val="00646BD3"/>
    <w:rsid w:val="00646C2D"/>
    <w:rsid w:val="00647350"/>
    <w:rsid w:val="00647960"/>
    <w:rsid w:val="00647A86"/>
    <w:rsid w:val="00647EB6"/>
    <w:rsid w:val="00647FF1"/>
    <w:rsid w:val="00650713"/>
    <w:rsid w:val="00650857"/>
    <w:rsid w:val="00650B75"/>
    <w:rsid w:val="0065139A"/>
    <w:rsid w:val="0065147B"/>
    <w:rsid w:val="00651705"/>
    <w:rsid w:val="00651C31"/>
    <w:rsid w:val="00651FBA"/>
    <w:rsid w:val="0065218E"/>
    <w:rsid w:val="0065227B"/>
    <w:rsid w:val="0065238B"/>
    <w:rsid w:val="00652585"/>
    <w:rsid w:val="00652651"/>
    <w:rsid w:val="006530B2"/>
    <w:rsid w:val="006532F9"/>
    <w:rsid w:val="00653BF6"/>
    <w:rsid w:val="00653C89"/>
    <w:rsid w:val="0065418A"/>
    <w:rsid w:val="0065486A"/>
    <w:rsid w:val="00654A04"/>
    <w:rsid w:val="00654AA7"/>
    <w:rsid w:val="00654C90"/>
    <w:rsid w:val="00655168"/>
    <w:rsid w:val="006556B4"/>
    <w:rsid w:val="006557A9"/>
    <w:rsid w:val="0065597A"/>
    <w:rsid w:val="00656532"/>
    <w:rsid w:val="006568D3"/>
    <w:rsid w:val="00657162"/>
    <w:rsid w:val="00657208"/>
    <w:rsid w:val="006578C8"/>
    <w:rsid w:val="006579DD"/>
    <w:rsid w:val="00657B3E"/>
    <w:rsid w:val="00657C12"/>
    <w:rsid w:val="00660151"/>
    <w:rsid w:val="00660AC8"/>
    <w:rsid w:val="00660E70"/>
    <w:rsid w:val="0066107E"/>
    <w:rsid w:val="006611C8"/>
    <w:rsid w:val="00661868"/>
    <w:rsid w:val="0066195B"/>
    <w:rsid w:val="00661C46"/>
    <w:rsid w:val="006622A1"/>
    <w:rsid w:val="00662A7A"/>
    <w:rsid w:val="00662C23"/>
    <w:rsid w:val="00662CF1"/>
    <w:rsid w:val="00663048"/>
    <w:rsid w:val="006631A5"/>
    <w:rsid w:val="006631F5"/>
    <w:rsid w:val="006637DF"/>
    <w:rsid w:val="0066381D"/>
    <w:rsid w:val="00663C5D"/>
    <w:rsid w:val="00664020"/>
    <w:rsid w:val="0066460E"/>
    <w:rsid w:val="00664BEF"/>
    <w:rsid w:val="00664F46"/>
    <w:rsid w:val="00665141"/>
    <w:rsid w:val="006654FC"/>
    <w:rsid w:val="00665A97"/>
    <w:rsid w:val="00665E84"/>
    <w:rsid w:val="0066611C"/>
    <w:rsid w:val="0066634E"/>
    <w:rsid w:val="00666D74"/>
    <w:rsid w:val="00667A28"/>
    <w:rsid w:val="00667AB6"/>
    <w:rsid w:val="00667BCD"/>
    <w:rsid w:val="0067000D"/>
    <w:rsid w:val="00670424"/>
    <w:rsid w:val="006708DB"/>
    <w:rsid w:val="00670A41"/>
    <w:rsid w:val="00670B06"/>
    <w:rsid w:val="00670EFD"/>
    <w:rsid w:val="00670F37"/>
    <w:rsid w:val="00671021"/>
    <w:rsid w:val="006710C3"/>
    <w:rsid w:val="006713F6"/>
    <w:rsid w:val="00671789"/>
    <w:rsid w:val="006719EB"/>
    <w:rsid w:val="00671CB9"/>
    <w:rsid w:val="00671EC3"/>
    <w:rsid w:val="0067206B"/>
    <w:rsid w:val="00672718"/>
    <w:rsid w:val="0067283A"/>
    <w:rsid w:val="00672D2C"/>
    <w:rsid w:val="00673662"/>
    <w:rsid w:val="006737FD"/>
    <w:rsid w:val="0067394E"/>
    <w:rsid w:val="00673A48"/>
    <w:rsid w:val="00674077"/>
    <w:rsid w:val="006744B1"/>
    <w:rsid w:val="006745CD"/>
    <w:rsid w:val="00674632"/>
    <w:rsid w:val="0067468D"/>
    <w:rsid w:val="00674B56"/>
    <w:rsid w:val="00674C99"/>
    <w:rsid w:val="00674F6D"/>
    <w:rsid w:val="006751BD"/>
    <w:rsid w:val="00675469"/>
    <w:rsid w:val="0067546C"/>
    <w:rsid w:val="006756B0"/>
    <w:rsid w:val="006757BD"/>
    <w:rsid w:val="006758B5"/>
    <w:rsid w:val="00675C6D"/>
    <w:rsid w:val="00675C7E"/>
    <w:rsid w:val="00675C80"/>
    <w:rsid w:val="00676379"/>
    <w:rsid w:val="006763F5"/>
    <w:rsid w:val="00676684"/>
    <w:rsid w:val="006766EB"/>
    <w:rsid w:val="00676722"/>
    <w:rsid w:val="00676A4C"/>
    <w:rsid w:val="00676ABB"/>
    <w:rsid w:val="00676D35"/>
    <w:rsid w:val="00676EBD"/>
    <w:rsid w:val="006770F7"/>
    <w:rsid w:val="006774E2"/>
    <w:rsid w:val="00677652"/>
    <w:rsid w:val="00677A8B"/>
    <w:rsid w:val="00677BF1"/>
    <w:rsid w:val="00677F0E"/>
    <w:rsid w:val="006801A1"/>
    <w:rsid w:val="0068032A"/>
    <w:rsid w:val="0068050C"/>
    <w:rsid w:val="0068072B"/>
    <w:rsid w:val="00680882"/>
    <w:rsid w:val="00680D0E"/>
    <w:rsid w:val="00681086"/>
    <w:rsid w:val="00681A94"/>
    <w:rsid w:val="00681B44"/>
    <w:rsid w:val="00681C26"/>
    <w:rsid w:val="00681D2B"/>
    <w:rsid w:val="00681E98"/>
    <w:rsid w:val="00682647"/>
    <w:rsid w:val="00682687"/>
    <w:rsid w:val="006828DE"/>
    <w:rsid w:val="00682F70"/>
    <w:rsid w:val="00683106"/>
    <w:rsid w:val="006833C2"/>
    <w:rsid w:val="00683719"/>
    <w:rsid w:val="006839FD"/>
    <w:rsid w:val="00683AB1"/>
    <w:rsid w:val="00683B13"/>
    <w:rsid w:val="006847CC"/>
    <w:rsid w:val="00684A1A"/>
    <w:rsid w:val="00684B6F"/>
    <w:rsid w:val="00684C33"/>
    <w:rsid w:val="00684D38"/>
    <w:rsid w:val="00684F85"/>
    <w:rsid w:val="00685114"/>
    <w:rsid w:val="006851BD"/>
    <w:rsid w:val="0068583C"/>
    <w:rsid w:val="00685944"/>
    <w:rsid w:val="006859EA"/>
    <w:rsid w:val="00685D32"/>
    <w:rsid w:val="00686158"/>
    <w:rsid w:val="006862B3"/>
    <w:rsid w:val="006862CD"/>
    <w:rsid w:val="006864A4"/>
    <w:rsid w:val="0068651F"/>
    <w:rsid w:val="00686549"/>
    <w:rsid w:val="0068662F"/>
    <w:rsid w:val="00686653"/>
    <w:rsid w:val="00686C0A"/>
    <w:rsid w:val="00686C56"/>
    <w:rsid w:val="00686DE1"/>
    <w:rsid w:val="00687BA0"/>
    <w:rsid w:val="00687F81"/>
    <w:rsid w:val="00687FD4"/>
    <w:rsid w:val="00690777"/>
    <w:rsid w:val="0069079C"/>
    <w:rsid w:val="00690B4F"/>
    <w:rsid w:val="00690E2F"/>
    <w:rsid w:val="00690EF3"/>
    <w:rsid w:val="006910F6"/>
    <w:rsid w:val="00691388"/>
    <w:rsid w:val="006913CD"/>
    <w:rsid w:val="00691444"/>
    <w:rsid w:val="0069169E"/>
    <w:rsid w:val="006916A9"/>
    <w:rsid w:val="0069194C"/>
    <w:rsid w:val="00691A43"/>
    <w:rsid w:val="00691D3A"/>
    <w:rsid w:val="0069214D"/>
    <w:rsid w:val="0069260C"/>
    <w:rsid w:val="0069269B"/>
    <w:rsid w:val="00692831"/>
    <w:rsid w:val="006931BA"/>
    <w:rsid w:val="00693293"/>
    <w:rsid w:val="00693334"/>
    <w:rsid w:val="00693B42"/>
    <w:rsid w:val="00694221"/>
    <w:rsid w:val="0069427F"/>
    <w:rsid w:val="0069464D"/>
    <w:rsid w:val="00694B5D"/>
    <w:rsid w:val="00695A27"/>
    <w:rsid w:val="00695B8C"/>
    <w:rsid w:val="00695BC8"/>
    <w:rsid w:val="00695E47"/>
    <w:rsid w:val="0069600C"/>
    <w:rsid w:val="00696214"/>
    <w:rsid w:val="00696494"/>
    <w:rsid w:val="00697269"/>
    <w:rsid w:val="00697318"/>
    <w:rsid w:val="0069756A"/>
    <w:rsid w:val="00697636"/>
    <w:rsid w:val="0069770E"/>
    <w:rsid w:val="00697A7A"/>
    <w:rsid w:val="00697FEB"/>
    <w:rsid w:val="006A0121"/>
    <w:rsid w:val="006A0359"/>
    <w:rsid w:val="006A04C7"/>
    <w:rsid w:val="006A06E8"/>
    <w:rsid w:val="006A0810"/>
    <w:rsid w:val="006A0ED4"/>
    <w:rsid w:val="006A11DC"/>
    <w:rsid w:val="006A14F3"/>
    <w:rsid w:val="006A15AC"/>
    <w:rsid w:val="006A167E"/>
    <w:rsid w:val="006A17A8"/>
    <w:rsid w:val="006A21E0"/>
    <w:rsid w:val="006A2252"/>
    <w:rsid w:val="006A22F2"/>
    <w:rsid w:val="006A23DF"/>
    <w:rsid w:val="006A27F9"/>
    <w:rsid w:val="006A2C70"/>
    <w:rsid w:val="006A32AE"/>
    <w:rsid w:val="006A3659"/>
    <w:rsid w:val="006A3A22"/>
    <w:rsid w:val="006A3C1F"/>
    <w:rsid w:val="006A3DF8"/>
    <w:rsid w:val="006A42CA"/>
    <w:rsid w:val="006A48CD"/>
    <w:rsid w:val="006A4A3B"/>
    <w:rsid w:val="006A52E7"/>
    <w:rsid w:val="006A5BAF"/>
    <w:rsid w:val="006A63A4"/>
    <w:rsid w:val="006A671A"/>
    <w:rsid w:val="006A69E2"/>
    <w:rsid w:val="006A6BD2"/>
    <w:rsid w:val="006A6D86"/>
    <w:rsid w:val="006A702E"/>
    <w:rsid w:val="006A75C8"/>
    <w:rsid w:val="006A75E1"/>
    <w:rsid w:val="006A7718"/>
    <w:rsid w:val="006A7978"/>
    <w:rsid w:val="006A7D42"/>
    <w:rsid w:val="006A7D66"/>
    <w:rsid w:val="006A7E73"/>
    <w:rsid w:val="006B02CB"/>
    <w:rsid w:val="006B0B5C"/>
    <w:rsid w:val="006B0ECA"/>
    <w:rsid w:val="006B1626"/>
    <w:rsid w:val="006B1FCF"/>
    <w:rsid w:val="006B2B14"/>
    <w:rsid w:val="006B319B"/>
    <w:rsid w:val="006B35C9"/>
    <w:rsid w:val="006B36D3"/>
    <w:rsid w:val="006B39C7"/>
    <w:rsid w:val="006B3B48"/>
    <w:rsid w:val="006B3E63"/>
    <w:rsid w:val="006B4564"/>
    <w:rsid w:val="006B4A10"/>
    <w:rsid w:val="006B4FBC"/>
    <w:rsid w:val="006B5002"/>
    <w:rsid w:val="006B55FF"/>
    <w:rsid w:val="006B580B"/>
    <w:rsid w:val="006B5B62"/>
    <w:rsid w:val="006B5C11"/>
    <w:rsid w:val="006B6138"/>
    <w:rsid w:val="006B64D4"/>
    <w:rsid w:val="006B6641"/>
    <w:rsid w:val="006B66EF"/>
    <w:rsid w:val="006B67FF"/>
    <w:rsid w:val="006B6CBD"/>
    <w:rsid w:val="006B6D18"/>
    <w:rsid w:val="006B6DCB"/>
    <w:rsid w:val="006B753A"/>
    <w:rsid w:val="006B7548"/>
    <w:rsid w:val="006B77EA"/>
    <w:rsid w:val="006B789C"/>
    <w:rsid w:val="006B7CBA"/>
    <w:rsid w:val="006B7D52"/>
    <w:rsid w:val="006C0637"/>
    <w:rsid w:val="006C0679"/>
    <w:rsid w:val="006C06C6"/>
    <w:rsid w:val="006C0BDB"/>
    <w:rsid w:val="006C0F30"/>
    <w:rsid w:val="006C0FFA"/>
    <w:rsid w:val="006C14E7"/>
    <w:rsid w:val="006C1919"/>
    <w:rsid w:val="006C1C5D"/>
    <w:rsid w:val="006C1D1B"/>
    <w:rsid w:val="006C1E5A"/>
    <w:rsid w:val="006C1EE5"/>
    <w:rsid w:val="006C213C"/>
    <w:rsid w:val="006C22E8"/>
    <w:rsid w:val="006C2C39"/>
    <w:rsid w:val="006C2ED5"/>
    <w:rsid w:val="006C30B8"/>
    <w:rsid w:val="006C30C7"/>
    <w:rsid w:val="006C3379"/>
    <w:rsid w:val="006C3892"/>
    <w:rsid w:val="006C46DD"/>
    <w:rsid w:val="006C4A18"/>
    <w:rsid w:val="006C4F4D"/>
    <w:rsid w:val="006C517B"/>
    <w:rsid w:val="006C586F"/>
    <w:rsid w:val="006C5D6B"/>
    <w:rsid w:val="006C5F03"/>
    <w:rsid w:val="006C628E"/>
    <w:rsid w:val="006C6A1C"/>
    <w:rsid w:val="006C6D23"/>
    <w:rsid w:val="006C79CB"/>
    <w:rsid w:val="006C7ADC"/>
    <w:rsid w:val="006C7B32"/>
    <w:rsid w:val="006C7D9E"/>
    <w:rsid w:val="006D0116"/>
    <w:rsid w:val="006D011A"/>
    <w:rsid w:val="006D016E"/>
    <w:rsid w:val="006D0698"/>
    <w:rsid w:val="006D0892"/>
    <w:rsid w:val="006D0C7B"/>
    <w:rsid w:val="006D1237"/>
    <w:rsid w:val="006D14FE"/>
    <w:rsid w:val="006D1677"/>
    <w:rsid w:val="006D1BEC"/>
    <w:rsid w:val="006D1D26"/>
    <w:rsid w:val="006D1DDF"/>
    <w:rsid w:val="006D1DE5"/>
    <w:rsid w:val="006D201B"/>
    <w:rsid w:val="006D2062"/>
    <w:rsid w:val="006D213C"/>
    <w:rsid w:val="006D235A"/>
    <w:rsid w:val="006D3C22"/>
    <w:rsid w:val="006D3DD1"/>
    <w:rsid w:val="006D4243"/>
    <w:rsid w:val="006D4638"/>
    <w:rsid w:val="006D46E2"/>
    <w:rsid w:val="006D4B63"/>
    <w:rsid w:val="006D4F15"/>
    <w:rsid w:val="006D513D"/>
    <w:rsid w:val="006D517E"/>
    <w:rsid w:val="006D51FC"/>
    <w:rsid w:val="006D5386"/>
    <w:rsid w:val="006D53B8"/>
    <w:rsid w:val="006D54A0"/>
    <w:rsid w:val="006D56BC"/>
    <w:rsid w:val="006D5783"/>
    <w:rsid w:val="006D5815"/>
    <w:rsid w:val="006D59DA"/>
    <w:rsid w:val="006D5B46"/>
    <w:rsid w:val="006D5BEB"/>
    <w:rsid w:val="006D5E25"/>
    <w:rsid w:val="006D5E4B"/>
    <w:rsid w:val="006D5F51"/>
    <w:rsid w:val="006D6070"/>
    <w:rsid w:val="006D60FF"/>
    <w:rsid w:val="006D6235"/>
    <w:rsid w:val="006D62FE"/>
    <w:rsid w:val="006D65E6"/>
    <w:rsid w:val="006D6EA2"/>
    <w:rsid w:val="006D728D"/>
    <w:rsid w:val="006D78E3"/>
    <w:rsid w:val="006D7993"/>
    <w:rsid w:val="006D7C59"/>
    <w:rsid w:val="006D7DB0"/>
    <w:rsid w:val="006D7E0D"/>
    <w:rsid w:val="006E0D80"/>
    <w:rsid w:val="006E1122"/>
    <w:rsid w:val="006E121F"/>
    <w:rsid w:val="006E162F"/>
    <w:rsid w:val="006E1690"/>
    <w:rsid w:val="006E1748"/>
    <w:rsid w:val="006E17EC"/>
    <w:rsid w:val="006E1952"/>
    <w:rsid w:val="006E19B8"/>
    <w:rsid w:val="006E1AC2"/>
    <w:rsid w:val="006E278A"/>
    <w:rsid w:val="006E2847"/>
    <w:rsid w:val="006E2A49"/>
    <w:rsid w:val="006E2E01"/>
    <w:rsid w:val="006E2F6F"/>
    <w:rsid w:val="006E3131"/>
    <w:rsid w:val="006E347C"/>
    <w:rsid w:val="006E396B"/>
    <w:rsid w:val="006E3A7F"/>
    <w:rsid w:val="006E3B27"/>
    <w:rsid w:val="006E3B41"/>
    <w:rsid w:val="006E3BFA"/>
    <w:rsid w:val="006E44A7"/>
    <w:rsid w:val="006E4ECA"/>
    <w:rsid w:val="006E508D"/>
    <w:rsid w:val="006E52BD"/>
    <w:rsid w:val="006E589D"/>
    <w:rsid w:val="006E60BD"/>
    <w:rsid w:val="006E66B7"/>
    <w:rsid w:val="006E79C6"/>
    <w:rsid w:val="006F062D"/>
    <w:rsid w:val="006F0C68"/>
    <w:rsid w:val="006F1141"/>
    <w:rsid w:val="006F1304"/>
    <w:rsid w:val="006F175C"/>
    <w:rsid w:val="006F1B67"/>
    <w:rsid w:val="006F1BFD"/>
    <w:rsid w:val="006F1F4C"/>
    <w:rsid w:val="006F208C"/>
    <w:rsid w:val="006F2581"/>
    <w:rsid w:val="006F2AC1"/>
    <w:rsid w:val="006F2CAB"/>
    <w:rsid w:val="006F320D"/>
    <w:rsid w:val="006F32C3"/>
    <w:rsid w:val="006F33BE"/>
    <w:rsid w:val="006F353B"/>
    <w:rsid w:val="006F37DA"/>
    <w:rsid w:val="006F3BAC"/>
    <w:rsid w:val="006F3BE2"/>
    <w:rsid w:val="006F3E77"/>
    <w:rsid w:val="006F3FC6"/>
    <w:rsid w:val="006F402F"/>
    <w:rsid w:val="006F4271"/>
    <w:rsid w:val="006F47B9"/>
    <w:rsid w:val="006F4AAE"/>
    <w:rsid w:val="006F4B5F"/>
    <w:rsid w:val="006F56CE"/>
    <w:rsid w:val="006F5BE9"/>
    <w:rsid w:val="006F5F97"/>
    <w:rsid w:val="006F6857"/>
    <w:rsid w:val="006F6A12"/>
    <w:rsid w:val="006F6D98"/>
    <w:rsid w:val="006F6DF7"/>
    <w:rsid w:val="006F6FFB"/>
    <w:rsid w:val="006F78D1"/>
    <w:rsid w:val="006F7BCC"/>
    <w:rsid w:val="006F7C53"/>
    <w:rsid w:val="006F7FAE"/>
    <w:rsid w:val="00700470"/>
    <w:rsid w:val="0070058A"/>
    <w:rsid w:val="00700DD1"/>
    <w:rsid w:val="00700E2D"/>
    <w:rsid w:val="00700E8E"/>
    <w:rsid w:val="00700F23"/>
    <w:rsid w:val="00701368"/>
    <w:rsid w:val="00701506"/>
    <w:rsid w:val="00701810"/>
    <w:rsid w:val="0070183B"/>
    <w:rsid w:val="007018F4"/>
    <w:rsid w:val="0070190E"/>
    <w:rsid w:val="00701C34"/>
    <w:rsid w:val="00701EEA"/>
    <w:rsid w:val="00702384"/>
    <w:rsid w:val="007029F5"/>
    <w:rsid w:val="00702A86"/>
    <w:rsid w:val="00702F20"/>
    <w:rsid w:val="00702F35"/>
    <w:rsid w:val="00702FE2"/>
    <w:rsid w:val="0070301D"/>
    <w:rsid w:val="007031A9"/>
    <w:rsid w:val="007033ED"/>
    <w:rsid w:val="00703F58"/>
    <w:rsid w:val="0070423F"/>
    <w:rsid w:val="00704347"/>
    <w:rsid w:val="0070448F"/>
    <w:rsid w:val="007046BE"/>
    <w:rsid w:val="007046F2"/>
    <w:rsid w:val="00704A7F"/>
    <w:rsid w:val="00705011"/>
    <w:rsid w:val="0070504B"/>
    <w:rsid w:val="00705542"/>
    <w:rsid w:val="00706487"/>
    <w:rsid w:val="00706827"/>
    <w:rsid w:val="007068C9"/>
    <w:rsid w:val="00706F8F"/>
    <w:rsid w:val="00707205"/>
    <w:rsid w:val="007072BB"/>
    <w:rsid w:val="007073DB"/>
    <w:rsid w:val="00707BD1"/>
    <w:rsid w:val="00707CA4"/>
    <w:rsid w:val="00707E36"/>
    <w:rsid w:val="0071021C"/>
    <w:rsid w:val="0071048B"/>
    <w:rsid w:val="007105CB"/>
    <w:rsid w:val="00710661"/>
    <w:rsid w:val="00710770"/>
    <w:rsid w:val="00710C8E"/>
    <w:rsid w:val="00710E26"/>
    <w:rsid w:val="00710FFF"/>
    <w:rsid w:val="007110AC"/>
    <w:rsid w:val="007110C0"/>
    <w:rsid w:val="007112E5"/>
    <w:rsid w:val="00711573"/>
    <w:rsid w:val="007116B5"/>
    <w:rsid w:val="00711845"/>
    <w:rsid w:val="007119DD"/>
    <w:rsid w:val="00711A36"/>
    <w:rsid w:val="00711AD2"/>
    <w:rsid w:val="00712137"/>
    <w:rsid w:val="00712315"/>
    <w:rsid w:val="00712528"/>
    <w:rsid w:val="00712927"/>
    <w:rsid w:val="00712B76"/>
    <w:rsid w:val="00712C24"/>
    <w:rsid w:val="0071308E"/>
    <w:rsid w:val="00713333"/>
    <w:rsid w:val="007133B6"/>
    <w:rsid w:val="007135F2"/>
    <w:rsid w:val="00714258"/>
    <w:rsid w:val="0071489C"/>
    <w:rsid w:val="00714C34"/>
    <w:rsid w:val="00714F28"/>
    <w:rsid w:val="0071504B"/>
    <w:rsid w:val="007150F6"/>
    <w:rsid w:val="007157EF"/>
    <w:rsid w:val="00715BDB"/>
    <w:rsid w:val="00715D23"/>
    <w:rsid w:val="00715E07"/>
    <w:rsid w:val="00716338"/>
    <w:rsid w:val="0071640E"/>
    <w:rsid w:val="007164D5"/>
    <w:rsid w:val="00716520"/>
    <w:rsid w:val="00716D4C"/>
    <w:rsid w:val="00716E6C"/>
    <w:rsid w:val="00717158"/>
    <w:rsid w:val="00717237"/>
    <w:rsid w:val="007173BD"/>
    <w:rsid w:val="00717432"/>
    <w:rsid w:val="0071760B"/>
    <w:rsid w:val="00717704"/>
    <w:rsid w:val="007177AE"/>
    <w:rsid w:val="0071795A"/>
    <w:rsid w:val="007204FA"/>
    <w:rsid w:val="007208DA"/>
    <w:rsid w:val="007209B6"/>
    <w:rsid w:val="00720C57"/>
    <w:rsid w:val="00720C74"/>
    <w:rsid w:val="00720D56"/>
    <w:rsid w:val="00721073"/>
    <w:rsid w:val="00721263"/>
    <w:rsid w:val="00721347"/>
    <w:rsid w:val="0072150D"/>
    <w:rsid w:val="00721B48"/>
    <w:rsid w:val="00721C9B"/>
    <w:rsid w:val="00721F8F"/>
    <w:rsid w:val="00722239"/>
    <w:rsid w:val="007222F5"/>
    <w:rsid w:val="00722562"/>
    <w:rsid w:val="00722862"/>
    <w:rsid w:val="00722DBE"/>
    <w:rsid w:val="007238BE"/>
    <w:rsid w:val="00723C21"/>
    <w:rsid w:val="00723C30"/>
    <w:rsid w:val="00723CCB"/>
    <w:rsid w:val="00723F78"/>
    <w:rsid w:val="00724007"/>
    <w:rsid w:val="007244F5"/>
    <w:rsid w:val="00724877"/>
    <w:rsid w:val="00724F32"/>
    <w:rsid w:val="007255B2"/>
    <w:rsid w:val="00725603"/>
    <w:rsid w:val="00725805"/>
    <w:rsid w:val="007259C5"/>
    <w:rsid w:val="00725C3A"/>
    <w:rsid w:val="00726532"/>
    <w:rsid w:val="00726652"/>
    <w:rsid w:val="00726B79"/>
    <w:rsid w:val="00726D11"/>
    <w:rsid w:val="0072710D"/>
    <w:rsid w:val="007271E5"/>
    <w:rsid w:val="00727404"/>
    <w:rsid w:val="007308C3"/>
    <w:rsid w:val="0073096D"/>
    <w:rsid w:val="00730C55"/>
    <w:rsid w:val="007311CF"/>
    <w:rsid w:val="00731247"/>
    <w:rsid w:val="00731352"/>
    <w:rsid w:val="007313B6"/>
    <w:rsid w:val="007314FB"/>
    <w:rsid w:val="00731A16"/>
    <w:rsid w:val="00731E9A"/>
    <w:rsid w:val="00732DBA"/>
    <w:rsid w:val="00733153"/>
    <w:rsid w:val="007332D3"/>
    <w:rsid w:val="00733580"/>
    <w:rsid w:val="00733582"/>
    <w:rsid w:val="00733642"/>
    <w:rsid w:val="007337BA"/>
    <w:rsid w:val="0073417D"/>
    <w:rsid w:val="007341CC"/>
    <w:rsid w:val="007341EF"/>
    <w:rsid w:val="00734210"/>
    <w:rsid w:val="007345E8"/>
    <w:rsid w:val="007347F0"/>
    <w:rsid w:val="0073504B"/>
    <w:rsid w:val="0073539E"/>
    <w:rsid w:val="007354B1"/>
    <w:rsid w:val="007356C2"/>
    <w:rsid w:val="00735A89"/>
    <w:rsid w:val="00735AC7"/>
    <w:rsid w:val="00735ED1"/>
    <w:rsid w:val="00736679"/>
    <w:rsid w:val="007367AB"/>
    <w:rsid w:val="00736946"/>
    <w:rsid w:val="0073697D"/>
    <w:rsid w:val="00736E5E"/>
    <w:rsid w:val="00737812"/>
    <w:rsid w:val="00737F83"/>
    <w:rsid w:val="00740258"/>
    <w:rsid w:val="007403BB"/>
    <w:rsid w:val="0074063A"/>
    <w:rsid w:val="00740D12"/>
    <w:rsid w:val="00740D1D"/>
    <w:rsid w:val="00740D99"/>
    <w:rsid w:val="00741761"/>
    <w:rsid w:val="00741835"/>
    <w:rsid w:val="00741BCA"/>
    <w:rsid w:val="00741CD2"/>
    <w:rsid w:val="00742660"/>
    <w:rsid w:val="0074278D"/>
    <w:rsid w:val="00742872"/>
    <w:rsid w:val="007428A6"/>
    <w:rsid w:val="00742E71"/>
    <w:rsid w:val="00742F4C"/>
    <w:rsid w:val="007433A8"/>
    <w:rsid w:val="00743BA0"/>
    <w:rsid w:val="00743D22"/>
    <w:rsid w:val="00743D7E"/>
    <w:rsid w:val="007440B2"/>
    <w:rsid w:val="00744BF8"/>
    <w:rsid w:val="00744C1A"/>
    <w:rsid w:val="00744FCF"/>
    <w:rsid w:val="007451F2"/>
    <w:rsid w:val="00745283"/>
    <w:rsid w:val="00745354"/>
    <w:rsid w:val="00745698"/>
    <w:rsid w:val="00745727"/>
    <w:rsid w:val="00745844"/>
    <w:rsid w:val="00745B2F"/>
    <w:rsid w:val="00745C19"/>
    <w:rsid w:val="0074649E"/>
    <w:rsid w:val="00746705"/>
    <w:rsid w:val="00746E22"/>
    <w:rsid w:val="007473AE"/>
    <w:rsid w:val="00747EEC"/>
    <w:rsid w:val="00750275"/>
    <w:rsid w:val="0075047A"/>
    <w:rsid w:val="00750502"/>
    <w:rsid w:val="0075059C"/>
    <w:rsid w:val="007508D2"/>
    <w:rsid w:val="00750E65"/>
    <w:rsid w:val="00750FA5"/>
    <w:rsid w:val="007512D0"/>
    <w:rsid w:val="007513D7"/>
    <w:rsid w:val="007514A8"/>
    <w:rsid w:val="00751F30"/>
    <w:rsid w:val="0075238A"/>
    <w:rsid w:val="00752392"/>
    <w:rsid w:val="00752703"/>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5F58"/>
    <w:rsid w:val="007561D5"/>
    <w:rsid w:val="0075630B"/>
    <w:rsid w:val="0075639F"/>
    <w:rsid w:val="00756497"/>
    <w:rsid w:val="0075689E"/>
    <w:rsid w:val="007568A1"/>
    <w:rsid w:val="0075695B"/>
    <w:rsid w:val="00756CA9"/>
    <w:rsid w:val="00757024"/>
    <w:rsid w:val="00757055"/>
    <w:rsid w:val="007574B1"/>
    <w:rsid w:val="00760285"/>
    <w:rsid w:val="00760655"/>
    <w:rsid w:val="00760678"/>
    <w:rsid w:val="00760A5C"/>
    <w:rsid w:val="0076169B"/>
    <w:rsid w:val="00761874"/>
    <w:rsid w:val="00761BF7"/>
    <w:rsid w:val="00761CC8"/>
    <w:rsid w:val="00761D0A"/>
    <w:rsid w:val="00762974"/>
    <w:rsid w:val="00762CE7"/>
    <w:rsid w:val="0076334B"/>
    <w:rsid w:val="0076359F"/>
    <w:rsid w:val="0076399E"/>
    <w:rsid w:val="00763E5E"/>
    <w:rsid w:val="007642BB"/>
    <w:rsid w:val="00764696"/>
    <w:rsid w:val="00764E9F"/>
    <w:rsid w:val="00765266"/>
    <w:rsid w:val="00765675"/>
    <w:rsid w:val="0076567B"/>
    <w:rsid w:val="0076582C"/>
    <w:rsid w:val="007658EF"/>
    <w:rsid w:val="00765F87"/>
    <w:rsid w:val="0076611E"/>
    <w:rsid w:val="007666AE"/>
    <w:rsid w:val="00766881"/>
    <w:rsid w:val="00766891"/>
    <w:rsid w:val="00766B91"/>
    <w:rsid w:val="00766FEB"/>
    <w:rsid w:val="0076772C"/>
    <w:rsid w:val="00767861"/>
    <w:rsid w:val="007678AD"/>
    <w:rsid w:val="00767958"/>
    <w:rsid w:val="00767BEE"/>
    <w:rsid w:val="00767C7D"/>
    <w:rsid w:val="00767D8A"/>
    <w:rsid w:val="00767FA6"/>
    <w:rsid w:val="00770176"/>
    <w:rsid w:val="007701C0"/>
    <w:rsid w:val="00770853"/>
    <w:rsid w:val="00770969"/>
    <w:rsid w:val="00770CCA"/>
    <w:rsid w:val="00770E79"/>
    <w:rsid w:val="00771258"/>
    <w:rsid w:val="007715AB"/>
    <w:rsid w:val="0077161B"/>
    <w:rsid w:val="007717AB"/>
    <w:rsid w:val="00771892"/>
    <w:rsid w:val="00771AC1"/>
    <w:rsid w:val="00771E1A"/>
    <w:rsid w:val="00771EF7"/>
    <w:rsid w:val="00771F2B"/>
    <w:rsid w:val="00772419"/>
    <w:rsid w:val="00772500"/>
    <w:rsid w:val="007726D3"/>
    <w:rsid w:val="00772E22"/>
    <w:rsid w:val="00772E9C"/>
    <w:rsid w:val="00772ECA"/>
    <w:rsid w:val="00773140"/>
    <w:rsid w:val="007732D4"/>
    <w:rsid w:val="00773483"/>
    <w:rsid w:val="007734FE"/>
    <w:rsid w:val="0077351E"/>
    <w:rsid w:val="00773548"/>
    <w:rsid w:val="00773832"/>
    <w:rsid w:val="0077385F"/>
    <w:rsid w:val="007739DD"/>
    <w:rsid w:val="00773A54"/>
    <w:rsid w:val="0077416B"/>
    <w:rsid w:val="00774DC4"/>
    <w:rsid w:val="00774F4C"/>
    <w:rsid w:val="00774F8E"/>
    <w:rsid w:val="00775052"/>
    <w:rsid w:val="00775307"/>
    <w:rsid w:val="00775B9D"/>
    <w:rsid w:val="00776B79"/>
    <w:rsid w:val="00776C41"/>
    <w:rsid w:val="00776E3A"/>
    <w:rsid w:val="007774C0"/>
    <w:rsid w:val="007774C9"/>
    <w:rsid w:val="007777B8"/>
    <w:rsid w:val="00777B03"/>
    <w:rsid w:val="00780107"/>
    <w:rsid w:val="00780159"/>
    <w:rsid w:val="007801F1"/>
    <w:rsid w:val="007803D3"/>
    <w:rsid w:val="0078041A"/>
    <w:rsid w:val="00780595"/>
    <w:rsid w:val="0078071C"/>
    <w:rsid w:val="00781544"/>
    <w:rsid w:val="0078185C"/>
    <w:rsid w:val="00781A59"/>
    <w:rsid w:val="00781C5B"/>
    <w:rsid w:val="00782368"/>
    <w:rsid w:val="00782572"/>
    <w:rsid w:val="00782840"/>
    <w:rsid w:val="00782A32"/>
    <w:rsid w:val="00782E22"/>
    <w:rsid w:val="00782F98"/>
    <w:rsid w:val="0078333C"/>
    <w:rsid w:val="007835A7"/>
    <w:rsid w:val="00783F92"/>
    <w:rsid w:val="00784BE3"/>
    <w:rsid w:val="00784DC1"/>
    <w:rsid w:val="007853A6"/>
    <w:rsid w:val="00785548"/>
    <w:rsid w:val="007860EE"/>
    <w:rsid w:val="007861AB"/>
    <w:rsid w:val="007861AD"/>
    <w:rsid w:val="00786252"/>
    <w:rsid w:val="00786395"/>
    <w:rsid w:val="00786767"/>
    <w:rsid w:val="0078687B"/>
    <w:rsid w:val="00786E10"/>
    <w:rsid w:val="00786E1D"/>
    <w:rsid w:val="00786FDF"/>
    <w:rsid w:val="00787293"/>
    <w:rsid w:val="0078733D"/>
    <w:rsid w:val="0078764E"/>
    <w:rsid w:val="007876C4"/>
    <w:rsid w:val="00787ADA"/>
    <w:rsid w:val="00787D59"/>
    <w:rsid w:val="00787E7F"/>
    <w:rsid w:val="00787F56"/>
    <w:rsid w:val="00790034"/>
    <w:rsid w:val="007900C4"/>
    <w:rsid w:val="007902C8"/>
    <w:rsid w:val="00790367"/>
    <w:rsid w:val="00790902"/>
    <w:rsid w:val="00790E5A"/>
    <w:rsid w:val="00791199"/>
    <w:rsid w:val="00791255"/>
    <w:rsid w:val="00791383"/>
    <w:rsid w:val="007914CC"/>
    <w:rsid w:val="00791559"/>
    <w:rsid w:val="00791A78"/>
    <w:rsid w:val="00791B66"/>
    <w:rsid w:val="00791C7A"/>
    <w:rsid w:val="00791F3C"/>
    <w:rsid w:val="00792754"/>
    <w:rsid w:val="00792790"/>
    <w:rsid w:val="0079291C"/>
    <w:rsid w:val="00792DC9"/>
    <w:rsid w:val="00793186"/>
    <w:rsid w:val="007933D8"/>
    <w:rsid w:val="00793CF3"/>
    <w:rsid w:val="00793F84"/>
    <w:rsid w:val="0079489B"/>
    <w:rsid w:val="0079497E"/>
    <w:rsid w:val="00794BC4"/>
    <w:rsid w:val="00794E16"/>
    <w:rsid w:val="00795AA8"/>
    <w:rsid w:val="0079676C"/>
    <w:rsid w:val="00796963"/>
    <w:rsid w:val="0079726A"/>
    <w:rsid w:val="00797E7C"/>
    <w:rsid w:val="007A013D"/>
    <w:rsid w:val="007A01AB"/>
    <w:rsid w:val="007A077E"/>
    <w:rsid w:val="007A08EE"/>
    <w:rsid w:val="007A09D0"/>
    <w:rsid w:val="007A16DC"/>
    <w:rsid w:val="007A1897"/>
    <w:rsid w:val="007A1925"/>
    <w:rsid w:val="007A1AF6"/>
    <w:rsid w:val="007A1B03"/>
    <w:rsid w:val="007A20AB"/>
    <w:rsid w:val="007A22E5"/>
    <w:rsid w:val="007A263B"/>
    <w:rsid w:val="007A26E6"/>
    <w:rsid w:val="007A28FE"/>
    <w:rsid w:val="007A2989"/>
    <w:rsid w:val="007A2FE6"/>
    <w:rsid w:val="007A334A"/>
    <w:rsid w:val="007A3FBB"/>
    <w:rsid w:val="007A42E8"/>
    <w:rsid w:val="007A44D8"/>
    <w:rsid w:val="007A45DB"/>
    <w:rsid w:val="007A5421"/>
    <w:rsid w:val="007A544D"/>
    <w:rsid w:val="007A5D81"/>
    <w:rsid w:val="007A5E76"/>
    <w:rsid w:val="007A5F86"/>
    <w:rsid w:val="007A61E5"/>
    <w:rsid w:val="007A63FF"/>
    <w:rsid w:val="007A6563"/>
    <w:rsid w:val="007A7452"/>
    <w:rsid w:val="007A7843"/>
    <w:rsid w:val="007A7AE1"/>
    <w:rsid w:val="007A7BCA"/>
    <w:rsid w:val="007B0131"/>
    <w:rsid w:val="007B015F"/>
    <w:rsid w:val="007B035F"/>
    <w:rsid w:val="007B03FE"/>
    <w:rsid w:val="007B0583"/>
    <w:rsid w:val="007B09D2"/>
    <w:rsid w:val="007B0CE6"/>
    <w:rsid w:val="007B0DA7"/>
    <w:rsid w:val="007B11AD"/>
    <w:rsid w:val="007B131A"/>
    <w:rsid w:val="007B1B18"/>
    <w:rsid w:val="007B1B20"/>
    <w:rsid w:val="007B1C81"/>
    <w:rsid w:val="007B1D8D"/>
    <w:rsid w:val="007B21F0"/>
    <w:rsid w:val="007B24D9"/>
    <w:rsid w:val="007B25CB"/>
    <w:rsid w:val="007B29A2"/>
    <w:rsid w:val="007B29B8"/>
    <w:rsid w:val="007B2D2F"/>
    <w:rsid w:val="007B306A"/>
    <w:rsid w:val="007B3160"/>
    <w:rsid w:val="007B3341"/>
    <w:rsid w:val="007B355D"/>
    <w:rsid w:val="007B3AFC"/>
    <w:rsid w:val="007B5110"/>
    <w:rsid w:val="007B5134"/>
    <w:rsid w:val="007B53A3"/>
    <w:rsid w:val="007B54C3"/>
    <w:rsid w:val="007B566F"/>
    <w:rsid w:val="007B596F"/>
    <w:rsid w:val="007B5EF3"/>
    <w:rsid w:val="007B5FAB"/>
    <w:rsid w:val="007B5FF2"/>
    <w:rsid w:val="007B6133"/>
    <w:rsid w:val="007B629A"/>
    <w:rsid w:val="007B6452"/>
    <w:rsid w:val="007B68C5"/>
    <w:rsid w:val="007B6B76"/>
    <w:rsid w:val="007B6CD5"/>
    <w:rsid w:val="007B6E81"/>
    <w:rsid w:val="007B7168"/>
    <w:rsid w:val="007B718C"/>
    <w:rsid w:val="007B74F1"/>
    <w:rsid w:val="007C00FC"/>
    <w:rsid w:val="007C03E4"/>
    <w:rsid w:val="007C051A"/>
    <w:rsid w:val="007C0B82"/>
    <w:rsid w:val="007C0CF7"/>
    <w:rsid w:val="007C11F7"/>
    <w:rsid w:val="007C17D6"/>
    <w:rsid w:val="007C17FA"/>
    <w:rsid w:val="007C1B6B"/>
    <w:rsid w:val="007C228C"/>
    <w:rsid w:val="007C23F3"/>
    <w:rsid w:val="007C2404"/>
    <w:rsid w:val="007C27CF"/>
    <w:rsid w:val="007C2D33"/>
    <w:rsid w:val="007C3506"/>
    <w:rsid w:val="007C361A"/>
    <w:rsid w:val="007C378A"/>
    <w:rsid w:val="007C39DA"/>
    <w:rsid w:val="007C3B43"/>
    <w:rsid w:val="007C3F02"/>
    <w:rsid w:val="007C4328"/>
    <w:rsid w:val="007C453A"/>
    <w:rsid w:val="007C47AE"/>
    <w:rsid w:val="007C4A12"/>
    <w:rsid w:val="007C4C9E"/>
    <w:rsid w:val="007C4E55"/>
    <w:rsid w:val="007C4E7F"/>
    <w:rsid w:val="007C56EA"/>
    <w:rsid w:val="007C5CB9"/>
    <w:rsid w:val="007C5DFE"/>
    <w:rsid w:val="007C63B2"/>
    <w:rsid w:val="007C6550"/>
    <w:rsid w:val="007C7074"/>
    <w:rsid w:val="007C711F"/>
    <w:rsid w:val="007C742B"/>
    <w:rsid w:val="007C7C2C"/>
    <w:rsid w:val="007D0045"/>
    <w:rsid w:val="007D03F7"/>
    <w:rsid w:val="007D052A"/>
    <w:rsid w:val="007D0941"/>
    <w:rsid w:val="007D0A1E"/>
    <w:rsid w:val="007D1087"/>
    <w:rsid w:val="007D132A"/>
    <w:rsid w:val="007D13AD"/>
    <w:rsid w:val="007D15FF"/>
    <w:rsid w:val="007D1C36"/>
    <w:rsid w:val="007D2034"/>
    <w:rsid w:val="007D220F"/>
    <w:rsid w:val="007D297B"/>
    <w:rsid w:val="007D2AFC"/>
    <w:rsid w:val="007D2C20"/>
    <w:rsid w:val="007D308D"/>
    <w:rsid w:val="007D30E7"/>
    <w:rsid w:val="007D3DB2"/>
    <w:rsid w:val="007D43ED"/>
    <w:rsid w:val="007D4620"/>
    <w:rsid w:val="007D468F"/>
    <w:rsid w:val="007D4867"/>
    <w:rsid w:val="007D4BA6"/>
    <w:rsid w:val="007D500C"/>
    <w:rsid w:val="007D567F"/>
    <w:rsid w:val="007D5B3B"/>
    <w:rsid w:val="007D5BCA"/>
    <w:rsid w:val="007D5C23"/>
    <w:rsid w:val="007D68AF"/>
    <w:rsid w:val="007D6C94"/>
    <w:rsid w:val="007D71B5"/>
    <w:rsid w:val="007D7BEE"/>
    <w:rsid w:val="007D7E6A"/>
    <w:rsid w:val="007D7F3E"/>
    <w:rsid w:val="007E025C"/>
    <w:rsid w:val="007E038D"/>
    <w:rsid w:val="007E1265"/>
    <w:rsid w:val="007E1441"/>
    <w:rsid w:val="007E1636"/>
    <w:rsid w:val="007E196C"/>
    <w:rsid w:val="007E1D4F"/>
    <w:rsid w:val="007E20CF"/>
    <w:rsid w:val="007E2299"/>
    <w:rsid w:val="007E23BA"/>
    <w:rsid w:val="007E2F63"/>
    <w:rsid w:val="007E353A"/>
    <w:rsid w:val="007E39BE"/>
    <w:rsid w:val="007E43E0"/>
    <w:rsid w:val="007E48B1"/>
    <w:rsid w:val="007E4D8F"/>
    <w:rsid w:val="007E4E03"/>
    <w:rsid w:val="007E5323"/>
    <w:rsid w:val="007E532F"/>
    <w:rsid w:val="007E5414"/>
    <w:rsid w:val="007E5564"/>
    <w:rsid w:val="007E57DD"/>
    <w:rsid w:val="007E5B46"/>
    <w:rsid w:val="007E5B5D"/>
    <w:rsid w:val="007E5D23"/>
    <w:rsid w:val="007E5D69"/>
    <w:rsid w:val="007E62C5"/>
    <w:rsid w:val="007E659A"/>
    <w:rsid w:val="007E69FD"/>
    <w:rsid w:val="007E6E27"/>
    <w:rsid w:val="007E7360"/>
    <w:rsid w:val="007E7642"/>
    <w:rsid w:val="007F009A"/>
    <w:rsid w:val="007F00EC"/>
    <w:rsid w:val="007F0130"/>
    <w:rsid w:val="007F014D"/>
    <w:rsid w:val="007F02C0"/>
    <w:rsid w:val="007F02FC"/>
    <w:rsid w:val="007F0396"/>
    <w:rsid w:val="007F075E"/>
    <w:rsid w:val="007F114E"/>
    <w:rsid w:val="007F1C1E"/>
    <w:rsid w:val="007F1CD4"/>
    <w:rsid w:val="007F21E6"/>
    <w:rsid w:val="007F28CF"/>
    <w:rsid w:val="007F2C8D"/>
    <w:rsid w:val="007F2CDE"/>
    <w:rsid w:val="007F2E2B"/>
    <w:rsid w:val="007F2E5C"/>
    <w:rsid w:val="007F32F2"/>
    <w:rsid w:val="007F33CA"/>
    <w:rsid w:val="007F37A0"/>
    <w:rsid w:val="007F39D8"/>
    <w:rsid w:val="007F3C3D"/>
    <w:rsid w:val="007F3C5D"/>
    <w:rsid w:val="007F444D"/>
    <w:rsid w:val="007F4562"/>
    <w:rsid w:val="007F469F"/>
    <w:rsid w:val="007F4AD6"/>
    <w:rsid w:val="007F4EF6"/>
    <w:rsid w:val="007F51E1"/>
    <w:rsid w:val="007F5570"/>
    <w:rsid w:val="007F5863"/>
    <w:rsid w:val="007F65BF"/>
    <w:rsid w:val="007F6C57"/>
    <w:rsid w:val="007F6F88"/>
    <w:rsid w:val="007F73B2"/>
    <w:rsid w:val="007F75AB"/>
    <w:rsid w:val="007F75DC"/>
    <w:rsid w:val="007F7828"/>
    <w:rsid w:val="007F7895"/>
    <w:rsid w:val="007F7AC9"/>
    <w:rsid w:val="007F7FFA"/>
    <w:rsid w:val="00800230"/>
    <w:rsid w:val="00800DDE"/>
    <w:rsid w:val="008011DB"/>
    <w:rsid w:val="008013F4"/>
    <w:rsid w:val="00801879"/>
    <w:rsid w:val="00801E74"/>
    <w:rsid w:val="00801EF1"/>
    <w:rsid w:val="008020CC"/>
    <w:rsid w:val="008021DA"/>
    <w:rsid w:val="008024C7"/>
    <w:rsid w:val="0080256C"/>
    <w:rsid w:val="008026EF"/>
    <w:rsid w:val="0080349D"/>
    <w:rsid w:val="008038FF"/>
    <w:rsid w:val="00803989"/>
    <w:rsid w:val="008039A6"/>
    <w:rsid w:val="00803C43"/>
    <w:rsid w:val="00804116"/>
    <w:rsid w:val="0080413D"/>
    <w:rsid w:val="0080417F"/>
    <w:rsid w:val="00804E0D"/>
    <w:rsid w:val="00804E59"/>
    <w:rsid w:val="00805371"/>
    <w:rsid w:val="008056BA"/>
    <w:rsid w:val="0080588A"/>
    <w:rsid w:val="00805A1F"/>
    <w:rsid w:val="00806153"/>
    <w:rsid w:val="008066A9"/>
    <w:rsid w:val="008068D0"/>
    <w:rsid w:val="00806A5C"/>
    <w:rsid w:val="0080708F"/>
    <w:rsid w:val="008070C0"/>
    <w:rsid w:val="008070FD"/>
    <w:rsid w:val="008072BC"/>
    <w:rsid w:val="008073AF"/>
    <w:rsid w:val="00807B62"/>
    <w:rsid w:val="00807E2D"/>
    <w:rsid w:val="00810693"/>
    <w:rsid w:val="0081081E"/>
    <w:rsid w:val="00811A2B"/>
    <w:rsid w:val="00811D3A"/>
    <w:rsid w:val="00812A23"/>
    <w:rsid w:val="00812A37"/>
    <w:rsid w:val="00812A7D"/>
    <w:rsid w:val="00812B24"/>
    <w:rsid w:val="0081307B"/>
    <w:rsid w:val="00813399"/>
    <w:rsid w:val="00813C60"/>
    <w:rsid w:val="00813CC2"/>
    <w:rsid w:val="00813CDE"/>
    <w:rsid w:val="00813D84"/>
    <w:rsid w:val="00813F48"/>
    <w:rsid w:val="00814252"/>
    <w:rsid w:val="00814950"/>
    <w:rsid w:val="00814EC4"/>
    <w:rsid w:val="0081562A"/>
    <w:rsid w:val="00815D2D"/>
    <w:rsid w:val="00815EEB"/>
    <w:rsid w:val="00815F18"/>
    <w:rsid w:val="00815FE8"/>
    <w:rsid w:val="008161BB"/>
    <w:rsid w:val="008165F7"/>
    <w:rsid w:val="008168CF"/>
    <w:rsid w:val="00816C9F"/>
    <w:rsid w:val="00816F7A"/>
    <w:rsid w:val="008178A9"/>
    <w:rsid w:val="00817BCE"/>
    <w:rsid w:val="0082076D"/>
    <w:rsid w:val="008207D6"/>
    <w:rsid w:val="00820B95"/>
    <w:rsid w:val="008214B2"/>
    <w:rsid w:val="00821727"/>
    <w:rsid w:val="008218C0"/>
    <w:rsid w:val="00821FA9"/>
    <w:rsid w:val="00822054"/>
    <w:rsid w:val="0082268B"/>
    <w:rsid w:val="00822B9C"/>
    <w:rsid w:val="00822DAA"/>
    <w:rsid w:val="00822DB1"/>
    <w:rsid w:val="00823DBE"/>
    <w:rsid w:val="00823F78"/>
    <w:rsid w:val="0082418E"/>
    <w:rsid w:val="00824608"/>
    <w:rsid w:val="00824959"/>
    <w:rsid w:val="00824F2F"/>
    <w:rsid w:val="00825029"/>
    <w:rsid w:val="008250A9"/>
    <w:rsid w:val="008251CE"/>
    <w:rsid w:val="0082568D"/>
    <w:rsid w:val="008259CB"/>
    <w:rsid w:val="00825B03"/>
    <w:rsid w:val="008268A4"/>
    <w:rsid w:val="00826C49"/>
    <w:rsid w:val="0082734A"/>
    <w:rsid w:val="00827733"/>
    <w:rsid w:val="0082795E"/>
    <w:rsid w:val="00827B0A"/>
    <w:rsid w:val="0083039A"/>
    <w:rsid w:val="008303E2"/>
    <w:rsid w:val="00830EB6"/>
    <w:rsid w:val="00831433"/>
    <w:rsid w:val="00831473"/>
    <w:rsid w:val="00831951"/>
    <w:rsid w:val="00831989"/>
    <w:rsid w:val="00831AA0"/>
    <w:rsid w:val="00831D15"/>
    <w:rsid w:val="00831F92"/>
    <w:rsid w:val="00832149"/>
    <w:rsid w:val="00832483"/>
    <w:rsid w:val="0083285B"/>
    <w:rsid w:val="00832EAF"/>
    <w:rsid w:val="00833094"/>
    <w:rsid w:val="008332E9"/>
    <w:rsid w:val="00833775"/>
    <w:rsid w:val="0083379C"/>
    <w:rsid w:val="00833B9B"/>
    <w:rsid w:val="00833D09"/>
    <w:rsid w:val="0083450A"/>
    <w:rsid w:val="0083475E"/>
    <w:rsid w:val="00834BFC"/>
    <w:rsid w:val="00834DEE"/>
    <w:rsid w:val="00835160"/>
    <w:rsid w:val="008352E2"/>
    <w:rsid w:val="00835521"/>
    <w:rsid w:val="008355A5"/>
    <w:rsid w:val="008356FD"/>
    <w:rsid w:val="00835ECD"/>
    <w:rsid w:val="0083600A"/>
    <w:rsid w:val="0083638A"/>
    <w:rsid w:val="0083656F"/>
    <w:rsid w:val="008366D7"/>
    <w:rsid w:val="00836EE7"/>
    <w:rsid w:val="00836F15"/>
    <w:rsid w:val="008370FD"/>
    <w:rsid w:val="008372B5"/>
    <w:rsid w:val="008379A5"/>
    <w:rsid w:val="00840071"/>
    <w:rsid w:val="008406F1"/>
    <w:rsid w:val="008407D7"/>
    <w:rsid w:val="0084080C"/>
    <w:rsid w:val="00840ADD"/>
    <w:rsid w:val="00840BD2"/>
    <w:rsid w:val="00840C6F"/>
    <w:rsid w:val="00840D3A"/>
    <w:rsid w:val="00840EBE"/>
    <w:rsid w:val="008411FC"/>
    <w:rsid w:val="008414A2"/>
    <w:rsid w:val="008414CF"/>
    <w:rsid w:val="00841D63"/>
    <w:rsid w:val="00841D9A"/>
    <w:rsid w:val="00841F7E"/>
    <w:rsid w:val="008424B4"/>
    <w:rsid w:val="0084263F"/>
    <w:rsid w:val="0084279A"/>
    <w:rsid w:val="00842931"/>
    <w:rsid w:val="00842E05"/>
    <w:rsid w:val="00842F7C"/>
    <w:rsid w:val="008431DC"/>
    <w:rsid w:val="0084320D"/>
    <w:rsid w:val="00843257"/>
    <w:rsid w:val="008433B9"/>
    <w:rsid w:val="00843553"/>
    <w:rsid w:val="00843C25"/>
    <w:rsid w:val="00843D12"/>
    <w:rsid w:val="00843D3F"/>
    <w:rsid w:val="00843FC4"/>
    <w:rsid w:val="008440E2"/>
    <w:rsid w:val="00844677"/>
    <w:rsid w:val="00844733"/>
    <w:rsid w:val="00844759"/>
    <w:rsid w:val="00844963"/>
    <w:rsid w:val="00844A91"/>
    <w:rsid w:val="00844C2C"/>
    <w:rsid w:val="00845268"/>
    <w:rsid w:val="008454CD"/>
    <w:rsid w:val="008460C4"/>
    <w:rsid w:val="008462C8"/>
    <w:rsid w:val="0084648F"/>
    <w:rsid w:val="00846666"/>
    <w:rsid w:val="00846777"/>
    <w:rsid w:val="008468A8"/>
    <w:rsid w:val="00846F5B"/>
    <w:rsid w:val="00846F6C"/>
    <w:rsid w:val="008473EB"/>
    <w:rsid w:val="0084740E"/>
    <w:rsid w:val="00847743"/>
    <w:rsid w:val="00847B2F"/>
    <w:rsid w:val="00847BE7"/>
    <w:rsid w:val="00847DA6"/>
    <w:rsid w:val="00847F4B"/>
    <w:rsid w:val="00850001"/>
    <w:rsid w:val="00850217"/>
    <w:rsid w:val="008502F9"/>
    <w:rsid w:val="008503AE"/>
    <w:rsid w:val="008506A2"/>
    <w:rsid w:val="008507FB"/>
    <w:rsid w:val="00850A53"/>
    <w:rsid w:val="00850AD2"/>
    <w:rsid w:val="00850C03"/>
    <w:rsid w:val="00851292"/>
    <w:rsid w:val="008515A1"/>
    <w:rsid w:val="0085173E"/>
    <w:rsid w:val="008517D6"/>
    <w:rsid w:val="00851B42"/>
    <w:rsid w:val="00851BD4"/>
    <w:rsid w:val="00851DA8"/>
    <w:rsid w:val="00852083"/>
    <w:rsid w:val="00852D54"/>
    <w:rsid w:val="00853289"/>
    <w:rsid w:val="00853643"/>
    <w:rsid w:val="008536B5"/>
    <w:rsid w:val="008536C9"/>
    <w:rsid w:val="00853CCF"/>
    <w:rsid w:val="00853E80"/>
    <w:rsid w:val="00853FEC"/>
    <w:rsid w:val="0085402B"/>
    <w:rsid w:val="00854198"/>
    <w:rsid w:val="00854249"/>
    <w:rsid w:val="00854512"/>
    <w:rsid w:val="0085455D"/>
    <w:rsid w:val="008546EB"/>
    <w:rsid w:val="00854C6A"/>
    <w:rsid w:val="00854F50"/>
    <w:rsid w:val="00855760"/>
    <w:rsid w:val="00855A6A"/>
    <w:rsid w:val="00856099"/>
    <w:rsid w:val="008560AB"/>
    <w:rsid w:val="008562FF"/>
    <w:rsid w:val="008566FB"/>
    <w:rsid w:val="00856806"/>
    <w:rsid w:val="0085730C"/>
    <w:rsid w:val="008601EC"/>
    <w:rsid w:val="0086045F"/>
    <w:rsid w:val="008606E9"/>
    <w:rsid w:val="00860B1E"/>
    <w:rsid w:val="00860F31"/>
    <w:rsid w:val="00861CB3"/>
    <w:rsid w:val="008622BC"/>
    <w:rsid w:val="0086269D"/>
    <w:rsid w:val="00862B1B"/>
    <w:rsid w:val="00862CC5"/>
    <w:rsid w:val="00862DBC"/>
    <w:rsid w:val="00862FEB"/>
    <w:rsid w:val="008635BD"/>
    <w:rsid w:val="008635E6"/>
    <w:rsid w:val="00863BF2"/>
    <w:rsid w:val="00863D1C"/>
    <w:rsid w:val="00863E24"/>
    <w:rsid w:val="008640DB"/>
    <w:rsid w:val="00864737"/>
    <w:rsid w:val="00864B00"/>
    <w:rsid w:val="00864C85"/>
    <w:rsid w:val="0086508C"/>
    <w:rsid w:val="008655F2"/>
    <w:rsid w:val="008657C6"/>
    <w:rsid w:val="00865EFF"/>
    <w:rsid w:val="008661D5"/>
    <w:rsid w:val="00866751"/>
    <w:rsid w:val="008669E9"/>
    <w:rsid w:val="00866A4E"/>
    <w:rsid w:val="00866A5C"/>
    <w:rsid w:val="00866ADF"/>
    <w:rsid w:val="00866B13"/>
    <w:rsid w:val="008670F0"/>
    <w:rsid w:val="008673E9"/>
    <w:rsid w:val="00867544"/>
    <w:rsid w:val="0086796B"/>
    <w:rsid w:val="0086798A"/>
    <w:rsid w:val="00867998"/>
    <w:rsid w:val="00867EA2"/>
    <w:rsid w:val="00867F9E"/>
    <w:rsid w:val="00870606"/>
    <w:rsid w:val="008707A1"/>
    <w:rsid w:val="00870949"/>
    <w:rsid w:val="0087116E"/>
    <w:rsid w:val="00871650"/>
    <w:rsid w:val="008718FD"/>
    <w:rsid w:val="00871D4C"/>
    <w:rsid w:val="00871E23"/>
    <w:rsid w:val="00871E59"/>
    <w:rsid w:val="00872525"/>
    <w:rsid w:val="00872A10"/>
    <w:rsid w:val="008738E9"/>
    <w:rsid w:val="00873B00"/>
    <w:rsid w:val="00873C76"/>
    <w:rsid w:val="00874242"/>
    <w:rsid w:val="0087434D"/>
    <w:rsid w:val="008748A4"/>
    <w:rsid w:val="00874A8C"/>
    <w:rsid w:val="00874D22"/>
    <w:rsid w:val="00874E7C"/>
    <w:rsid w:val="008757E1"/>
    <w:rsid w:val="00875921"/>
    <w:rsid w:val="008759E3"/>
    <w:rsid w:val="00875A76"/>
    <w:rsid w:val="00875B59"/>
    <w:rsid w:val="00875F9A"/>
    <w:rsid w:val="00875FF7"/>
    <w:rsid w:val="0087667E"/>
    <w:rsid w:val="008767E5"/>
    <w:rsid w:val="00876837"/>
    <w:rsid w:val="00876926"/>
    <w:rsid w:val="008771D2"/>
    <w:rsid w:val="0087773C"/>
    <w:rsid w:val="008778C9"/>
    <w:rsid w:val="00877A96"/>
    <w:rsid w:val="00877D8C"/>
    <w:rsid w:val="00877E09"/>
    <w:rsid w:val="00877EF2"/>
    <w:rsid w:val="00880030"/>
    <w:rsid w:val="0088017A"/>
    <w:rsid w:val="0088089A"/>
    <w:rsid w:val="008808D8"/>
    <w:rsid w:val="00880D9A"/>
    <w:rsid w:val="00880E5E"/>
    <w:rsid w:val="0088126D"/>
    <w:rsid w:val="0088151D"/>
    <w:rsid w:val="00881ACE"/>
    <w:rsid w:val="00881F41"/>
    <w:rsid w:val="00881F59"/>
    <w:rsid w:val="00882297"/>
    <w:rsid w:val="008822E1"/>
    <w:rsid w:val="008829B0"/>
    <w:rsid w:val="00882A94"/>
    <w:rsid w:val="00882AE3"/>
    <w:rsid w:val="0088355F"/>
    <w:rsid w:val="008835FE"/>
    <w:rsid w:val="008837F1"/>
    <w:rsid w:val="00883882"/>
    <w:rsid w:val="00883B46"/>
    <w:rsid w:val="00883C7C"/>
    <w:rsid w:val="00883F29"/>
    <w:rsid w:val="00884702"/>
    <w:rsid w:val="0088473F"/>
    <w:rsid w:val="00884A21"/>
    <w:rsid w:val="00884C50"/>
    <w:rsid w:val="00885179"/>
    <w:rsid w:val="0088534A"/>
    <w:rsid w:val="00885924"/>
    <w:rsid w:val="00885AA8"/>
    <w:rsid w:val="00885AF7"/>
    <w:rsid w:val="008863CF"/>
    <w:rsid w:val="00886412"/>
    <w:rsid w:val="00886B07"/>
    <w:rsid w:val="00886E5C"/>
    <w:rsid w:val="00887193"/>
    <w:rsid w:val="008875FE"/>
    <w:rsid w:val="00887894"/>
    <w:rsid w:val="0088795C"/>
    <w:rsid w:val="00887A3C"/>
    <w:rsid w:val="00887ECC"/>
    <w:rsid w:val="0089005D"/>
    <w:rsid w:val="008901DE"/>
    <w:rsid w:val="00890607"/>
    <w:rsid w:val="00890ABA"/>
    <w:rsid w:val="00890BD6"/>
    <w:rsid w:val="00891762"/>
    <w:rsid w:val="00891CFE"/>
    <w:rsid w:val="00892136"/>
    <w:rsid w:val="008921F8"/>
    <w:rsid w:val="00892251"/>
    <w:rsid w:val="00892B15"/>
    <w:rsid w:val="00892E56"/>
    <w:rsid w:val="008932B1"/>
    <w:rsid w:val="00893355"/>
    <w:rsid w:val="008933E6"/>
    <w:rsid w:val="008934F3"/>
    <w:rsid w:val="0089354A"/>
    <w:rsid w:val="00894178"/>
    <w:rsid w:val="00894229"/>
    <w:rsid w:val="008944E2"/>
    <w:rsid w:val="00894596"/>
    <w:rsid w:val="008947F1"/>
    <w:rsid w:val="00894959"/>
    <w:rsid w:val="00894FB8"/>
    <w:rsid w:val="00894FDF"/>
    <w:rsid w:val="0089577A"/>
    <w:rsid w:val="00895A8A"/>
    <w:rsid w:val="00895AD8"/>
    <w:rsid w:val="008960DB"/>
    <w:rsid w:val="008961F3"/>
    <w:rsid w:val="0089693D"/>
    <w:rsid w:val="008969DE"/>
    <w:rsid w:val="00896E7B"/>
    <w:rsid w:val="00896F2B"/>
    <w:rsid w:val="008970A2"/>
    <w:rsid w:val="0089712B"/>
    <w:rsid w:val="00897144"/>
    <w:rsid w:val="008977D8"/>
    <w:rsid w:val="008A022D"/>
    <w:rsid w:val="008A09C1"/>
    <w:rsid w:val="008A100A"/>
    <w:rsid w:val="008A132F"/>
    <w:rsid w:val="008A1CE3"/>
    <w:rsid w:val="008A1F35"/>
    <w:rsid w:val="008A2104"/>
    <w:rsid w:val="008A2248"/>
    <w:rsid w:val="008A2413"/>
    <w:rsid w:val="008A241D"/>
    <w:rsid w:val="008A2ED7"/>
    <w:rsid w:val="008A3630"/>
    <w:rsid w:val="008A39DB"/>
    <w:rsid w:val="008A3A27"/>
    <w:rsid w:val="008A3FD6"/>
    <w:rsid w:val="008A41F7"/>
    <w:rsid w:val="008A42AB"/>
    <w:rsid w:val="008A4358"/>
    <w:rsid w:val="008A45EB"/>
    <w:rsid w:val="008A488A"/>
    <w:rsid w:val="008A4D64"/>
    <w:rsid w:val="008A5405"/>
    <w:rsid w:val="008A5660"/>
    <w:rsid w:val="008A59EA"/>
    <w:rsid w:val="008A5F80"/>
    <w:rsid w:val="008A61A7"/>
    <w:rsid w:val="008A765F"/>
    <w:rsid w:val="008A7A70"/>
    <w:rsid w:val="008A7B91"/>
    <w:rsid w:val="008B0070"/>
    <w:rsid w:val="008B015B"/>
    <w:rsid w:val="008B01C1"/>
    <w:rsid w:val="008B07B6"/>
    <w:rsid w:val="008B09EA"/>
    <w:rsid w:val="008B0B4E"/>
    <w:rsid w:val="008B0BF3"/>
    <w:rsid w:val="008B0CA6"/>
    <w:rsid w:val="008B1159"/>
    <w:rsid w:val="008B11A3"/>
    <w:rsid w:val="008B1236"/>
    <w:rsid w:val="008B12EA"/>
    <w:rsid w:val="008B15BE"/>
    <w:rsid w:val="008B162E"/>
    <w:rsid w:val="008B252C"/>
    <w:rsid w:val="008B2804"/>
    <w:rsid w:val="008B2A2E"/>
    <w:rsid w:val="008B2EB2"/>
    <w:rsid w:val="008B31B8"/>
    <w:rsid w:val="008B3278"/>
    <w:rsid w:val="008B352B"/>
    <w:rsid w:val="008B3909"/>
    <w:rsid w:val="008B3EBE"/>
    <w:rsid w:val="008B440F"/>
    <w:rsid w:val="008B48C2"/>
    <w:rsid w:val="008B4CB5"/>
    <w:rsid w:val="008B4EEC"/>
    <w:rsid w:val="008B54AF"/>
    <w:rsid w:val="008B5528"/>
    <w:rsid w:val="008B5995"/>
    <w:rsid w:val="008B5C1E"/>
    <w:rsid w:val="008B5D7E"/>
    <w:rsid w:val="008B5F22"/>
    <w:rsid w:val="008B5FA5"/>
    <w:rsid w:val="008B6A65"/>
    <w:rsid w:val="008B6A9F"/>
    <w:rsid w:val="008B70FB"/>
    <w:rsid w:val="008B718B"/>
    <w:rsid w:val="008B78EA"/>
    <w:rsid w:val="008B7BC1"/>
    <w:rsid w:val="008B7DDF"/>
    <w:rsid w:val="008B7E0D"/>
    <w:rsid w:val="008B7F6D"/>
    <w:rsid w:val="008C05A8"/>
    <w:rsid w:val="008C0632"/>
    <w:rsid w:val="008C0BC2"/>
    <w:rsid w:val="008C0EEE"/>
    <w:rsid w:val="008C10BC"/>
    <w:rsid w:val="008C13D2"/>
    <w:rsid w:val="008C165E"/>
    <w:rsid w:val="008C16B2"/>
    <w:rsid w:val="008C1A68"/>
    <w:rsid w:val="008C1C7C"/>
    <w:rsid w:val="008C1D57"/>
    <w:rsid w:val="008C1FAB"/>
    <w:rsid w:val="008C20C1"/>
    <w:rsid w:val="008C2C5C"/>
    <w:rsid w:val="008C2CA7"/>
    <w:rsid w:val="008C2D4F"/>
    <w:rsid w:val="008C305E"/>
    <w:rsid w:val="008C3202"/>
    <w:rsid w:val="008C369F"/>
    <w:rsid w:val="008C4089"/>
    <w:rsid w:val="008C420A"/>
    <w:rsid w:val="008C4404"/>
    <w:rsid w:val="008C45D2"/>
    <w:rsid w:val="008C4935"/>
    <w:rsid w:val="008C499C"/>
    <w:rsid w:val="008C4BB5"/>
    <w:rsid w:val="008C4D03"/>
    <w:rsid w:val="008C5007"/>
    <w:rsid w:val="008C51F0"/>
    <w:rsid w:val="008C53F0"/>
    <w:rsid w:val="008C5545"/>
    <w:rsid w:val="008C55A2"/>
    <w:rsid w:val="008C5746"/>
    <w:rsid w:val="008C5B02"/>
    <w:rsid w:val="008C5C4B"/>
    <w:rsid w:val="008C5D79"/>
    <w:rsid w:val="008C5F02"/>
    <w:rsid w:val="008C6343"/>
    <w:rsid w:val="008C6348"/>
    <w:rsid w:val="008C6942"/>
    <w:rsid w:val="008C69EC"/>
    <w:rsid w:val="008C6ACD"/>
    <w:rsid w:val="008C788B"/>
    <w:rsid w:val="008C7949"/>
    <w:rsid w:val="008C7E49"/>
    <w:rsid w:val="008C7E4A"/>
    <w:rsid w:val="008C7FE9"/>
    <w:rsid w:val="008D056A"/>
    <w:rsid w:val="008D08EE"/>
    <w:rsid w:val="008D1193"/>
    <w:rsid w:val="008D1333"/>
    <w:rsid w:val="008D1A6B"/>
    <w:rsid w:val="008D1AC5"/>
    <w:rsid w:val="008D1C17"/>
    <w:rsid w:val="008D1EF2"/>
    <w:rsid w:val="008D22AF"/>
    <w:rsid w:val="008D23F7"/>
    <w:rsid w:val="008D2913"/>
    <w:rsid w:val="008D2FBA"/>
    <w:rsid w:val="008D335E"/>
    <w:rsid w:val="008D351C"/>
    <w:rsid w:val="008D3785"/>
    <w:rsid w:val="008D379B"/>
    <w:rsid w:val="008D395C"/>
    <w:rsid w:val="008D399A"/>
    <w:rsid w:val="008D4535"/>
    <w:rsid w:val="008D4847"/>
    <w:rsid w:val="008D4C46"/>
    <w:rsid w:val="008D5C58"/>
    <w:rsid w:val="008D5DA1"/>
    <w:rsid w:val="008D6182"/>
    <w:rsid w:val="008D63AA"/>
    <w:rsid w:val="008D65D5"/>
    <w:rsid w:val="008D6CCF"/>
    <w:rsid w:val="008D6E70"/>
    <w:rsid w:val="008D6FEA"/>
    <w:rsid w:val="008D754B"/>
    <w:rsid w:val="008D793A"/>
    <w:rsid w:val="008D79CB"/>
    <w:rsid w:val="008D7A41"/>
    <w:rsid w:val="008D7AE5"/>
    <w:rsid w:val="008D7E66"/>
    <w:rsid w:val="008D7F95"/>
    <w:rsid w:val="008E0059"/>
    <w:rsid w:val="008E01EC"/>
    <w:rsid w:val="008E022A"/>
    <w:rsid w:val="008E0CF5"/>
    <w:rsid w:val="008E1043"/>
    <w:rsid w:val="008E1658"/>
    <w:rsid w:val="008E17B0"/>
    <w:rsid w:val="008E18C8"/>
    <w:rsid w:val="008E1985"/>
    <w:rsid w:val="008E26BE"/>
    <w:rsid w:val="008E290E"/>
    <w:rsid w:val="008E3324"/>
    <w:rsid w:val="008E36A9"/>
    <w:rsid w:val="008E3FF2"/>
    <w:rsid w:val="008E40C6"/>
    <w:rsid w:val="008E44D1"/>
    <w:rsid w:val="008E49A9"/>
    <w:rsid w:val="008E4B49"/>
    <w:rsid w:val="008E4B5A"/>
    <w:rsid w:val="008E5180"/>
    <w:rsid w:val="008E535E"/>
    <w:rsid w:val="008E5501"/>
    <w:rsid w:val="008E5638"/>
    <w:rsid w:val="008E5ACD"/>
    <w:rsid w:val="008E5D33"/>
    <w:rsid w:val="008E5F0D"/>
    <w:rsid w:val="008E5F62"/>
    <w:rsid w:val="008E6314"/>
    <w:rsid w:val="008E63C5"/>
    <w:rsid w:val="008E65C2"/>
    <w:rsid w:val="008E6BB0"/>
    <w:rsid w:val="008E6C24"/>
    <w:rsid w:val="008E6D54"/>
    <w:rsid w:val="008E6D73"/>
    <w:rsid w:val="008E6DCD"/>
    <w:rsid w:val="008E6E22"/>
    <w:rsid w:val="008E6FA5"/>
    <w:rsid w:val="008E7383"/>
    <w:rsid w:val="008E76D5"/>
    <w:rsid w:val="008E79AE"/>
    <w:rsid w:val="008E7A67"/>
    <w:rsid w:val="008E7ABE"/>
    <w:rsid w:val="008F0061"/>
    <w:rsid w:val="008F033C"/>
    <w:rsid w:val="008F03BC"/>
    <w:rsid w:val="008F0592"/>
    <w:rsid w:val="008F0DCF"/>
    <w:rsid w:val="008F14FE"/>
    <w:rsid w:val="008F1704"/>
    <w:rsid w:val="008F1877"/>
    <w:rsid w:val="008F18DA"/>
    <w:rsid w:val="008F1929"/>
    <w:rsid w:val="008F1AC8"/>
    <w:rsid w:val="008F1B94"/>
    <w:rsid w:val="008F285D"/>
    <w:rsid w:val="008F2A01"/>
    <w:rsid w:val="008F2DE7"/>
    <w:rsid w:val="008F2DFF"/>
    <w:rsid w:val="008F2ED6"/>
    <w:rsid w:val="008F2F64"/>
    <w:rsid w:val="008F32E1"/>
    <w:rsid w:val="008F367A"/>
    <w:rsid w:val="008F3747"/>
    <w:rsid w:val="008F37F4"/>
    <w:rsid w:val="008F39C2"/>
    <w:rsid w:val="008F3A34"/>
    <w:rsid w:val="008F4043"/>
    <w:rsid w:val="008F4A53"/>
    <w:rsid w:val="008F4ADF"/>
    <w:rsid w:val="008F55C5"/>
    <w:rsid w:val="008F58CF"/>
    <w:rsid w:val="008F5AA6"/>
    <w:rsid w:val="008F60FF"/>
    <w:rsid w:val="008F6173"/>
    <w:rsid w:val="008F61AB"/>
    <w:rsid w:val="008F6444"/>
    <w:rsid w:val="008F6456"/>
    <w:rsid w:val="008F6565"/>
    <w:rsid w:val="008F66CE"/>
    <w:rsid w:val="008F6A01"/>
    <w:rsid w:val="008F7363"/>
    <w:rsid w:val="008F7675"/>
    <w:rsid w:val="008F7848"/>
    <w:rsid w:val="008F7AC8"/>
    <w:rsid w:val="008F7BE3"/>
    <w:rsid w:val="008F7C96"/>
    <w:rsid w:val="008F7FD2"/>
    <w:rsid w:val="00900880"/>
    <w:rsid w:val="009014DF"/>
    <w:rsid w:val="00902195"/>
    <w:rsid w:val="00902805"/>
    <w:rsid w:val="00902CE0"/>
    <w:rsid w:val="00903140"/>
    <w:rsid w:val="0090329C"/>
    <w:rsid w:val="0090381E"/>
    <w:rsid w:val="00904C62"/>
    <w:rsid w:val="009051DE"/>
    <w:rsid w:val="0090564C"/>
    <w:rsid w:val="00905689"/>
    <w:rsid w:val="00905B68"/>
    <w:rsid w:val="00906486"/>
    <w:rsid w:val="009067DE"/>
    <w:rsid w:val="00906BBD"/>
    <w:rsid w:val="00906D92"/>
    <w:rsid w:val="00907647"/>
    <w:rsid w:val="009076E6"/>
    <w:rsid w:val="00907EA8"/>
    <w:rsid w:val="009100C3"/>
    <w:rsid w:val="00910EED"/>
    <w:rsid w:val="00910FF2"/>
    <w:rsid w:val="009111C2"/>
    <w:rsid w:val="009112E4"/>
    <w:rsid w:val="009112ED"/>
    <w:rsid w:val="00911348"/>
    <w:rsid w:val="00911553"/>
    <w:rsid w:val="00911695"/>
    <w:rsid w:val="00911DC1"/>
    <w:rsid w:val="00911DCE"/>
    <w:rsid w:val="009120C2"/>
    <w:rsid w:val="0091243D"/>
    <w:rsid w:val="0091293D"/>
    <w:rsid w:val="00912B38"/>
    <w:rsid w:val="00912C9B"/>
    <w:rsid w:val="00912CCA"/>
    <w:rsid w:val="00912D47"/>
    <w:rsid w:val="00912E89"/>
    <w:rsid w:val="00913128"/>
    <w:rsid w:val="00913271"/>
    <w:rsid w:val="0091328D"/>
    <w:rsid w:val="00913601"/>
    <w:rsid w:val="00913F5E"/>
    <w:rsid w:val="00914052"/>
    <w:rsid w:val="00914A2E"/>
    <w:rsid w:val="00914B18"/>
    <w:rsid w:val="00914B26"/>
    <w:rsid w:val="00914C00"/>
    <w:rsid w:val="009155CE"/>
    <w:rsid w:val="009159A9"/>
    <w:rsid w:val="00915B28"/>
    <w:rsid w:val="009163CE"/>
    <w:rsid w:val="009165EA"/>
    <w:rsid w:val="00916626"/>
    <w:rsid w:val="00916A29"/>
    <w:rsid w:val="00916ADC"/>
    <w:rsid w:val="00916C9B"/>
    <w:rsid w:val="0091738D"/>
    <w:rsid w:val="00917D39"/>
    <w:rsid w:val="00920127"/>
    <w:rsid w:val="009201B3"/>
    <w:rsid w:val="009206C8"/>
    <w:rsid w:val="0092072F"/>
    <w:rsid w:val="009209D7"/>
    <w:rsid w:val="00920DE1"/>
    <w:rsid w:val="00921092"/>
    <w:rsid w:val="009216CE"/>
    <w:rsid w:val="00921FFC"/>
    <w:rsid w:val="00922456"/>
    <w:rsid w:val="009226A6"/>
    <w:rsid w:val="009229FA"/>
    <w:rsid w:val="00922D32"/>
    <w:rsid w:val="00922DAA"/>
    <w:rsid w:val="00923067"/>
    <w:rsid w:val="009230A5"/>
    <w:rsid w:val="009234D7"/>
    <w:rsid w:val="009236DC"/>
    <w:rsid w:val="009236F1"/>
    <w:rsid w:val="00923D2B"/>
    <w:rsid w:val="00924104"/>
    <w:rsid w:val="00924377"/>
    <w:rsid w:val="00924627"/>
    <w:rsid w:val="00924D44"/>
    <w:rsid w:val="00925259"/>
    <w:rsid w:val="00925574"/>
    <w:rsid w:val="00925970"/>
    <w:rsid w:val="00925A30"/>
    <w:rsid w:val="00925A3E"/>
    <w:rsid w:val="00925AF3"/>
    <w:rsid w:val="00925C48"/>
    <w:rsid w:val="00925CBE"/>
    <w:rsid w:val="00925D05"/>
    <w:rsid w:val="00925E57"/>
    <w:rsid w:val="00925EFB"/>
    <w:rsid w:val="00925F5D"/>
    <w:rsid w:val="00925F64"/>
    <w:rsid w:val="00926216"/>
    <w:rsid w:val="0092647E"/>
    <w:rsid w:val="00926654"/>
    <w:rsid w:val="00926779"/>
    <w:rsid w:val="00926AC4"/>
    <w:rsid w:val="00926D0D"/>
    <w:rsid w:val="00926ED0"/>
    <w:rsid w:val="00926FC5"/>
    <w:rsid w:val="009275D1"/>
    <w:rsid w:val="00927AFF"/>
    <w:rsid w:val="009301CD"/>
    <w:rsid w:val="009302F4"/>
    <w:rsid w:val="0093044B"/>
    <w:rsid w:val="00930457"/>
    <w:rsid w:val="00930746"/>
    <w:rsid w:val="009307A2"/>
    <w:rsid w:val="00930C11"/>
    <w:rsid w:val="00930D09"/>
    <w:rsid w:val="00930D94"/>
    <w:rsid w:val="009311CE"/>
    <w:rsid w:val="009314EA"/>
    <w:rsid w:val="00931630"/>
    <w:rsid w:val="00931942"/>
    <w:rsid w:val="00931A00"/>
    <w:rsid w:val="00931F07"/>
    <w:rsid w:val="009321A8"/>
    <w:rsid w:val="00932217"/>
    <w:rsid w:val="009325A3"/>
    <w:rsid w:val="00932B99"/>
    <w:rsid w:val="00932F2E"/>
    <w:rsid w:val="00933A17"/>
    <w:rsid w:val="00933C68"/>
    <w:rsid w:val="00933F19"/>
    <w:rsid w:val="0093472D"/>
    <w:rsid w:val="0093487C"/>
    <w:rsid w:val="00934BF1"/>
    <w:rsid w:val="00934D60"/>
    <w:rsid w:val="00934F59"/>
    <w:rsid w:val="00934FA0"/>
    <w:rsid w:val="00935BAA"/>
    <w:rsid w:val="00935C5B"/>
    <w:rsid w:val="00935E8A"/>
    <w:rsid w:val="00936186"/>
    <w:rsid w:val="00936610"/>
    <w:rsid w:val="009366ED"/>
    <w:rsid w:val="009367A8"/>
    <w:rsid w:val="00936AE2"/>
    <w:rsid w:val="00936D94"/>
    <w:rsid w:val="00936F31"/>
    <w:rsid w:val="009370F2"/>
    <w:rsid w:val="009371B0"/>
    <w:rsid w:val="0093767E"/>
    <w:rsid w:val="00937688"/>
    <w:rsid w:val="0093770F"/>
    <w:rsid w:val="00937988"/>
    <w:rsid w:val="00937B07"/>
    <w:rsid w:val="00937B31"/>
    <w:rsid w:val="00940386"/>
    <w:rsid w:val="009403D6"/>
    <w:rsid w:val="009404DD"/>
    <w:rsid w:val="009404F6"/>
    <w:rsid w:val="00940B1C"/>
    <w:rsid w:val="00940E19"/>
    <w:rsid w:val="00940EA3"/>
    <w:rsid w:val="009411BC"/>
    <w:rsid w:val="0094146E"/>
    <w:rsid w:val="009414DB"/>
    <w:rsid w:val="00941678"/>
    <w:rsid w:val="0094214B"/>
    <w:rsid w:val="009422BA"/>
    <w:rsid w:val="0094242A"/>
    <w:rsid w:val="00942468"/>
    <w:rsid w:val="009429FF"/>
    <w:rsid w:val="00943148"/>
    <w:rsid w:val="0094324E"/>
    <w:rsid w:val="009437D1"/>
    <w:rsid w:val="00943DA4"/>
    <w:rsid w:val="0094440C"/>
    <w:rsid w:val="0094503D"/>
    <w:rsid w:val="00945344"/>
    <w:rsid w:val="00945768"/>
    <w:rsid w:val="009457C0"/>
    <w:rsid w:val="009459FA"/>
    <w:rsid w:val="00945B54"/>
    <w:rsid w:val="00945E62"/>
    <w:rsid w:val="00945F53"/>
    <w:rsid w:val="009462CA"/>
    <w:rsid w:val="0094659E"/>
    <w:rsid w:val="00946C39"/>
    <w:rsid w:val="00946D9D"/>
    <w:rsid w:val="0094756F"/>
    <w:rsid w:val="0094776D"/>
    <w:rsid w:val="009477CA"/>
    <w:rsid w:val="00947887"/>
    <w:rsid w:val="00947D66"/>
    <w:rsid w:val="00950094"/>
    <w:rsid w:val="00950601"/>
    <w:rsid w:val="0095094A"/>
    <w:rsid w:val="009510E9"/>
    <w:rsid w:val="0095128F"/>
    <w:rsid w:val="009512D7"/>
    <w:rsid w:val="009516AD"/>
    <w:rsid w:val="009517D4"/>
    <w:rsid w:val="00951DAE"/>
    <w:rsid w:val="009522AA"/>
    <w:rsid w:val="009522C2"/>
    <w:rsid w:val="0095239A"/>
    <w:rsid w:val="00952642"/>
    <w:rsid w:val="0095270B"/>
    <w:rsid w:val="00952810"/>
    <w:rsid w:val="00952845"/>
    <w:rsid w:val="00953666"/>
    <w:rsid w:val="0095371D"/>
    <w:rsid w:val="00954D40"/>
    <w:rsid w:val="009550DC"/>
    <w:rsid w:val="0095518B"/>
    <w:rsid w:val="009551F9"/>
    <w:rsid w:val="00955581"/>
    <w:rsid w:val="00955AD4"/>
    <w:rsid w:val="00955F74"/>
    <w:rsid w:val="009561DB"/>
    <w:rsid w:val="009566BA"/>
    <w:rsid w:val="009569BE"/>
    <w:rsid w:val="009569EE"/>
    <w:rsid w:val="00956B5B"/>
    <w:rsid w:val="00956FAD"/>
    <w:rsid w:val="009570FC"/>
    <w:rsid w:val="00957196"/>
    <w:rsid w:val="00957560"/>
    <w:rsid w:val="00957780"/>
    <w:rsid w:val="00957D35"/>
    <w:rsid w:val="00957F28"/>
    <w:rsid w:val="00957FD7"/>
    <w:rsid w:val="009605EE"/>
    <w:rsid w:val="00960D2F"/>
    <w:rsid w:val="0096151E"/>
    <w:rsid w:val="0096164C"/>
    <w:rsid w:val="009617E3"/>
    <w:rsid w:val="009618C2"/>
    <w:rsid w:val="00961D53"/>
    <w:rsid w:val="0096216A"/>
    <w:rsid w:val="00962170"/>
    <w:rsid w:val="009622A0"/>
    <w:rsid w:val="009622CB"/>
    <w:rsid w:val="009630F5"/>
    <w:rsid w:val="0096316A"/>
    <w:rsid w:val="009631EE"/>
    <w:rsid w:val="00963768"/>
    <w:rsid w:val="00963DA6"/>
    <w:rsid w:val="00963DAD"/>
    <w:rsid w:val="00964046"/>
    <w:rsid w:val="0096467A"/>
    <w:rsid w:val="00964A3C"/>
    <w:rsid w:val="00964CD4"/>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7A1"/>
    <w:rsid w:val="00967D82"/>
    <w:rsid w:val="009707FB"/>
    <w:rsid w:val="00970B72"/>
    <w:rsid w:val="00970BF4"/>
    <w:rsid w:val="00970E5C"/>
    <w:rsid w:val="00971625"/>
    <w:rsid w:val="00971952"/>
    <w:rsid w:val="00971FAD"/>
    <w:rsid w:val="009722F9"/>
    <w:rsid w:val="009723D0"/>
    <w:rsid w:val="00972688"/>
    <w:rsid w:val="009726BE"/>
    <w:rsid w:val="00972B11"/>
    <w:rsid w:val="00972D30"/>
    <w:rsid w:val="009730B3"/>
    <w:rsid w:val="00973C3A"/>
    <w:rsid w:val="00973D65"/>
    <w:rsid w:val="00974015"/>
    <w:rsid w:val="00974046"/>
    <w:rsid w:val="0097410D"/>
    <w:rsid w:val="009742E7"/>
    <w:rsid w:val="009749C2"/>
    <w:rsid w:val="00974FC4"/>
    <w:rsid w:val="00975011"/>
    <w:rsid w:val="00975219"/>
    <w:rsid w:val="009755CA"/>
    <w:rsid w:val="00975862"/>
    <w:rsid w:val="009758DE"/>
    <w:rsid w:val="00975B6A"/>
    <w:rsid w:val="00975D6F"/>
    <w:rsid w:val="00975F6F"/>
    <w:rsid w:val="009761A4"/>
    <w:rsid w:val="009762BD"/>
    <w:rsid w:val="00976414"/>
    <w:rsid w:val="00976491"/>
    <w:rsid w:val="00976BDB"/>
    <w:rsid w:val="00976D29"/>
    <w:rsid w:val="00976DB2"/>
    <w:rsid w:val="00977300"/>
    <w:rsid w:val="009776C7"/>
    <w:rsid w:val="00977A8C"/>
    <w:rsid w:val="00980200"/>
    <w:rsid w:val="00980B29"/>
    <w:rsid w:val="00980B92"/>
    <w:rsid w:val="00981076"/>
    <w:rsid w:val="00981341"/>
    <w:rsid w:val="0098151E"/>
    <w:rsid w:val="0098152D"/>
    <w:rsid w:val="00981588"/>
    <w:rsid w:val="00981B59"/>
    <w:rsid w:val="00981D76"/>
    <w:rsid w:val="00981D79"/>
    <w:rsid w:val="00981EF5"/>
    <w:rsid w:val="00981F56"/>
    <w:rsid w:val="00982389"/>
    <w:rsid w:val="00982D62"/>
    <w:rsid w:val="00982F91"/>
    <w:rsid w:val="00983269"/>
    <w:rsid w:val="00983DBB"/>
    <w:rsid w:val="00983EC1"/>
    <w:rsid w:val="009841A4"/>
    <w:rsid w:val="00984A0A"/>
    <w:rsid w:val="00985F2A"/>
    <w:rsid w:val="0098618E"/>
    <w:rsid w:val="0098665F"/>
    <w:rsid w:val="00986BF7"/>
    <w:rsid w:val="009877EE"/>
    <w:rsid w:val="009879D2"/>
    <w:rsid w:val="00987B60"/>
    <w:rsid w:val="00987FCD"/>
    <w:rsid w:val="0099021C"/>
    <w:rsid w:val="00990226"/>
    <w:rsid w:val="009903D7"/>
    <w:rsid w:val="0099040C"/>
    <w:rsid w:val="009905E4"/>
    <w:rsid w:val="0099063A"/>
    <w:rsid w:val="00990F9A"/>
    <w:rsid w:val="009911D2"/>
    <w:rsid w:val="009914CC"/>
    <w:rsid w:val="009914E4"/>
    <w:rsid w:val="00991792"/>
    <w:rsid w:val="009917AB"/>
    <w:rsid w:val="009919C6"/>
    <w:rsid w:val="00991B6C"/>
    <w:rsid w:val="00991C6B"/>
    <w:rsid w:val="009922F3"/>
    <w:rsid w:val="00992B44"/>
    <w:rsid w:val="00992D40"/>
    <w:rsid w:val="0099325E"/>
    <w:rsid w:val="00993A76"/>
    <w:rsid w:val="00994030"/>
    <w:rsid w:val="009940A8"/>
    <w:rsid w:val="00994186"/>
    <w:rsid w:val="0099469B"/>
    <w:rsid w:val="009946EF"/>
    <w:rsid w:val="00994A45"/>
    <w:rsid w:val="00994BD6"/>
    <w:rsid w:val="00994FF8"/>
    <w:rsid w:val="00995156"/>
    <w:rsid w:val="00995BF9"/>
    <w:rsid w:val="00995E5E"/>
    <w:rsid w:val="00995E90"/>
    <w:rsid w:val="00995ECD"/>
    <w:rsid w:val="00996075"/>
    <w:rsid w:val="0099648B"/>
    <w:rsid w:val="00996711"/>
    <w:rsid w:val="009968EF"/>
    <w:rsid w:val="00996DA4"/>
    <w:rsid w:val="00997013"/>
    <w:rsid w:val="0099702F"/>
    <w:rsid w:val="009972D1"/>
    <w:rsid w:val="00997637"/>
    <w:rsid w:val="00997917"/>
    <w:rsid w:val="009979ED"/>
    <w:rsid w:val="00997B0A"/>
    <w:rsid w:val="00997EBE"/>
    <w:rsid w:val="009A06BE"/>
    <w:rsid w:val="009A0795"/>
    <w:rsid w:val="009A0995"/>
    <w:rsid w:val="009A0B1C"/>
    <w:rsid w:val="009A0DEA"/>
    <w:rsid w:val="009A18CD"/>
    <w:rsid w:val="009A1F29"/>
    <w:rsid w:val="009A200E"/>
    <w:rsid w:val="009A20B2"/>
    <w:rsid w:val="009A214F"/>
    <w:rsid w:val="009A30FA"/>
    <w:rsid w:val="009A3A69"/>
    <w:rsid w:val="009A3F58"/>
    <w:rsid w:val="009A426A"/>
    <w:rsid w:val="009A4329"/>
    <w:rsid w:val="009A468D"/>
    <w:rsid w:val="009A4C7C"/>
    <w:rsid w:val="009A4D67"/>
    <w:rsid w:val="009A501F"/>
    <w:rsid w:val="009A5304"/>
    <w:rsid w:val="009A5A54"/>
    <w:rsid w:val="009A5B13"/>
    <w:rsid w:val="009A5B4F"/>
    <w:rsid w:val="009A5F21"/>
    <w:rsid w:val="009A5F71"/>
    <w:rsid w:val="009A61C6"/>
    <w:rsid w:val="009A66A7"/>
    <w:rsid w:val="009A6F26"/>
    <w:rsid w:val="009A7348"/>
    <w:rsid w:val="009A76D6"/>
    <w:rsid w:val="009A772B"/>
    <w:rsid w:val="009A797D"/>
    <w:rsid w:val="009A799A"/>
    <w:rsid w:val="009A79E7"/>
    <w:rsid w:val="009A7B49"/>
    <w:rsid w:val="009A7C7F"/>
    <w:rsid w:val="009A7F69"/>
    <w:rsid w:val="009B0573"/>
    <w:rsid w:val="009B09C5"/>
    <w:rsid w:val="009B0A8D"/>
    <w:rsid w:val="009B16BE"/>
    <w:rsid w:val="009B179C"/>
    <w:rsid w:val="009B18DC"/>
    <w:rsid w:val="009B19A6"/>
    <w:rsid w:val="009B1BA9"/>
    <w:rsid w:val="009B1FD5"/>
    <w:rsid w:val="009B24E8"/>
    <w:rsid w:val="009B2588"/>
    <w:rsid w:val="009B298E"/>
    <w:rsid w:val="009B2EEF"/>
    <w:rsid w:val="009B3361"/>
    <w:rsid w:val="009B370A"/>
    <w:rsid w:val="009B393E"/>
    <w:rsid w:val="009B39BA"/>
    <w:rsid w:val="009B3B32"/>
    <w:rsid w:val="009B3BC2"/>
    <w:rsid w:val="009B3E30"/>
    <w:rsid w:val="009B4C36"/>
    <w:rsid w:val="009B4DB4"/>
    <w:rsid w:val="009B537F"/>
    <w:rsid w:val="009B55E2"/>
    <w:rsid w:val="009B56B5"/>
    <w:rsid w:val="009B5C02"/>
    <w:rsid w:val="009B6367"/>
    <w:rsid w:val="009B6718"/>
    <w:rsid w:val="009B6844"/>
    <w:rsid w:val="009B6896"/>
    <w:rsid w:val="009B6E15"/>
    <w:rsid w:val="009B6EE2"/>
    <w:rsid w:val="009C0441"/>
    <w:rsid w:val="009C0A91"/>
    <w:rsid w:val="009C0B5A"/>
    <w:rsid w:val="009C0C89"/>
    <w:rsid w:val="009C0FD8"/>
    <w:rsid w:val="009C1092"/>
    <w:rsid w:val="009C11FF"/>
    <w:rsid w:val="009C13DB"/>
    <w:rsid w:val="009C18B1"/>
    <w:rsid w:val="009C1A55"/>
    <w:rsid w:val="009C1D89"/>
    <w:rsid w:val="009C1F35"/>
    <w:rsid w:val="009C24EB"/>
    <w:rsid w:val="009C2EFA"/>
    <w:rsid w:val="009C2FF5"/>
    <w:rsid w:val="009C3105"/>
    <w:rsid w:val="009C321D"/>
    <w:rsid w:val="009C35D2"/>
    <w:rsid w:val="009C37C1"/>
    <w:rsid w:val="009C38F3"/>
    <w:rsid w:val="009C3CD6"/>
    <w:rsid w:val="009C3E45"/>
    <w:rsid w:val="009C426F"/>
    <w:rsid w:val="009C457F"/>
    <w:rsid w:val="009C4904"/>
    <w:rsid w:val="009C4A71"/>
    <w:rsid w:val="009C4BB8"/>
    <w:rsid w:val="009C4BB9"/>
    <w:rsid w:val="009C4C49"/>
    <w:rsid w:val="009C4C53"/>
    <w:rsid w:val="009C4C67"/>
    <w:rsid w:val="009C4D9A"/>
    <w:rsid w:val="009C4DCB"/>
    <w:rsid w:val="009C5050"/>
    <w:rsid w:val="009C52BD"/>
    <w:rsid w:val="009C546D"/>
    <w:rsid w:val="009C56F2"/>
    <w:rsid w:val="009C5C6E"/>
    <w:rsid w:val="009C62A4"/>
    <w:rsid w:val="009C63E5"/>
    <w:rsid w:val="009C6430"/>
    <w:rsid w:val="009C6546"/>
    <w:rsid w:val="009C65D6"/>
    <w:rsid w:val="009C6B7F"/>
    <w:rsid w:val="009C6FA5"/>
    <w:rsid w:val="009C750B"/>
    <w:rsid w:val="009C7858"/>
    <w:rsid w:val="009C78B1"/>
    <w:rsid w:val="009C78BD"/>
    <w:rsid w:val="009C79BE"/>
    <w:rsid w:val="009C7AA7"/>
    <w:rsid w:val="009C7C98"/>
    <w:rsid w:val="009C7E3B"/>
    <w:rsid w:val="009D02AE"/>
    <w:rsid w:val="009D0702"/>
    <w:rsid w:val="009D07FE"/>
    <w:rsid w:val="009D0A47"/>
    <w:rsid w:val="009D0C70"/>
    <w:rsid w:val="009D1060"/>
    <w:rsid w:val="009D1168"/>
    <w:rsid w:val="009D1EFE"/>
    <w:rsid w:val="009D1FDD"/>
    <w:rsid w:val="009D2302"/>
    <w:rsid w:val="009D2D7F"/>
    <w:rsid w:val="009D31E0"/>
    <w:rsid w:val="009D4F50"/>
    <w:rsid w:val="009D5122"/>
    <w:rsid w:val="009D528F"/>
    <w:rsid w:val="009D5483"/>
    <w:rsid w:val="009D5555"/>
    <w:rsid w:val="009D56ED"/>
    <w:rsid w:val="009D57FF"/>
    <w:rsid w:val="009D5AB3"/>
    <w:rsid w:val="009D5D63"/>
    <w:rsid w:val="009D612C"/>
    <w:rsid w:val="009D638E"/>
    <w:rsid w:val="009D655D"/>
    <w:rsid w:val="009D673A"/>
    <w:rsid w:val="009D6CA6"/>
    <w:rsid w:val="009D7293"/>
    <w:rsid w:val="009D72DD"/>
    <w:rsid w:val="009D7347"/>
    <w:rsid w:val="009D7659"/>
    <w:rsid w:val="009D7D4C"/>
    <w:rsid w:val="009D7DE0"/>
    <w:rsid w:val="009E0259"/>
    <w:rsid w:val="009E0347"/>
    <w:rsid w:val="009E0561"/>
    <w:rsid w:val="009E057F"/>
    <w:rsid w:val="009E062A"/>
    <w:rsid w:val="009E0C81"/>
    <w:rsid w:val="009E1A69"/>
    <w:rsid w:val="009E1D6F"/>
    <w:rsid w:val="009E1D84"/>
    <w:rsid w:val="009E1DB0"/>
    <w:rsid w:val="009E1F76"/>
    <w:rsid w:val="009E2269"/>
    <w:rsid w:val="009E22B9"/>
    <w:rsid w:val="009E23D2"/>
    <w:rsid w:val="009E2CE2"/>
    <w:rsid w:val="009E2E24"/>
    <w:rsid w:val="009E3010"/>
    <w:rsid w:val="009E33DD"/>
    <w:rsid w:val="009E3E79"/>
    <w:rsid w:val="009E45FC"/>
    <w:rsid w:val="009E484E"/>
    <w:rsid w:val="009E4CA5"/>
    <w:rsid w:val="009E4CBE"/>
    <w:rsid w:val="009E4E5E"/>
    <w:rsid w:val="009E5220"/>
    <w:rsid w:val="009E52DA"/>
    <w:rsid w:val="009E5538"/>
    <w:rsid w:val="009E5556"/>
    <w:rsid w:val="009E5648"/>
    <w:rsid w:val="009E579F"/>
    <w:rsid w:val="009E589A"/>
    <w:rsid w:val="009E5CDB"/>
    <w:rsid w:val="009E5D4B"/>
    <w:rsid w:val="009E5D4D"/>
    <w:rsid w:val="009E5D7C"/>
    <w:rsid w:val="009E5FD7"/>
    <w:rsid w:val="009E6458"/>
    <w:rsid w:val="009E66CE"/>
    <w:rsid w:val="009E70F6"/>
    <w:rsid w:val="009E71B8"/>
    <w:rsid w:val="009E71FD"/>
    <w:rsid w:val="009E7733"/>
    <w:rsid w:val="009E776C"/>
    <w:rsid w:val="009E78DE"/>
    <w:rsid w:val="009E7999"/>
    <w:rsid w:val="009E79F9"/>
    <w:rsid w:val="009E7D20"/>
    <w:rsid w:val="009E7D48"/>
    <w:rsid w:val="009E7E37"/>
    <w:rsid w:val="009F052D"/>
    <w:rsid w:val="009F0602"/>
    <w:rsid w:val="009F0B65"/>
    <w:rsid w:val="009F0B76"/>
    <w:rsid w:val="009F0D42"/>
    <w:rsid w:val="009F1475"/>
    <w:rsid w:val="009F1BFE"/>
    <w:rsid w:val="009F1CB7"/>
    <w:rsid w:val="009F1FE5"/>
    <w:rsid w:val="009F2143"/>
    <w:rsid w:val="009F21D3"/>
    <w:rsid w:val="009F2916"/>
    <w:rsid w:val="009F4745"/>
    <w:rsid w:val="009F48CA"/>
    <w:rsid w:val="009F4F0A"/>
    <w:rsid w:val="009F4F52"/>
    <w:rsid w:val="009F4FC3"/>
    <w:rsid w:val="009F50E7"/>
    <w:rsid w:val="009F54BC"/>
    <w:rsid w:val="009F55A9"/>
    <w:rsid w:val="009F585A"/>
    <w:rsid w:val="009F5B4D"/>
    <w:rsid w:val="009F5D69"/>
    <w:rsid w:val="009F6759"/>
    <w:rsid w:val="009F6778"/>
    <w:rsid w:val="009F6B7F"/>
    <w:rsid w:val="009F6BCC"/>
    <w:rsid w:val="009F6C7F"/>
    <w:rsid w:val="009F72B1"/>
    <w:rsid w:val="009F7723"/>
    <w:rsid w:val="00A000BB"/>
    <w:rsid w:val="00A00214"/>
    <w:rsid w:val="00A002D4"/>
    <w:rsid w:val="00A003A8"/>
    <w:rsid w:val="00A01841"/>
    <w:rsid w:val="00A01BBD"/>
    <w:rsid w:val="00A01C06"/>
    <w:rsid w:val="00A01C2E"/>
    <w:rsid w:val="00A01E40"/>
    <w:rsid w:val="00A01F89"/>
    <w:rsid w:val="00A0203D"/>
    <w:rsid w:val="00A022BF"/>
    <w:rsid w:val="00A023D1"/>
    <w:rsid w:val="00A0289E"/>
    <w:rsid w:val="00A02A1B"/>
    <w:rsid w:val="00A02C2D"/>
    <w:rsid w:val="00A02ECD"/>
    <w:rsid w:val="00A02FD8"/>
    <w:rsid w:val="00A0370C"/>
    <w:rsid w:val="00A03A2A"/>
    <w:rsid w:val="00A03AEC"/>
    <w:rsid w:val="00A03C36"/>
    <w:rsid w:val="00A03F76"/>
    <w:rsid w:val="00A03FBD"/>
    <w:rsid w:val="00A04186"/>
    <w:rsid w:val="00A0425F"/>
    <w:rsid w:val="00A044E5"/>
    <w:rsid w:val="00A04F15"/>
    <w:rsid w:val="00A04F85"/>
    <w:rsid w:val="00A0510D"/>
    <w:rsid w:val="00A053D6"/>
    <w:rsid w:val="00A05583"/>
    <w:rsid w:val="00A05953"/>
    <w:rsid w:val="00A05DB1"/>
    <w:rsid w:val="00A06091"/>
    <w:rsid w:val="00A060B1"/>
    <w:rsid w:val="00A06696"/>
    <w:rsid w:val="00A067E0"/>
    <w:rsid w:val="00A06B97"/>
    <w:rsid w:val="00A06C66"/>
    <w:rsid w:val="00A07002"/>
    <w:rsid w:val="00A070B9"/>
    <w:rsid w:val="00A074CF"/>
    <w:rsid w:val="00A075A0"/>
    <w:rsid w:val="00A0768A"/>
    <w:rsid w:val="00A07728"/>
    <w:rsid w:val="00A07E1F"/>
    <w:rsid w:val="00A107A1"/>
    <w:rsid w:val="00A107DB"/>
    <w:rsid w:val="00A10F13"/>
    <w:rsid w:val="00A1105F"/>
    <w:rsid w:val="00A1138B"/>
    <w:rsid w:val="00A115E5"/>
    <w:rsid w:val="00A11776"/>
    <w:rsid w:val="00A11BB7"/>
    <w:rsid w:val="00A11EA2"/>
    <w:rsid w:val="00A121E0"/>
    <w:rsid w:val="00A122E0"/>
    <w:rsid w:val="00A124D0"/>
    <w:rsid w:val="00A125B6"/>
    <w:rsid w:val="00A127A2"/>
    <w:rsid w:val="00A12A47"/>
    <w:rsid w:val="00A12C1E"/>
    <w:rsid w:val="00A12D04"/>
    <w:rsid w:val="00A12DAC"/>
    <w:rsid w:val="00A135CA"/>
    <w:rsid w:val="00A1370E"/>
    <w:rsid w:val="00A13A05"/>
    <w:rsid w:val="00A13D10"/>
    <w:rsid w:val="00A13DB5"/>
    <w:rsid w:val="00A13E04"/>
    <w:rsid w:val="00A14062"/>
    <w:rsid w:val="00A141EB"/>
    <w:rsid w:val="00A1426F"/>
    <w:rsid w:val="00A1436B"/>
    <w:rsid w:val="00A1444B"/>
    <w:rsid w:val="00A14B0F"/>
    <w:rsid w:val="00A14C99"/>
    <w:rsid w:val="00A14E6C"/>
    <w:rsid w:val="00A14EA8"/>
    <w:rsid w:val="00A1519E"/>
    <w:rsid w:val="00A151D1"/>
    <w:rsid w:val="00A1555D"/>
    <w:rsid w:val="00A15785"/>
    <w:rsid w:val="00A16192"/>
    <w:rsid w:val="00A1636C"/>
    <w:rsid w:val="00A16595"/>
    <w:rsid w:val="00A166A8"/>
    <w:rsid w:val="00A16A45"/>
    <w:rsid w:val="00A16B43"/>
    <w:rsid w:val="00A171AD"/>
    <w:rsid w:val="00A172C0"/>
    <w:rsid w:val="00A17397"/>
    <w:rsid w:val="00A176DE"/>
    <w:rsid w:val="00A17792"/>
    <w:rsid w:val="00A17CC8"/>
    <w:rsid w:val="00A17F04"/>
    <w:rsid w:val="00A2041B"/>
    <w:rsid w:val="00A20D90"/>
    <w:rsid w:val="00A20DBD"/>
    <w:rsid w:val="00A20F82"/>
    <w:rsid w:val="00A210EA"/>
    <w:rsid w:val="00A216B5"/>
    <w:rsid w:val="00A21E6F"/>
    <w:rsid w:val="00A22391"/>
    <w:rsid w:val="00A22442"/>
    <w:rsid w:val="00A22743"/>
    <w:rsid w:val="00A22C7A"/>
    <w:rsid w:val="00A23074"/>
    <w:rsid w:val="00A23199"/>
    <w:rsid w:val="00A237BA"/>
    <w:rsid w:val="00A2388B"/>
    <w:rsid w:val="00A23C09"/>
    <w:rsid w:val="00A24194"/>
    <w:rsid w:val="00A24520"/>
    <w:rsid w:val="00A2464E"/>
    <w:rsid w:val="00A249C9"/>
    <w:rsid w:val="00A24D06"/>
    <w:rsid w:val="00A24F08"/>
    <w:rsid w:val="00A252DA"/>
    <w:rsid w:val="00A254DD"/>
    <w:rsid w:val="00A25585"/>
    <w:rsid w:val="00A258C7"/>
    <w:rsid w:val="00A2661C"/>
    <w:rsid w:val="00A268D7"/>
    <w:rsid w:val="00A2695B"/>
    <w:rsid w:val="00A269C8"/>
    <w:rsid w:val="00A26B16"/>
    <w:rsid w:val="00A26EF8"/>
    <w:rsid w:val="00A2712B"/>
    <w:rsid w:val="00A274A2"/>
    <w:rsid w:val="00A27605"/>
    <w:rsid w:val="00A27650"/>
    <w:rsid w:val="00A27774"/>
    <w:rsid w:val="00A27D35"/>
    <w:rsid w:val="00A30652"/>
    <w:rsid w:val="00A3069F"/>
    <w:rsid w:val="00A30738"/>
    <w:rsid w:val="00A30991"/>
    <w:rsid w:val="00A30AB8"/>
    <w:rsid w:val="00A30ABB"/>
    <w:rsid w:val="00A30BFC"/>
    <w:rsid w:val="00A317A2"/>
    <w:rsid w:val="00A31A15"/>
    <w:rsid w:val="00A31AF3"/>
    <w:rsid w:val="00A323D3"/>
    <w:rsid w:val="00A325DB"/>
    <w:rsid w:val="00A327A0"/>
    <w:rsid w:val="00A32C1B"/>
    <w:rsid w:val="00A32E99"/>
    <w:rsid w:val="00A33956"/>
    <w:rsid w:val="00A33D31"/>
    <w:rsid w:val="00A33F34"/>
    <w:rsid w:val="00A33F74"/>
    <w:rsid w:val="00A34A6C"/>
    <w:rsid w:val="00A34F82"/>
    <w:rsid w:val="00A34FAC"/>
    <w:rsid w:val="00A350EB"/>
    <w:rsid w:val="00A3514D"/>
    <w:rsid w:val="00A359EE"/>
    <w:rsid w:val="00A35B4D"/>
    <w:rsid w:val="00A35D34"/>
    <w:rsid w:val="00A35D67"/>
    <w:rsid w:val="00A35E7C"/>
    <w:rsid w:val="00A36294"/>
    <w:rsid w:val="00A364FB"/>
    <w:rsid w:val="00A366AF"/>
    <w:rsid w:val="00A36758"/>
    <w:rsid w:val="00A36B74"/>
    <w:rsid w:val="00A36CEA"/>
    <w:rsid w:val="00A36F55"/>
    <w:rsid w:val="00A37251"/>
    <w:rsid w:val="00A372A7"/>
    <w:rsid w:val="00A37525"/>
    <w:rsid w:val="00A375B4"/>
    <w:rsid w:val="00A40546"/>
    <w:rsid w:val="00A40B40"/>
    <w:rsid w:val="00A413FE"/>
    <w:rsid w:val="00A4154E"/>
    <w:rsid w:val="00A4162D"/>
    <w:rsid w:val="00A41B1B"/>
    <w:rsid w:val="00A41C31"/>
    <w:rsid w:val="00A41C51"/>
    <w:rsid w:val="00A42162"/>
    <w:rsid w:val="00A424BD"/>
    <w:rsid w:val="00A42C6B"/>
    <w:rsid w:val="00A42D02"/>
    <w:rsid w:val="00A42EB7"/>
    <w:rsid w:val="00A42FBF"/>
    <w:rsid w:val="00A439A9"/>
    <w:rsid w:val="00A43CF5"/>
    <w:rsid w:val="00A44047"/>
    <w:rsid w:val="00A448D3"/>
    <w:rsid w:val="00A44B6B"/>
    <w:rsid w:val="00A45271"/>
    <w:rsid w:val="00A45342"/>
    <w:rsid w:val="00A45362"/>
    <w:rsid w:val="00A454BB"/>
    <w:rsid w:val="00A4558B"/>
    <w:rsid w:val="00A455A7"/>
    <w:rsid w:val="00A459DB"/>
    <w:rsid w:val="00A45F1D"/>
    <w:rsid w:val="00A46AA8"/>
    <w:rsid w:val="00A46CEE"/>
    <w:rsid w:val="00A472AD"/>
    <w:rsid w:val="00A47384"/>
    <w:rsid w:val="00A47CA0"/>
    <w:rsid w:val="00A47D47"/>
    <w:rsid w:val="00A5019B"/>
    <w:rsid w:val="00A504A9"/>
    <w:rsid w:val="00A5052D"/>
    <w:rsid w:val="00A5063C"/>
    <w:rsid w:val="00A50DDD"/>
    <w:rsid w:val="00A50F81"/>
    <w:rsid w:val="00A5115F"/>
    <w:rsid w:val="00A511F0"/>
    <w:rsid w:val="00A51FB7"/>
    <w:rsid w:val="00A51FFA"/>
    <w:rsid w:val="00A521C1"/>
    <w:rsid w:val="00A524EB"/>
    <w:rsid w:val="00A528B5"/>
    <w:rsid w:val="00A52BBE"/>
    <w:rsid w:val="00A52CF9"/>
    <w:rsid w:val="00A52F6C"/>
    <w:rsid w:val="00A5304E"/>
    <w:rsid w:val="00A53668"/>
    <w:rsid w:val="00A53BB2"/>
    <w:rsid w:val="00A53CFB"/>
    <w:rsid w:val="00A53D23"/>
    <w:rsid w:val="00A53D25"/>
    <w:rsid w:val="00A5402C"/>
    <w:rsid w:val="00A54957"/>
    <w:rsid w:val="00A54BD3"/>
    <w:rsid w:val="00A54FD5"/>
    <w:rsid w:val="00A554A5"/>
    <w:rsid w:val="00A55A3C"/>
    <w:rsid w:val="00A55A89"/>
    <w:rsid w:val="00A55B5D"/>
    <w:rsid w:val="00A55B77"/>
    <w:rsid w:val="00A55C2A"/>
    <w:rsid w:val="00A55C5D"/>
    <w:rsid w:val="00A56161"/>
    <w:rsid w:val="00A56255"/>
    <w:rsid w:val="00A56614"/>
    <w:rsid w:val="00A56F17"/>
    <w:rsid w:val="00A579FF"/>
    <w:rsid w:val="00A57BB5"/>
    <w:rsid w:val="00A602A0"/>
    <w:rsid w:val="00A604B0"/>
    <w:rsid w:val="00A605C0"/>
    <w:rsid w:val="00A607B1"/>
    <w:rsid w:val="00A60976"/>
    <w:rsid w:val="00A60C76"/>
    <w:rsid w:val="00A60FE8"/>
    <w:rsid w:val="00A619F0"/>
    <w:rsid w:val="00A61D9E"/>
    <w:rsid w:val="00A623EC"/>
    <w:rsid w:val="00A625AD"/>
    <w:rsid w:val="00A625BC"/>
    <w:rsid w:val="00A62F24"/>
    <w:rsid w:val="00A63258"/>
    <w:rsid w:val="00A6378D"/>
    <w:rsid w:val="00A63FD2"/>
    <w:rsid w:val="00A647E9"/>
    <w:rsid w:val="00A64865"/>
    <w:rsid w:val="00A64D40"/>
    <w:rsid w:val="00A6519A"/>
    <w:rsid w:val="00A651B6"/>
    <w:rsid w:val="00A65700"/>
    <w:rsid w:val="00A659C8"/>
    <w:rsid w:val="00A65A03"/>
    <w:rsid w:val="00A66135"/>
    <w:rsid w:val="00A666A2"/>
    <w:rsid w:val="00A667A7"/>
    <w:rsid w:val="00A6702C"/>
    <w:rsid w:val="00A670D8"/>
    <w:rsid w:val="00A6717D"/>
    <w:rsid w:val="00A677F3"/>
    <w:rsid w:val="00A67A8B"/>
    <w:rsid w:val="00A67C49"/>
    <w:rsid w:val="00A708EC"/>
    <w:rsid w:val="00A70E81"/>
    <w:rsid w:val="00A71101"/>
    <w:rsid w:val="00A7113E"/>
    <w:rsid w:val="00A7134A"/>
    <w:rsid w:val="00A714E6"/>
    <w:rsid w:val="00A71597"/>
    <w:rsid w:val="00A71977"/>
    <w:rsid w:val="00A71C1F"/>
    <w:rsid w:val="00A71E23"/>
    <w:rsid w:val="00A71F67"/>
    <w:rsid w:val="00A7221D"/>
    <w:rsid w:val="00A730E5"/>
    <w:rsid w:val="00A7352B"/>
    <w:rsid w:val="00A73586"/>
    <w:rsid w:val="00A735F5"/>
    <w:rsid w:val="00A736FF"/>
    <w:rsid w:val="00A739B8"/>
    <w:rsid w:val="00A73F44"/>
    <w:rsid w:val="00A74621"/>
    <w:rsid w:val="00A749C1"/>
    <w:rsid w:val="00A749C4"/>
    <w:rsid w:val="00A74AF2"/>
    <w:rsid w:val="00A74C0F"/>
    <w:rsid w:val="00A74F77"/>
    <w:rsid w:val="00A75614"/>
    <w:rsid w:val="00A75655"/>
    <w:rsid w:val="00A75916"/>
    <w:rsid w:val="00A75CAB"/>
    <w:rsid w:val="00A75E65"/>
    <w:rsid w:val="00A75EB2"/>
    <w:rsid w:val="00A76722"/>
    <w:rsid w:val="00A76730"/>
    <w:rsid w:val="00A76D2D"/>
    <w:rsid w:val="00A76DC2"/>
    <w:rsid w:val="00A76FA2"/>
    <w:rsid w:val="00A76FDC"/>
    <w:rsid w:val="00A7711C"/>
    <w:rsid w:val="00A771E6"/>
    <w:rsid w:val="00A77248"/>
    <w:rsid w:val="00A773B5"/>
    <w:rsid w:val="00A774E3"/>
    <w:rsid w:val="00A77594"/>
    <w:rsid w:val="00A775CF"/>
    <w:rsid w:val="00A77608"/>
    <w:rsid w:val="00A77802"/>
    <w:rsid w:val="00A77AD9"/>
    <w:rsid w:val="00A77D26"/>
    <w:rsid w:val="00A77E8F"/>
    <w:rsid w:val="00A800DF"/>
    <w:rsid w:val="00A800EF"/>
    <w:rsid w:val="00A80137"/>
    <w:rsid w:val="00A808A4"/>
    <w:rsid w:val="00A81001"/>
    <w:rsid w:val="00A81421"/>
    <w:rsid w:val="00A815D0"/>
    <w:rsid w:val="00A81B8B"/>
    <w:rsid w:val="00A822BC"/>
    <w:rsid w:val="00A824DF"/>
    <w:rsid w:val="00A8268E"/>
    <w:rsid w:val="00A835D3"/>
    <w:rsid w:val="00A83692"/>
    <w:rsid w:val="00A837CF"/>
    <w:rsid w:val="00A83846"/>
    <w:rsid w:val="00A83A46"/>
    <w:rsid w:val="00A83AB1"/>
    <w:rsid w:val="00A843F7"/>
    <w:rsid w:val="00A845B7"/>
    <w:rsid w:val="00A845C6"/>
    <w:rsid w:val="00A8491B"/>
    <w:rsid w:val="00A84A77"/>
    <w:rsid w:val="00A84B26"/>
    <w:rsid w:val="00A84B6A"/>
    <w:rsid w:val="00A84D71"/>
    <w:rsid w:val="00A84F75"/>
    <w:rsid w:val="00A850ED"/>
    <w:rsid w:val="00A85560"/>
    <w:rsid w:val="00A85C09"/>
    <w:rsid w:val="00A8620E"/>
    <w:rsid w:val="00A86604"/>
    <w:rsid w:val="00A86E5D"/>
    <w:rsid w:val="00A86EA2"/>
    <w:rsid w:val="00A86F55"/>
    <w:rsid w:val="00A87073"/>
    <w:rsid w:val="00A87409"/>
    <w:rsid w:val="00A8751F"/>
    <w:rsid w:val="00A8756C"/>
    <w:rsid w:val="00A875DE"/>
    <w:rsid w:val="00A876FC"/>
    <w:rsid w:val="00A87D00"/>
    <w:rsid w:val="00A87E4F"/>
    <w:rsid w:val="00A87FC0"/>
    <w:rsid w:val="00A906C2"/>
    <w:rsid w:val="00A9079F"/>
    <w:rsid w:val="00A90810"/>
    <w:rsid w:val="00A9081A"/>
    <w:rsid w:val="00A90A8A"/>
    <w:rsid w:val="00A90C9F"/>
    <w:rsid w:val="00A90F81"/>
    <w:rsid w:val="00A9110E"/>
    <w:rsid w:val="00A91629"/>
    <w:rsid w:val="00A91B24"/>
    <w:rsid w:val="00A91CA6"/>
    <w:rsid w:val="00A91CC5"/>
    <w:rsid w:val="00A91D72"/>
    <w:rsid w:val="00A92087"/>
    <w:rsid w:val="00A92794"/>
    <w:rsid w:val="00A92965"/>
    <w:rsid w:val="00A92CA0"/>
    <w:rsid w:val="00A92EAB"/>
    <w:rsid w:val="00A93153"/>
    <w:rsid w:val="00A93953"/>
    <w:rsid w:val="00A93B56"/>
    <w:rsid w:val="00A93D96"/>
    <w:rsid w:val="00A93DD2"/>
    <w:rsid w:val="00A93E15"/>
    <w:rsid w:val="00A941BE"/>
    <w:rsid w:val="00A94A6D"/>
    <w:rsid w:val="00A94D1B"/>
    <w:rsid w:val="00A950C9"/>
    <w:rsid w:val="00A9568C"/>
    <w:rsid w:val="00A95A0B"/>
    <w:rsid w:val="00A95B30"/>
    <w:rsid w:val="00A95D0C"/>
    <w:rsid w:val="00A95E14"/>
    <w:rsid w:val="00A95FC4"/>
    <w:rsid w:val="00A962D8"/>
    <w:rsid w:val="00A963E4"/>
    <w:rsid w:val="00A96565"/>
    <w:rsid w:val="00A967E3"/>
    <w:rsid w:val="00A96929"/>
    <w:rsid w:val="00A96E14"/>
    <w:rsid w:val="00A96E94"/>
    <w:rsid w:val="00A96FF3"/>
    <w:rsid w:val="00A97463"/>
    <w:rsid w:val="00A97E1F"/>
    <w:rsid w:val="00A97F3D"/>
    <w:rsid w:val="00A97F8B"/>
    <w:rsid w:val="00AA0109"/>
    <w:rsid w:val="00AA054C"/>
    <w:rsid w:val="00AA0586"/>
    <w:rsid w:val="00AA1106"/>
    <w:rsid w:val="00AA124C"/>
    <w:rsid w:val="00AA12A2"/>
    <w:rsid w:val="00AA13CD"/>
    <w:rsid w:val="00AA1626"/>
    <w:rsid w:val="00AA1924"/>
    <w:rsid w:val="00AA1928"/>
    <w:rsid w:val="00AA1B3E"/>
    <w:rsid w:val="00AA1EA7"/>
    <w:rsid w:val="00AA23A3"/>
    <w:rsid w:val="00AA253D"/>
    <w:rsid w:val="00AA29FF"/>
    <w:rsid w:val="00AA2E55"/>
    <w:rsid w:val="00AA2FA8"/>
    <w:rsid w:val="00AA3130"/>
    <w:rsid w:val="00AA34D0"/>
    <w:rsid w:val="00AA3A4C"/>
    <w:rsid w:val="00AA3B99"/>
    <w:rsid w:val="00AA3DF5"/>
    <w:rsid w:val="00AA3FAF"/>
    <w:rsid w:val="00AA4425"/>
    <w:rsid w:val="00AA470F"/>
    <w:rsid w:val="00AA4BD1"/>
    <w:rsid w:val="00AA5101"/>
    <w:rsid w:val="00AA59C0"/>
    <w:rsid w:val="00AA5A3F"/>
    <w:rsid w:val="00AA5F33"/>
    <w:rsid w:val="00AA6133"/>
    <w:rsid w:val="00AA61BF"/>
    <w:rsid w:val="00AA62A7"/>
    <w:rsid w:val="00AA64B2"/>
    <w:rsid w:val="00AA66FA"/>
    <w:rsid w:val="00AA6B61"/>
    <w:rsid w:val="00AA6F62"/>
    <w:rsid w:val="00AA7236"/>
    <w:rsid w:val="00AA74EC"/>
    <w:rsid w:val="00AA7761"/>
    <w:rsid w:val="00AA7834"/>
    <w:rsid w:val="00AA788C"/>
    <w:rsid w:val="00AA7892"/>
    <w:rsid w:val="00AA7915"/>
    <w:rsid w:val="00AA79E8"/>
    <w:rsid w:val="00AA7C8B"/>
    <w:rsid w:val="00AA7EFB"/>
    <w:rsid w:val="00AB042A"/>
    <w:rsid w:val="00AB087F"/>
    <w:rsid w:val="00AB0F54"/>
    <w:rsid w:val="00AB0F78"/>
    <w:rsid w:val="00AB0FF0"/>
    <w:rsid w:val="00AB10CC"/>
    <w:rsid w:val="00AB19C4"/>
    <w:rsid w:val="00AB1A5F"/>
    <w:rsid w:val="00AB1B9D"/>
    <w:rsid w:val="00AB2557"/>
    <w:rsid w:val="00AB2850"/>
    <w:rsid w:val="00AB2F9E"/>
    <w:rsid w:val="00AB395B"/>
    <w:rsid w:val="00AB3A3F"/>
    <w:rsid w:val="00AB3F07"/>
    <w:rsid w:val="00AB40AD"/>
    <w:rsid w:val="00AB43C5"/>
    <w:rsid w:val="00AB46DE"/>
    <w:rsid w:val="00AB4792"/>
    <w:rsid w:val="00AB4D48"/>
    <w:rsid w:val="00AB4DCC"/>
    <w:rsid w:val="00AB4EA9"/>
    <w:rsid w:val="00AB5638"/>
    <w:rsid w:val="00AB5786"/>
    <w:rsid w:val="00AB57D0"/>
    <w:rsid w:val="00AB5E55"/>
    <w:rsid w:val="00AB5F99"/>
    <w:rsid w:val="00AB6451"/>
    <w:rsid w:val="00AB6AFC"/>
    <w:rsid w:val="00AB6EC0"/>
    <w:rsid w:val="00AB7A37"/>
    <w:rsid w:val="00AB7F3B"/>
    <w:rsid w:val="00AC02E8"/>
    <w:rsid w:val="00AC03AC"/>
    <w:rsid w:val="00AC0426"/>
    <w:rsid w:val="00AC04D1"/>
    <w:rsid w:val="00AC0576"/>
    <w:rsid w:val="00AC0D6F"/>
    <w:rsid w:val="00AC0E2A"/>
    <w:rsid w:val="00AC12BF"/>
    <w:rsid w:val="00AC163F"/>
    <w:rsid w:val="00AC19B7"/>
    <w:rsid w:val="00AC1C63"/>
    <w:rsid w:val="00AC2022"/>
    <w:rsid w:val="00AC213C"/>
    <w:rsid w:val="00AC2362"/>
    <w:rsid w:val="00AC2A46"/>
    <w:rsid w:val="00AC2B0B"/>
    <w:rsid w:val="00AC2D47"/>
    <w:rsid w:val="00AC3486"/>
    <w:rsid w:val="00AC3CC7"/>
    <w:rsid w:val="00AC3D2C"/>
    <w:rsid w:val="00AC4048"/>
    <w:rsid w:val="00AC430B"/>
    <w:rsid w:val="00AC454C"/>
    <w:rsid w:val="00AC4823"/>
    <w:rsid w:val="00AC5413"/>
    <w:rsid w:val="00AC5547"/>
    <w:rsid w:val="00AC5745"/>
    <w:rsid w:val="00AC597A"/>
    <w:rsid w:val="00AC5AFF"/>
    <w:rsid w:val="00AC5C62"/>
    <w:rsid w:val="00AC624B"/>
    <w:rsid w:val="00AC64C7"/>
    <w:rsid w:val="00AC6A0A"/>
    <w:rsid w:val="00AC6BF6"/>
    <w:rsid w:val="00AC6D6B"/>
    <w:rsid w:val="00AC7046"/>
    <w:rsid w:val="00AC7416"/>
    <w:rsid w:val="00AC761A"/>
    <w:rsid w:val="00AC7675"/>
    <w:rsid w:val="00AC7708"/>
    <w:rsid w:val="00AC77FB"/>
    <w:rsid w:val="00AC79CA"/>
    <w:rsid w:val="00AC7C25"/>
    <w:rsid w:val="00AC7D1F"/>
    <w:rsid w:val="00AC7F78"/>
    <w:rsid w:val="00AD0281"/>
    <w:rsid w:val="00AD09D5"/>
    <w:rsid w:val="00AD09FB"/>
    <w:rsid w:val="00AD0D65"/>
    <w:rsid w:val="00AD0F0F"/>
    <w:rsid w:val="00AD1269"/>
    <w:rsid w:val="00AD1366"/>
    <w:rsid w:val="00AD1A1D"/>
    <w:rsid w:val="00AD22F3"/>
    <w:rsid w:val="00AD23AD"/>
    <w:rsid w:val="00AD2A4D"/>
    <w:rsid w:val="00AD3201"/>
    <w:rsid w:val="00AD3484"/>
    <w:rsid w:val="00AD36D0"/>
    <w:rsid w:val="00AD39A0"/>
    <w:rsid w:val="00AD3BB6"/>
    <w:rsid w:val="00AD3C97"/>
    <w:rsid w:val="00AD3ED4"/>
    <w:rsid w:val="00AD4500"/>
    <w:rsid w:val="00AD45A9"/>
    <w:rsid w:val="00AD47A4"/>
    <w:rsid w:val="00AD4D06"/>
    <w:rsid w:val="00AD4DA7"/>
    <w:rsid w:val="00AD4E6B"/>
    <w:rsid w:val="00AD4E98"/>
    <w:rsid w:val="00AD515E"/>
    <w:rsid w:val="00AD519B"/>
    <w:rsid w:val="00AD5289"/>
    <w:rsid w:val="00AD545E"/>
    <w:rsid w:val="00AD5657"/>
    <w:rsid w:val="00AD5BF9"/>
    <w:rsid w:val="00AD5DF8"/>
    <w:rsid w:val="00AD5EDA"/>
    <w:rsid w:val="00AD66B0"/>
    <w:rsid w:val="00AD7536"/>
    <w:rsid w:val="00AD7996"/>
    <w:rsid w:val="00AD7FEA"/>
    <w:rsid w:val="00AE0A09"/>
    <w:rsid w:val="00AE0E6C"/>
    <w:rsid w:val="00AE1692"/>
    <w:rsid w:val="00AE19F0"/>
    <w:rsid w:val="00AE1C68"/>
    <w:rsid w:val="00AE2C16"/>
    <w:rsid w:val="00AE30FC"/>
    <w:rsid w:val="00AE33FA"/>
    <w:rsid w:val="00AE3AAB"/>
    <w:rsid w:val="00AE3BA9"/>
    <w:rsid w:val="00AE3C64"/>
    <w:rsid w:val="00AE488A"/>
    <w:rsid w:val="00AE4BC2"/>
    <w:rsid w:val="00AE515D"/>
    <w:rsid w:val="00AE532F"/>
    <w:rsid w:val="00AE5394"/>
    <w:rsid w:val="00AE557D"/>
    <w:rsid w:val="00AE55B7"/>
    <w:rsid w:val="00AE5A41"/>
    <w:rsid w:val="00AE5BC3"/>
    <w:rsid w:val="00AE601D"/>
    <w:rsid w:val="00AE60F7"/>
    <w:rsid w:val="00AE6498"/>
    <w:rsid w:val="00AE68D0"/>
    <w:rsid w:val="00AE6BB4"/>
    <w:rsid w:val="00AE6F00"/>
    <w:rsid w:val="00AE721C"/>
    <w:rsid w:val="00AE758A"/>
    <w:rsid w:val="00AE7937"/>
    <w:rsid w:val="00AE7B5C"/>
    <w:rsid w:val="00AF11F7"/>
    <w:rsid w:val="00AF13D5"/>
    <w:rsid w:val="00AF1467"/>
    <w:rsid w:val="00AF1662"/>
    <w:rsid w:val="00AF19E4"/>
    <w:rsid w:val="00AF1CE9"/>
    <w:rsid w:val="00AF1DA5"/>
    <w:rsid w:val="00AF1E0C"/>
    <w:rsid w:val="00AF1E22"/>
    <w:rsid w:val="00AF2D07"/>
    <w:rsid w:val="00AF307A"/>
    <w:rsid w:val="00AF3171"/>
    <w:rsid w:val="00AF31F4"/>
    <w:rsid w:val="00AF3255"/>
    <w:rsid w:val="00AF3719"/>
    <w:rsid w:val="00AF3AD0"/>
    <w:rsid w:val="00AF417D"/>
    <w:rsid w:val="00AF4366"/>
    <w:rsid w:val="00AF43FA"/>
    <w:rsid w:val="00AF459E"/>
    <w:rsid w:val="00AF4DDB"/>
    <w:rsid w:val="00AF55C7"/>
    <w:rsid w:val="00AF5CF3"/>
    <w:rsid w:val="00AF6A5B"/>
    <w:rsid w:val="00AF715F"/>
    <w:rsid w:val="00AF725C"/>
    <w:rsid w:val="00AF7550"/>
    <w:rsid w:val="00AF7666"/>
    <w:rsid w:val="00AF7C82"/>
    <w:rsid w:val="00AF7E1A"/>
    <w:rsid w:val="00AF7F22"/>
    <w:rsid w:val="00AF7F5F"/>
    <w:rsid w:val="00B00270"/>
    <w:rsid w:val="00B005F5"/>
    <w:rsid w:val="00B00737"/>
    <w:rsid w:val="00B008E4"/>
    <w:rsid w:val="00B012D3"/>
    <w:rsid w:val="00B019A1"/>
    <w:rsid w:val="00B019FB"/>
    <w:rsid w:val="00B01F70"/>
    <w:rsid w:val="00B02230"/>
    <w:rsid w:val="00B023FD"/>
    <w:rsid w:val="00B02528"/>
    <w:rsid w:val="00B0295F"/>
    <w:rsid w:val="00B02A8C"/>
    <w:rsid w:val="00B02F4C"/>
    <w:rsid w:val="00B03066"/>
    <w:rsid w:val="00B03C15"/>
    <w:rsid w:val="00B03C69"/>
    <w:rsid w:val="00B03D92"/>
    <w:rsid w:val="00B03FA5"/>
    <w:rsid w:val="00B04019"/>
    <w:rsid w:val="00B0477F"/>
    <w:rsid w:val="00B047D7"/>
    <w:rsid w:val="00B04822"/>
    <w:rsid w:val="00B048E9"/>
    <w:rsid w:val="00B04BD6"/>
    <w:rsid w:val="00B04BF4"/>
    <w:rsid w:val="00B04E1A"/>
    <w:rsid w:val="00B04E2A"/>
    <w:rsid w:val="00B0556A"/>
    <w:rsid w:val="00B057B4"/>
    <w:rsid w:val="00B05E25"/>
    <w:rsid w:val="00B05FA7"/>
    <w:rsid w:val="00B05FBD"/>
    <w:rsid w:val="00B060B1"/>
    <w:rsid w:val="00B062DD"/>
    <w:rsid w:val="00B063B4"/>
    <w:rsid w:val="00B06851"/>
    <w:rsid w:val="00B068AA"/>
    <w:rsid w:val="00B068C9"/>
    <w:rsid w:val="00B068D7"/>
    <w:rsid w:val="00B06AE5"/>
    <w:rsid w:val="00B06DDE"/>
    <w:rsid w:val="00B06EC0"/>
    <w:rsid w:val="00B0713C"/>
    <w:rsid w:val="00B0743B"/>
    <w:rsid w:val="00B0767E"/>
    <w:rsid w:val="00B076F0"/>
    <w:rsid w:val="00B0776C"/>
    <w:rsid w:val="00B078BF"/>
    <w:rsid w:val="00B07C2E"/>
    <w:rsid w:val="00B10582"/>
    <w:rsid w:val="00B10772"/>
    <w:rsid w:val="00B110CA"/>
    <w:rsid w:val="00B111DF"/>
    <w:rsid w:val="00B11212"/>
    <w:rsid w:val="00B11B25"/>
    <w:rsid w:val="00B11BBF"/>
    <w:rsid w:val="00B11D2D"/>
    <w:rsid w:val="00B1203A"/>
    <w:rsid w:val="00B12286"/>
    <w:rsid w:val="00B12307"/>
    <w:rsid w:val="00B1250E"/>
    <w:rsid w:val="00B126A2"/>
    <w:rsid w:val="00B129B4"/>
    <w:rsid w:val="00B12C69"/>
    <w:rsid w:val="00B12F69"/>
    <w:rsid w:val="00B12F7F"/>
    <w:rsid w:val="00B12FB1"/>
    <w:rsid w:val="00B13234"/>
    <w:rsid w:val="00B13A5A"/>
    <w:rsid w:val="00B13D19"/>
    <w:rsid w:val="00B13D1C"/>
    <w:rsid w:val="00B13D56"/>
    <w:rsid w:val="00B1437B"/>
    <w:rsid w:val="00B14821"/>
    <w:rsid w:val="00B14826"/>
    <w:rsid w:val="00B14AF3"/>
    <w:rsid w:val="00B14C86"/>
    <w:rsid w:val="00B14DA0"/>
    <w:rsid w:val="00B14DE7"/>
    <w:rsid w:val="00B1512C"/>
    <w:rsid w:val="00B152DA"/>
    <w:rsid w:val="00B15D74"/>
    <w:rsid w:val="00B16204"/>
    <w:rsid w:val="00B1664F"/>
    <w:rsid w:val="00B16666"/>
    <w:rsid w:val="00B16854"/>
    <w:rsid w:val="00B16B21"/>
    <w:rsid w:val="00B17011"/>
    <w:rsid w:val="00B17244"/>
    <w:rsid w:val="00B173A5"/>
    <w:rsid w:val="00B173F3"/>
    <w:rsid w:val="00B17619"/>
    <w:rsid w:val="00B17C3C"/>
    <w:rsid w:val="00B20036"/>
    <w:rsid w:val="00B205ED"/>
    <w:rsid w:val="00B208D1"/>
    <w:rsid w:val="00B20F4A"/>
    <w:rsid w:val="00B21279"/>
    <w:rsid w:val="00B21524"/>
    <w:rsid w:val="00B217D7"/>
    <w:rsid w:val="00B2258B"/>
    <w:rsid w:val="00B2260E"/>
    <w:rsid w:val="00B229D9"/>
    <w:rsid w:val="00B22A44"/>
    <w:rsid w:val="00B22B35"/>
    <w:rsid w:val="00B22C36"/>
    <w:rsid w:val="00B23552"/>
    <w:rsid w:val="00B23AEE"/>
    <w:rsid w:val="00B23CF4"/>
    <w:rsid w:val="00B23E0B"/>
    <w:rsid w:val="00B24372"/>
    <w:rsid w:val="00B2474C"/>
    <w:rsid w:val="00B2480B"/>
    <w:rsid w:val="00B24BC2"/>
    <w:rsid w:val="00B24CC0"/>
    <w:rsid w:val="00B24E07"/>
    <w:rsid w:val="00B24FB6"/>
    <w:rsid w:val="00B2553D"/>
    <w:rsid w:val="00B259F5"/>
    <w:rsid w:val="00B25A17"/>
    <w:rsid w:val="00B25B51"/>
    <w:rsid w:val="00B26206"/>
    <w:rsid w:val="00B262AA"/>
    <w:rsid w:val="00B263E1"/>
    <w:rsid w:val="00B2652F"/>
    <w:rsid w:val="00B2667D"/>
    <w:rsid w:val="00B267EE"/>
    <w:rsid w:val="00B26BA1"/>
    <w:rsid w:val="00B26D8F"/>
    <w:rsid w:val="00B27E05"/>
    <w:rsid w:val="00B27E55"/>
    <w:rsid w:val="00B30070"/>
    <w:rsid w:val="00B30279"/>
    <w:rsid w:val="00B3045C"/>
    <w:rsid w:val="00B30561"/>
    <w:rsid w:val="00B3067D"/>
    <w:rsid w:val="00B30A6F"/>
    <w:rsid w:val="00B30AAB"/>
    <w:rsid w:val="00B30C68"/>
    <w:rsid w:val="00B312FA"/>
    <w:rsid w:val="00B31C38"/>
    <w:rsid w:val="00B320ED"/>
    <w:rsid w:val="00B32380"/>
    <w:rsid w:val="00B32448"/>
    <w:rsid w:val="00B3292E"/>
    <w:rsid w:val="00B32BAA"/>
    <w:rsid w:val="00B32D50"/>
    <w:rsid w:val="00B32EB0"/>
    <w:rsid w:val="00B331A6"/>
    <w:rsid w:val="00B3349B"/>
    <w:rsid w:val="00B335D7"/>
    <w:rsid w:val="00B33C08"/>
    <w:rsid w:val="00B33CBA"/>
    <w:rsid w:val="00B34527"/>
    <w:rsid w:val="00B349EE"/>
    <w:rsid w:val="00B34ABB"/>
    <w:rsid w:val="00B34EEA"/>
    <w:rsid w:val="00B35073"/>
    <w:rsid w:val="00B35241"/>
    <w:rsid w:val="00B35520"/>
    <w:rsid w:val="00B356A1"/>
    <w:rsid w:val="00B35BC2"/>
    <w:rsid w:val="00B35D71"/>
    <w:rsid w:val="00B361B3"/>
    <w:rsid w:val="00B36454"/>
    <w:rsid w:val="00B36669"/>
    <w:rsid w:val="00B36CB4"/>
    <w:rsid w:val="00B3743E"/>
    <w:rsid w:val="00B37F85"/>
    <w:rsid w:val="00B400D2"/>
    <w:rsid w:val="00B400E8"/>
    <w:rsid w:val="00B401BF"/>
    <w:rsid w:val="00B40255"/>
    <w:rsid w:val="00B4066D"/>
    <w:rsid w:val="00B407FA"/>
    <w:rsid w:val="00B40E0B"/>
    <w:rsid w:val="00B40F5E"/>
    <w:rsid w:val="00B4184A"/>
    <w:rsid w:val="00B41875"/>
    <w:rsid w:val="00B41B89"/>
    <w:rsid w:val="00B41F3E"/>
    <w:rsid w:val="00B43190"/>
    <w:rsid w:val="00B431F3"/>
    <w:rsid w:val="00B433AC"/>
    <w:rsid w:val="00B433EB"/>
    <w:rsid w:val="00B43867"/>
    <w:rsid w:val="00B43CD0"/>
    <w:rsid w:val="00B43D0D"/>
    <w:rsid w:val="00B442F1"/>
    <w:rsid w:val="00B445BC"/>
    <w:rsid w:val="00B450CB"/>
    <w:rsid w:val="00B45882"/>
    <w:rsid w:val="00B45C3C"/>
    <w:rsid w:val="00B45FA1"/>
    <w:rsid w:val="00B4610E"/>
    <w:rsid w:val="00B461D8"/>
    <w:rsid w:val="00B4624C"/>
    <w:rsid w:val="00B46354"/>
    <w:rsid w:val="00B4718A"/>
    <w:rsid w:val="00B47431"/>
    <w:rsid w:val="00B47727"/>
    <w:rsid w:val="00B47968"/>
    <w:rsid w:val="00B47AA5"/>
    <w:rsid w:val="00B47BF6"/>
    <w:rsid w:val="00B47ED7"/>
    <w:rsid w:val="00B501B6"/>
    <w:rsid w:val="00B502D8"/>
    <w:rsid w:val="00B50605"/>
    <w:rsid w:val="00B5078B"/>
    <w:rsid w:val="00B50A38"/>
    <w:rsid w:val="00B50AC8"/>
    <w:rsid w:val="00B50D6D"/>
    <w:rsid w:val="00B50F7F"/>
    <w:rsid w:val="00B514CE"/>
    <w:rsid w:val="00B5184B"/>
    <w:rsid w:val="00B5229B"/>
    <w:rsid w:val="00B527CA"/>
    <w:rsid w:val="00B52A57"/>
    <w:rsid w:val="00B52DAF"/>
    <w:rsid w:val="00B52DE0"/>
    <w:rsid w:val="00B53210"/>
    <w:rsid w:val="00B5338A"/>
    <w:rsid w:val="00B5389F"/>
    <w:rsid w:val="00B539DB"/>
    <w:rsid w:val="00B53AE9"/>
    <w:rsid w:val="00B53F01"/>
    <w:rsid w:val="00B54073"/>
    <w:rsid w:val="00B5425E"/>
    <w:rsid w:val="00B542F1"/>
    <w:rsid w:val="00B545E6"/>
    <w:rsid w:val="00B5471E"/>
    <w:rsid w:val="00B549EA"/>
    <w:rsid w:val="00B54C09"/>
    <w:rsid w:val="00B553E3"/>
    <w:rsid w:val="00B55AC3"/>
    <w:rsid w:val="00B55C1A"/>
    <w:rsid w:val="00B56DD7"/>
    <w:rsid w:val="00B57298"/>
    <w:rsid w:val="00B576F7"/>
    <w:rsid w:val="00B57702"/>
    <w:rsid w:val="00B577E3"/>
    <w:rsid w:val="00B57E62"/>
    <w:rsid w:val="00B602D9"/>
    <w:rsid w:val="00B60D42"/>
    <w:rsid w:val="00B60EDE"/>
    <w:rsid w:val="00B611C2"/>
    <w:rsid w:val="00B6158A"/>
    <w:rsid w:val="00B61A73"/>
    <w:rsid w:val="00B6207B"/>
    <w:rsid w:val="00B62445"/>
    <w:rsid w:val="00B626C4"/>
    <w:rsid w:val="00B62807"/>
    <w:rsid w:val="00B63246"/>
    <w:rsid w:val="00B63292"/>
    <w:rsid w:val="00B63917"/>
    <w:rsid w:val="00B63941"/>
    <w:rsid w:val="00B63B5B"/>
    <w:rsid w:val="00B63F20"/>
    <w:rsid w:val="00B643D2"/>
    <w:rsid w:val="00B6470F"/>
    <w:rsid w:val="00B648C9"/>
    <w:rsid w:val="00B64B0D"/>
    <w:rsid w:val="00B6500E"/>
    <w:rsid w:val="00B650B1"/>
    <w:rsid w:val="00B65391"/>
    <w:rsid w:val="00B65A57"/>
    <w:rsid w:val="00B6606D"/>
    <w:rsid w:val="00B66141"/>
    <w:rsid w:val="00B66273"/>
    <w:rsid w:val="00B663CC"/>
    <w:rsid w:val="00B66BBE"/>
    <w:rsid w:val="00B66BE1"/>
    <w:rsid w:val="00B67189"/>
    <w:rsid w:val="00B672B2"/>
    <w:rsid w:val="00B70065"/>
    <w:rsid w:val="00B7038E"/>
    <w:rsid w:val="00B70759"/>
    <w:rsid w:val="00B70A2C"/>
    <w:rsid w:val="00B70BF4"/>
    <w:rsid w:val="00B70FCD"/>
    <w:rsid w:val="00B71236"/>
    <w:rsid w:val="00B717C0"/>
    <w:rsid w:val="00B71950"/>
    <w:rsid w:val="00B719AE"/>
    <w:rsid w:val="00B71E65"/>
    <w:rsid w:val="00B71E90"/>
    <w:rsid w:val="00B7252B"/>
    <w:rsid w:val="00B72E5C"/>
    <w:rsid w:val="00B72FAF"/>
    <w:rsid w:val="00B73197"/>
    <w:rsid w:val="00B733ED"/>
    <w:rsid w:val="00B735E8"/>
    <w:rsid w:val="00B73CFD"/>
    <w:rsid w:val="00B73EF4"/>
    <w:rsid w:val="00B743DC"/>
    <w:rsid w:val="00B74D72"/>
    <w:rsid w:val="00B74EFF"/>
    <w:rsid w:val="00B74F8E"/>
    <w:rsid w:val="00B752DD"/>
    <w:rsid w:val="00B756B8"/>
    <w:rsid w:val="00B76549"/>
    <w:rsid w:val="00B766CB"/>
    <w:rsid w:val="00B767C4"/>
    <w:rsid w:val="00B76BCE"/>
    <w:rsid w:val="00B76F8A"/>
    <w:rsid w:val="00B77004"/>
    <w:rsid w:val="00B772F2"/>
    <w:rsid w:val="00B77449"/>
    <w:rsid w:val="00B777E5"/>
    <w:rsid w:val="00B77B0C"/>
    <w:rsid w:val="00B77C0D"/>
    <w:rsid w:val="00B77C4D"/>
    <w:rsid w:val="00B77F41"/>
    <w:rsid w:val="00B807D7"/>
    <w:rsid w:val="00B80ADD"/>
    <w:rsid w:val="00B8118E"/>
    <w:rsid w:val="00B81551"/>
    <w:rsid w:val="00B81C7F"/>
    <w:rsid w:val="00B81E79"/>
    <w:rsid w:val="00B81F8D"/>
    <w:rsid w:val="00B8207A"/>
    <w:rsid w:val="00B82080"/>
    <w:rsid w:val="00B82456"/>
    <w:rsid w:val="00B827AE"/>
    <w:rsid w:val="00B82B09"/>
    <w:rsid w:val="00B82BA9"/>
    <w:rsid w:val="00B82D66"/>
    <w:rsid w:val="00B82DCB"/>
    <w:rsid w:val="00B835BF"/>
    <w:rsid w:val="00B836A6"/>
    <w:rsid w:val="00B83BCA"/>
    <w:rsid w:val="00B840D5"/>
    <w:rsid w:val="00B8430A"/>
    <w:rsid w:val="00B84988"/>
    <w:rsid w:val="00B84A2E"/>
    <w:rsid w:val="00B84AA0"/>
    <w:rsid w:val="00B84C8D"/>
    <w:rsid w:val="00B84EE9"/>
    <w:rsid w:val="00B85274"/>
    <w:rsid w:val="00B85740"/>
    <w:rsid w:val="00B857C7"/>
    <w:rsid w:val="00B85D21"/>
    <w:rsid w:val="00B86056"/>
    <w:rsid w:val="00B8611D"/>
    <w:rsid w:val="00B87095"/>
    <w:rsid w:val="00B8776C"/>
    <w:rsid w:val="00B87BB5"/>
    <w:rsid w:val="00B903FE"/>
    <w:rsid w:val="00B906AB"/>
    <w:rsid w:val="00B906B8"/>
    <w:rsid w:val="00B908BA"/>
    <w:rsid w:val="00B90BC9"/>
    <w:rsid w:val="00B90D1B"/>
    <w:rsid w:val="00B91765"/>
    <w:rsid w:val="00B917BE"/>
    <w:rsid w:val="00B91BAB"/>
    <w:rsid w:val="00B91BD5"/>
    <w:rsid w:val="00B91DFC"/>
    <w:rsid w:val="00B923CF"/>
    <w:rsid w:val="00B924C0"/>
    <w:rsid w:val="00B940B7"/>
    <w:rsid w:val="00B940BD"/>
    <w:rsid w:val="00B9420D"/>
    <w:rsid w:val="00B942A7"/>
    <w:rsid w:val="00B942FA"/>
    <w:rsid w:val="00B94332"/>
    <w:rsid w:val="00B94A1E"/>
    <w:rsid w:val="00B94BBA"/>
    <w:rsid w:val="00B94DF4"/>
    <w:rsid w:val="00B94E6B"/>
    <w:rsid w:val="00B9573A"/>
    <w:rsid w:val="00B95822"/>
    <w:rsid w:val="00B95EC5"/>
    <w:rsid w:val="00B95ED9"/>
    <w:rsid w:val="00B96291"/>
    <w:rsid w:val="00B9637F"/>
    <w:rsid w:val="00B96DD5"/>
    <w:rsid w:val="00B96E18"/>
    <w:rsid w:val="00B972F1"/>
    <w:rsid w:val="00B974B6"/>
    <w:rsid w:val="00B977EE"/>
    <w:rsid w:val="00B979B3"/>
    <w:rsid w:val="00B97D53"/>
    <w:rsid w:val="00BA0189"/>
    <w:rsid w:val="00BA06EC"/>
    <w:rsid w:val="00BA082A"/>
    <w:rsid w:val="00BA121A"/>
    <w:rsid w:val="00BA126D"/>
    <w:rsid w:val="00BA12B4"/>
    <w:rsid w:val="00BA174F"/>
    <w:rsid w:val="00BA1857"/>
    <w:rsid w:val="00BA1AA0"/>
    <w:rsid w:val="00BA1F1E"/>
    <w:rsid w:val="00BA2050"/>
    <w:rsid w:val="00BA22AF"/>
    <w:rsid w:val="00BA23C7"/>
    <w:rsid w:val="00BA26A4"/>
    <w:rsid w:val="00BA2B16"/>
    <w:rsid w:val="00BA2EC9"/>
    <w:rsid w:val="00BA322E"/>
    <w:rsid w:val="00BA358F"/>
    <w:rsid w:val="00BA3B8C"/>
    <w:rsid w:val="00BA3DDC"/>
    <w:rsid w:val="00BA3E49"/>
    <w:rsid w:val="00BA4383"/>
    <w:rsid w:val="00BA4620"/>
    <w:rsid w:val="00BA4708"/>
    <w:rsid w:val="00BA4A58"/>
    <w:rsid w:val="00BA4C96"/>
    <w:rsid w:val="00BA51DA"/>
    <w:rsid w:val="00BA580B"/>
    <w:rsid w:val="00BA59B2"/>
    <w:rsid w:val="00BA5B62"/>
    <w:rsid w:val="00BA5CDF"/>
    <w:rsid w:val="00BA5E9A"/>
    <w:rsid w:val="00BA64CA"/>
    <w:rsid w:val="00BA6703"/>
    <w:rsid w:val="00BA672A"/>
    <w:rsid w:val="00BA6823"/>
    <w:rsid w:val="00BA6848"/>
    <w:rsid w:val="00BA69CB"/>
    <w:rsid w:val="00BA6BD9"/>
    <w:rsid w:val="00BA6D3D"/>
    <w:rsid w:val="00BA6D64"/>
    <w:rsid w:val="00BA7376"/>
    <w:rsid w:val="00BA7919"/>
    <w:rsid w:val="00BA7BE4"/>
    <w:rsid w:val="00BA7FCD"/>
    <w:rsid w:val="00BB0151"/>
    <w:rsid w:val="00BB02A6"/>
    <w:rsid w:val="00BB0E81"/>
    <w:rsid w:val="00BB1DA5"/>
    <w:rsid w:val="00BB1E82"/>
    <w:rsid w:val="00BB1F2E"/>
    <w:rsid w:val="00BB218A"/>
    <w:rsid w:val="00BB2611"/>
    <w:rsid w:val="00BB2BB6"/>
    <w:rsid w:val="00BB2C0D"/>
    <w:rsid w:val="00BB2E28"/>
    <w:rsid w:val="00BB3458"/>
    <w:rsid w:val="00BB38AE"/>
    <w:rsid w:val="00BB38E0"/>
    <w:rsid w:val="00BB3D68"/>
    <w:rsid w:val="00BB418D"/>
    <w:rsid w:val="00BB4AB2"/>
    <w:rsid w:val="00BB4C68"/>
    <w:rsid w:val="00BB4C9F"/>
    <w:rsid w:val="00BB50CD"/>
    <w:rsid w:val="00BB51A1"/>
    <w:rsid w:val="00BB5305"/>
    <w:rsid w:val="00BB55C9"/>
    <w:rsid w:val="00BB564C"/>
    <w:rsid w:val="00BB57FB"/>
    <w:rsid w:val="00BB5B31"/>
    <w:rsid w:val="00BB6135"/>
    <w:rsid w:val="00BB68E9"/>
    <w:rsid w:val="00BB6B52"/>
    <w:rsid w:val="00BB7281"/>
    <w:rsid w:val="00BB74AF"/>
    <w:rsid w:val="00BB7B10"/>
    <w:rsid w:val="00BB7C53"/>
    <w:rsid w:val="00BB7DDB"/>
    <w:rsid w:val="00BB7FDF"/>
    <w:rsid w:val="00BC00CF"/>
    <w:rsid w:val="00BC059C"/>
    <w:rsid w:val="00BC06FE"/>
    <w:rsid w:val="00BC0812"/>
    <w:rsid w:val="00BC0F8D"/>
    <w:rsid w:val="00BC12BC"/>
    <w:rsid w:val="00BC12F1"/>
    <w:rsid w:val="00BC159F"/>
    <w:rsid w:val="00BC1A65"/>
    <w:rsid w:val="00BC1B73"/>
    <w:rsid w:val="00BC1E53"/>
    <w:rsid w:val="00BC1EC4"/>
    <w:rsid w:val="00BC216E"/>
    <w:rsid w:val="00BC39E6"/>
    <w:rsid w:val="00BC3A58"/>
    <w:rsid w:val="00BC3B0B"/>
    <w:rsid w:val="00BC3BE1"/>
    <w:rsid w:val="00BC3D69"/>
    <w:rsid w:val="00BC3F24"/>
    <w:rsid w:val="00BC3F2B"/>
    <w:rsid w:val="00BC3F91"/>
    <w:rsid w:val="00BC4447"/>
    <w:rsid w:val="00BC48C8"/>
    <w:rsid w:val="00BC4B10"/>
    <w:rsid w:val="00BC5418"/>
    <w:rsid w:val="00BC5848"/>
    <w:rsid w:val="00BC5AFA"/>
    <w:rsid w:val="00BC61A6"/>
    <w:rsid w:val="00BC6546"/>
    <w:rsid w:val="00BC6D76"/>
    <w:rsid w:val="00BC70DD"/>
    <w:rsid w:val="00BC7334"/>
    <w:rsid w:val="00BC740D"/>
    <w:rsid w:val="00BC7493"/>
    <w:rsid w:val="00BC74E2"/>
    <w:rsid w:val="00BC770E"/>
    <w:rsid w:val="00BC7D0A"/>
    <w:rsid w:val="00BD01F7"/>
    <w:rsid w:val="00BD036D"/>
    <w:rsid w:val="00BD041B"/>
    <w:rsid w:val="00BD04FE"/>
    <w:rsid w:val="00BD06A9"/>
    <w:rsid w:val="00BD0D03"/>
    <w:rsid w:val="00BD0DB2"/>
    <w:rsid w:val="00BD1070"/>
    <w:rsid w:val="00BD110A"/>
    <w:rsid w:val="00BD1276"/>
    <w:rsid w:val="00BD12C2"/>
    <w:rsid w:val="00BD13F0"/>
    <w:rsid w:val="00BD1444"/>
    <w:rsid w:val="00BD1956"/>
    <w:rsid w:val="00BD1C06"/>
    <w:rsid w:val="00BD1E87"/>
    <w:rsid w:val="00BD20D4"/>
    <w:rsid w:val="00BD216A"/>
    <w:rsid w:val="00BD2580"/>
    <w:rsid w:val="00BD2AB5"/>
    <w:rsid w:val="00BD2DF8"/>
    <w:rsid w:val="00BD3575"/>
    <w:rsid w:val="00BD35EC"/>
    <w:rsid w:val="00BD36C6"/>
    <w:rsid w:val="00BD4182"/>
    <w:rsid w:val="00BD426D"/>
    <w:rsid w:val="00BD46D1"/>
    <w:rsid w:val="00BD490B"/>
    <w:rsid w:val="00BD4B3D"/>
    <w:rsid w:val="00BD56DA"/>
    <w:rsid w:val="00BD5B20"/>
    <w:rsid w:val="00BD5DDD"/>
    <w:rsid w:val="00BD5F44"/>
    <w:rsid w:val="00BD6048"/>
    <w:rsid w:val="00BD6184"/>
    <w:rsid w:val="00BD67DB"/>
    <w:rsid w:val="00BD69AD"/>
    <w:rsid w:val="00BD6AE3"/>
    <w:rsid w:val="00BD6BD5"/>
    <w:rsid w:val="00BD7368"/>
    <w:rsid w:val="00BD7446"/>
    <w:rsid w:val="00BD770A"/>
    <w:rsid w:val="00BD7B8E"/>
    <w:rsid w:val="00BD7BCB"/>
    <w:rsid w:val="00BE033F"/>
    <w:rsid w:val="00BE0412"/>
    <w:rsid w:val="00BE0633"/>
    <w:rsid w:val="00BE07B8"/>
    <w:rsid w:val="00BE08F9"/>
    <w:rsid w:val="00BE0AD6"/>
    <w:rsid w:val="00BE0CF5"/>
    <w:rsid w:val="00BE0F87"/>
    <w:rsid w:val="00BE11FA"/>
    <w:rsid w:val="00BE14E7"/>
    <w:rsid w:val="00BE16A5"/>
    <w:rsid w:val="00BE16C5"/>
    <w:rsid w:val="00BE1799"/>
    <w:rsid w:val="00BE1F37"/>
    <w:rsid w:val="00BE20E7"/>
    <w:rsid w:val="00BE2247"/>
    <w:rsid w:val="00BE23CA"/>
    <w:rsid w:val="00BE259F"/>
    <w:rsid w:val="00BE2DBE"/>
    <w:rsid w:val="00BE314C"/>
    <w:rsid w:val="00BE3A0C"/>
    <w:rsid w:val="00BE3A8B"/>
    <w:rsid w:val="00BE3AEC"/>
    <w:rsid w:val="00BE3C11"/>
    <w:rsid w:val="00BE40EE"/>
    <w:rsid w:val="00BE4854"/>
    <w:rsid w:val="00BE4899"/>
    <w:rsid w:val="00BE48AC"/>
    <w:rsid w:val="00BE4B0B"/>
    <w:rsid w:val="00BE4DEA"/>
    <w:rsid w:val="00BE4F86"/>
    <w:rsid w:val="00BE4FDE"/>
    <w:rsid w:val="00BE56A8"/>
    <w:rsid w:val="00BE587C"/>
    <w:rsid w:val="00BE59DD"/>
    <w:rsid w:val="00BE5E4B"/>
    <w:rsid w:val="00BE6394"/>
    <w:rsid w:val="00BE6890"/>
    <w:rsid w:val="00BE68AF"/>
    <w:rsid w:val="00BE69FD"/>
    <w:rsid w:val="00BE7560"/>
    <w:rsid w:val="00BE77F1"/>
    <w:rsid w:val="00BE7C0D"/>
    <w:rsid w:val="00BE7CC9"/>
    <w:rsid w:val="00BE7D2C"/>
    <w:rsid w:val="00BE7D98"/>
    <w:rsid w:val="00BF0232"/>
    <w:rsid w:val="00BF03A6"/>
    <w:rsid w:val="00BF0801"/>
    <w:rsid w:val="00BF0805"/>
    <w:rsid w:val="00BF0912"/>
    <w:rsid w:val="00BF092B"/>
    <w:rsid w:val="00BF0A10"/>
    <w:rsid w:val="00BF0AFF"/>
    <w:rsid w:val="00BF0C3B"/>
    <w:rsid w:val="00BF1362"/>
    <w:rsid w:val="00BF19B6"/>
    <w:rsid w:val="00BF1B89"/>
    <w:rsid w:val="00BF2050"/>
    <w:rsid w:val="00BF213E"/>
    <w:rsid w:val="00BF24D7"/>
    <w:rsid w:val="00BF251D"/>
    <w:rsid w:val="00BF260C"/>
    <w:rsid w:val="00BF3123"/>
    <w:rsid w:val="00BF31AA"/>
    <w:rsid w:val="00BF32B2"/>
    <w:rsid w:val="00BF3335"/>
    <w:rsid w:val="00BF33FD"/>
    <w:rsid w:val="00BF3611"/>
    <w:rsid w:val="00BF388B"/>
    <w:rsid w:val="00BF3DAD"/>
    <w:rsid w:val="00BF45AF"/>
    <w:rsid w:val="00BF47E7"/>
    <w:rsid w:val="00BF48A3"/>
    <w:rsid w:val="00BF49FE"/>
    <w:rsid w:val="00BF4F11"/>
    <w:rsid w:val="00BF5455"/>
    <w:rsid w:val="00BF593B"/>
    <w:rsid w:val="00BF5A5B"/>
    <w:rsid w:val="00BF5ECA"/>
    <w:rsid w:val="00BF63D0"/>
    <w:rsid w:val="00BF63E1"/>
    <w:rsid w:val="00BF661B"/>
    <w:rsid w:val="00BF6677"/>
    <w:rsid w:val="00BF68CF"/>
    <w:rsid w:val="00BF6B56"/>
    <w:rsid w:val="00BF6F4C"/>
    <w:rsid w:val="00BF7104"/>
    <w:rsid w:val="00BF7CFA"/>
    <w:rsid w:val="00C000FC"/>
    <w:rsid w:val="00C00597"/>
    <w:rsid w:val="00C01327"/>
    <w:rsid w:val="00C01594"/>
    <w:rsid w:val="00C0169E"/>
    <w:rsid w:val="00C01BAD"/>
    <w:rsid w:val="00C01C56"/>
    <w:rsid w:val="00C01D9A"/>
    <w:rsid w:val="00C0236B"/>
    <w:rsid w:val="00C02D5D"/>
    <w:rsid w:val="00C02E76"/>
    <w:rsid w:val="00C02FEB"/>
    <w:rsid w:val="00C030F1"/>
    <w:rsid w:val="00C031EA"/>
    <w:rsid w:val="00C0353A"/>
    <w:rsid w:val="00C03ADC"/>
    <w:rsid w:val="00C0407B"/>
    <w:rsid w:val="00C04370"/>
    <w:rsid w:val="00C04483"/>
    <w:rsid w:val="00C04975"/>
    <w:rsid w:val="00C04A24"/>
    <w:rsid w:val="00C04DC9"/>
    <w:rsid w:val="00C050BA"/>
    <w:rsid w:val="00C051C0"/>
    <w:rsid w:val="00C0527F"/>
    <w:rsid w:val="00C05454"/>
    <w:rsid w:val="00C05956"/>
    <w:rsid w:val="00C05BAA"/>
    <w:rsid w:val="00C0606D"/>
    <w:rsid w:val="00C06326"/>
    <w:rsid w:val="00C0665A"/>
    <w:rsid w:val="00C069A1"/>
    <w:rsid w:val="00C06CD1"/>
    <w:rsid w:val="00C06D12"/>
    <w:rsid w:val="00C06DE4"/>
    <w:rsid w:val="00C06E9F"/>
    <w:rsid w:val="00C06F32"/>
    <w:rsid w:val="00C0717D"/>
    <w:rsid w:val="00C07258"/>
    <w:rsid w:val="00C072F7"/>
    <w:rsid w:val="00C07737"/>
    <w:rsid w:val="00C07AAF"/>
    <w:rsid w:val="00C07D1D"/>
    <w:rsid w:val="00C07FD9"/>
    <w:rsid w:val="00C109A3"/>
    <w:rsid w:val="00C113CD"/>
    <w:rsid w:val="00C11AD5"/>
    <w:rsid w:val="00C11B6A"/>
    <w:rsid w:val="00C124A4"/>
    <w:rsid w:val="00C1256C"/>
    <w:rsid w:val="00C12996"/>
    <w:rsid w:val="00C13096"/>
    <w:rsid w:val="00C130E4"/>
    <w:rsid w:val="00C13149"/>
    <w:rsid w:val="00C137D0"/>
    <w:rsid w:val="00C139E0"/>
    <w:rsid w:val="00C13A6C"/>
    <w:rsid w:val="00C13C01"/>
    <w:rsid w:val="00C142B2"/>
    <w:rsid w:val="00C149B4"/>
    <w:rsid w:val="00C14ADD"/>
    <w:rsid w:val="00C14E5D"/>
    <w:rsid w:val="00C14FDE"/>
    <w:rsid w:val="00C152C8"/>
    <w:rsid w:val="00C1560F"/>
    <w:rsid w:val="00C1578B"/>
    <w:rsid w:val="00C15FBD"/>
    <w:rsid w:val="00C16111"/>
    <w:rsid w:val="00C16565"/>
    <w:rsid w:val="00C16692"/>
    <w:rsid w:val="00C16BFD"/>
    <w:rsid w:val="00C16ED3"/>
    <w:rsid w:val="00C170B0"/>
    <w:rsid w:val="00C173E9"/>
    <w:rsid w:val="00C17433"/>
    <w:rsid w:val="00C176E2"/>
    <w:rsid w:val="00C17B45"/>
    <w:rsid w:val="00C17B89"/>
    <w:rsid w:val="00C2005B"/>
    <w:rsid w:val="00C20122"/>
    <w:rsid w:val="00C201DF"/>
    <w:rsid w:val="00C206FD"/>
    <w:rsid w:val="00C209BF"/>
    <w:rsid w:val="00C21029"/>
    <w:rsid w:val="00C215DC"/>
    <w:rsid w:val="00C217D9"/>
    <w:rsid w:val="00C2181D"/>
    <w:rsid w:val="00C2187E"/>
    <w:rsid w:val="00C21C9C"/>
    <w:rsid w:val="00C21D6E"/>
    <w:rsid w:val="00C22107"/>
    <w:rsid w:val="00C221FE"/>
    <w:rsid w:val="00C22CD4"/>
    <w:rsid w:val="00C23196"/>
    <w:rsid w:val="00C234C7"/>
    <w:rsid w:val="00C23E1B"/>
    <w:rsid w:val="00C240DA"/>
    <w:rsid w:val="00C2445E"/>
    <w:rsid w:val="00C24636"/>
    <w:rsid w:val="00C24912"/>
    <w:rsid w:val="00C24D6A"/>
    <w:rsid w:val="00C24DDF"/>
    <w:rsid w:val="00C24E33"/>
    <w:rsid w:val="00C25003"/>
    <w:rsid w:val="00C25191"/>
    <w:rsid w:val="00C25381"/>
    <w:rsid w:val="00C2543B"/>
    <w:rsid w:val="00C25B7B"/>
    <w:rsid w:val="00C26188"/>
    <w:rsid w:val="00C2678B"/>
    <w:rsid w:val="00C268FB"/>
    <w:rsid w:val="00C26DA9"/>
    <w:rsid w:val="00C27123"/>
    <w:rsid w:val="00C2727C"/>
    <w:rsid w:val="00C27CA3"/>
    <w:rsid w:val="00C30789"/>
    <w:rsid w:val="00C30B98"/>
    <w:rsid w:val="00C30DAB"/>
    <w:rsid w:val="00C3113C"/>
    <w:rsid w:val="00C313C4"/>
    <w:rsid w:val="00C31562"/>
    <w:rsid w:val="00C31768"/>
    <w:rsid w:val="00C31CFF"/>
    <w:rsid w:val="00C31F13"/>
    <w:rsid w:val="00C320E1"/>
    <w:rsid w:val="00C32282"/>
    <w:rsid w:val="00C3236E"/>
    <w:rsid w:val="00C324A1"/>
    <w:rsid w:val="00C3263C"/>
    <w:rsid w:val="00C32C9B"/>
    <w:rsid w:val="00C32CEF"/>
    <w:rsid w:val="00C32FA6"/>
    <w:rsid w:val="00C330B4"/>
    <w:rsid w:val="00C330FE"/>
    <w:rsid w:val="00C3315A"/>
    <w:rsid w:val="00C3333C"/>
    <w:rsid w:val="00C33540"/>
    <w:rsid w:val="00C33556"/>
    <w:rsid w:val="00C3384C"/>
    <w:rsid w:val="00C3386D"/>
    <w:rsid w:val="00C339C0"/>
    <w:rsid w:val="00C33A0F"/>
    <w:rsid w:val="00C33B3F"/>
    <w:rsid w:val="00C3428D"/>
    <w:rsid w:val="00C344C8"/>
    <w:rsid w:val="00C345A8"/>
    <w:rsid w:val="00C346FB"/>
    <w:rsid w:val="00C34874"/>
    <w:rsid w:val="00C34BD7"/>
    <w:rsid w:val="00C34F2D"/>
    <w:rsid w:val="00C35096"/>
    <w:rsid w:val="00C35373"/>
    <w:rsid w:val="00C356EA"/>
    <w:rsid w:val="00C35DD2"/>
    <w:rsid w:val="00C36939"/>
    <w:rsid w:val="00C369BF"/>
    <w:rsid w:val="00C36E6F"/>
    <w:rsid w:val="00C37A32"/>
    <w:rsid w:val="00C37AE7"/>
    <w:rsid w:val="00C37F72"/>
    <w:rsid w:val="00C40887"/>
    <w:rsid w:val="00C409E5"/>
    <w:rsid w:val="00C40CA0"/>
    <w:rsid w:val="00C40E8D"/>
    <w:rsid w:val="00C412D9"/>
    <w:rsid w:val="00C413D0"/>
    <w:rsid w:val="00C418DC"/>
    <w:rsid w:val="00C41C1F"/>
    <w:rsid w:val="00C425DF"/>
    <w:rsid w:val="00C42C19"/>
    <w:rsid w:val="00C42DF6"/>
    <w:rsid w:val="00C4319F"/>
    <w:rsid w:val="00C43846"/>
    <w:rsid w:val="00C440EB"/>
    <w:rsid w:val="00C44705"/>
    <w:rsid w:val="00C4480C"/>
    <w:rsid w:val="00C4481A"/>
    <w:rsid w:val="00C449AA"/>
    <w:rsid w:val="00C44BED"/>
    <w:rsid w:val="00C45201"/>
    <w:rsid w:val="00C4527D"/>
    <w:rsid w:val="00C45303"/>
    <w:rsid w:val="00C45636"/>
    <w:rsid w:val="00C45A44"/>
    <w:rsid w:val="00C463D6"/>
    <w:rsid w:val="00C4647B"/>
    <w:rsid w:val="00C46744"/>
    <w:rsid w:val="00C46943"/>
    <w:rsid w:val="00C469FC"/>
    <w:rsid w:val="00C46B0B"/>
    <w:rsid w:val="00C4706F"/>
    <w:rsid w:val="00C470C7"/>
    <w:rsid w:val="00C4733E"/>
    <w:rsid w:val="00C474AE"/>
    <w:rsid w:val="00C4760F"/>
    <w:rsid w:val="00C47C5D"/>
    <w:rsid w:val="00C47DD4"/>
    <w:rsid w:val="00C502E1"/>
    <w:rsid w:val="00C50D1C"/>
    <w:rsid w:val="00C50E28"/>
    <w:rsid w:val="00C50F25"/>
    <w:rsid w:val="00C51098"/>
    <w:rsid w:val="00C51D91"/>
    <w:rsid w:val="00C51ED1"/>
    <w:rsid w:val="00C529EA"/>
    <w:rsid w:val="00C52F33"/>
    <w:rsid w:val="00C534F3"/>
    <w:rsid w:val="00C53550"/>
    <w:rsid w:val="00C5357D"/>
    <w:rsid w:val="00C5359B"/>
    <w:rsid w:val="00C536EA"/>
    <w:rsid w:val="00C53BA1"/>
    <w:rsid w:val="00C53CB0"/>
    <w:rsid w:val="00C53EFE"/>
    <w:rsid w:val="00C540E5"/>
    <w:rsid w:val="00C545DA"/>
    <w:rsid w:val="00C5525B"/>
    <w:rsid w:val="00C55689"/>
    <w:rsid w:val="00C556E4"/>
    <w:rsid w:val="00C55751"/>
    <w:rsid w:val="00C5592A"/>
    <w:rsid w:val="00C55F90"/>
    <w:rsid w:val="00C55FEE"/>
    <w:rsid w:val="00C56137"/>
    <w:rsid w:val="00C5615B"/>
    <w:rsid w:val="00C561A6"/>
    <w:rsid w:val="00C563C1"/>
    <w:rsid w:val="00C56C07"/>
    <w:rsid w:val="00C56D06"/>
    <w:rsid w:val="00C5701E"/>
    <w:rsid w:val="00C57073"/>
    <w:rsid w:val="00C5720A"/>
    <w:rsid w:val="00C60008"/>
    <w:rsid w:val="00C618F9"/>
    <w:rsid w:val="00C61BAA"/>
    <w:rsid w:val="00C61C28"/>
    <w:rsid w:val="00C6230B"/>
    <w:rsid w:val="00C62542"/>
    <w:rsid w:val="00C62CC9"/>
    <w:rsid w:val="00C6300D"/>
    <w:rsid w:val="00C630CA"/>
    <w:rsid w:val="00C635E9"/>
    <w:rsid w:val="00C6368A"/>
    <w:rsid w:val="00C63AD6"/>
    <w:rsid w:val="00C6423F"/>
    <w:rsid w:val="00C64370"/>
    <w:rsid w:val="00C646EB"/>
    <w:rsid w:val="00C64809"/>
    <w:rsid w:val="00C64B0F"/>
    <w:rsid w:val="00C6505D"/>
    <w:rsid w:val="00C6528E"/>
    <w:rsid w:val="00C659A8"/>
    <w:rsid w:val="00C65B79"/>
    <w:rsid w:val="00C65C02"/>
    <w:rsid w:val="00C65D05"/>
    <w:rsid w:val="00C661D7"/>
    <w:rsid w:val="00C662F0"/>
    <w:rsid w:val="00C663F0"/>
    <w:rsid w:val="00C66741"/>
    <w:rsid w:val="00C66B59"/>
    <w:rsid w:val="00C66FF6"/>
    <w:rsid w:val="00C671DF"/>
    <w:rsid w:val="00C675C6"/>
    <w:rsid w:val="00C67632"/>
    <w:rsid w:val="00C67D27"/>
    <w:rsid w:val="00C67FB0"/>
    <w:rsid w:val="00C7011E"/>
    <w:rsid w:val="00C70501"/>
    <w:rsid w:val="00C70B4E"/>
    <w:rsid w:val="00C70D22"/>
    <w:rsid w:val="00C70F74"/>
    <w:rsid w:val="00C70FE8"/>
    <w:rsid w:val="00C71375"/>
    <w:rsid w:val="00C71412"/>
    <w:rsid w:val="00C715AF"/>
    <w:rsid w:val="00C71847"/>
    <w:rsid w:val="00C71A51"/>
    <w:rsid w:val="00C71C7F"/>
    <w:rsid w:val="00C71FC3"/>
    <w:rsid w:val="00C7212A"/>
    <w:rsid w:val="00C72405"/>
    <w:rsid w:val="00C72AEB"/>
    <w:rsid w:val="00C72F38"/>
    <w:rsid w:val="00C73332"/>
    <w:rsid w:val="00C733D5"/>
    <w:rsid w:val="00C73519"/>
    <w:rsid w:val="00C73A78"/>
    <w:rsid w:val="00C73A89"/>
    <w:rsid w:val="00C73E43"/>
    <w:rsid w:val="00C744B4"/>
    <w:rsid w:val="00C74512"/>
    <w:rsid w:val="00C74A95"/>
    <w:rsid w:val="00C75338"/>
    <w:rsid w:val="00C758C8"/>
    <w:rsid w:val="00C75A92"/>
    <w:rsid w:val="00C75DFC"/>
    <w:rsid w:val="00C760BE"/>
    <w:rsid w:val="00C765A4"/>
    <w:rsid w:val="00C767BD"/>
    <w:rsid w:val="00C76A5C"/>
    <w:rsid w:val="00C76CE5"/>
    <w:rsid w:val="00C7713E"/>
    <w:rsid w:val="00C774BF"/>
    <w:rsid w:val="00C774FB"/>
    <w:rsid w:val="00C778CB"/>
    <w:rsid w:val="00C779EC"/>
    <w:rsid w:val="00C77D02"/>
    <w:rsid w:val="00C802E0"/>
    <w:rsid w:val="00C8051D"/>
    <w:rsid w:val="00C807EE"/>
    <w:rsid w:val="00C808D3"/>
    <w:rsid w:val="00C80BF7"/>
    <w:rsid w:val="00C80BFD"/>
    <w:rsid w:val="00C81441"/>
    <w:rsid w:val="00C814F9"/>
    <w:rsid w:val="00C815F2"/>
    <w:rsid w:val="00C819C5"/>
    <w:rsid w:val="00C81D66"/>
    <w:rsid w:val="00C82BFF"/>
    <w:rsid w:val="00C82E2A"/>
    <w:rsid w:val="00C82E98"/>
    <w:rsid w:val="00C82F88"/>
    <w:rsid w:val="00C8334C"/>
    <w:rsid w:val="00C8375A"/>
    <w:rsid w:val="00C8380E"/>
    <w:rsid w:val="00C838B4"/>
    <w:rsid w:val="00C83B57"/>
    <w:rsid w:val="00C8402F"/>
    <w:rsid w:val="00C84675"/>
    <w:rsid w:val="00C8483D"/>
    <w:rsid w:val="00C84DCF"/>
    <w:rsid w:val="00C8534C"/>
    <w:rsid w:val="00C8535E"/>
    <w:rsid w:val="00C85637"/>
    <w:rsid w:val="00C85CC6"/>
    <w:rsid w:val="00C85CCF"/>
    <w:rsid w:val="00C85CF9"/>
    <w:rsid w:val="00C85DB3"/>
    <w:rsid w:val="00C85E85"/>
    <w:rsid w:val="00C8613B"/>
    <w:rsid w:val="00C86A42"/>
    <w:rsid w:val="00C86E11"/>
    <w:rsid w:val="00C870FE"/>
    <w:rsid w:val="00C8719D"/>
    <w:rsid w:val="00C871FB"/>
    <w:rsid w:val="00C87303"/>
    <w:rsid w:val="00C8754F"/>
    <w:rsid w:val="00C877FA"/>
    <w:rsid w:val="00C879C6"/>
    <w:rsid w:val="00C87C7F"/>
    <w:rsid w:val="00C87D04"/>
    <w:rsid w:val="00C904FC"/>
    <w:rsid w:val="00C907D7"/>
    <w:rsid w:val="00C90F20"/>
    <w:rsid w:val="00C913DE"/>
    <w:rsid w:val="00C91449"/>
    <w:rsid w:val="00C914D6"/>
    <w:rsid w:val="00C91AFC"/>
    <w:rsid w:val="00C91BD9"/>
    <w:rsid w:val="00C91C55"/>
    <w:rsid w:val="00C91D0D"/>
    <w:rsid w:val="00C92105"/>
    <w:rsid w:val="00C92423"/>
    <w:rsid w:val="00C928AA"/>
    <w:rsid w:val="00C92A47"/>
    <w:rsid w:val="00C932B7"/>
    <w:rsid w:val="00C93635"/>
    <w:rsid w:val="00C93D34"/>
    <w:rsid w:val="00C940C9"/>
    <w:rsid w:val="00C941B7"/>
    <w:rsid w:val="00C942D9"/>
    <w:rsid w:val="00C943C9"/>
    <w:rsid w:val="00C94876"/>
    <w:rsid w:val="00C94AEC"/>
    <w:rsid w:val="00C94D5C"/>
    <w:rsid w:val="00C94E20"/>
    <w:rsid w:val="00C95291"/>
    <w:rsid w:val="00C95486"/>
    <w:rsid w:val="00C95619"/>
    <w:rsid w:val="00C95686"/>
    <w:rsid w:val="00C957D2"/>
    <w:rsid w:val="00C95BF8"/>
    <w:rsid w:val="00C95CBC"/>
    <w:rsid w:val="00C960C7"/>
    <w:rsid w:val="00C96E57"/>
    <w:rsid w:val="00C96E88"/>
    <w:rsid w:val="00C971C9"/>
    <w:rsid w:val="00C972A1"/>
    <w:rsid w:val="00C9732A"/>
    <w:rsid w:val="00C9768F"/>
    <w:rsid w:val="00C97C1C"/>
    <w:rsid w:val="00C97F3B"/>
    <w:rsid w:val="00CA00FB"/>
    <w:rsid w:val="00CA025C"/>
    <w:rsid w:val="00CA0D49"/>
    <w:rsid w:val="00CA0F5E"/>
    <w:rsid w:val="00CA1884"/>
    <w:rsid w:val="00CA19D3"/>
    <w:rsid w:val="00CA20D7"/>
    <w:rsid w:val="00CA253D"/>
    <w:rsid w:val="00CA268F"/>
    <w:rsid w:val="00CA29E6"/>
    <w:rsid w:val="00CA2EA9"/>
    <w:rsid w:val="00CA31DE"/>
    <w:rsid w:val="00CA3839"/>
    <w:rsid w:val="00CA4512"/>
    <w:rsid w:val="00CA45E0"/>
    <w:rsid w:val="00CA4B25"/>
    <w:rsid w:val="00CA4CAD"/>
    <w:rsid w:val="00CA4E63"/>
    <w:rsid w:val="00CA5164"/>
    <w:rsid w:val="00CA51D5"/>
    <w:rsid w:val="00CA5396"/>
    <w:rsid w:val="00CA53C4"/>
    <w:rsid w:val="00CA5421"/>
    <w:rsid w:val="00CA542E"/>
    <w:rsid w:val="00CA54FA"/>
    <w:rsid w:val="00CA589D"/>
    <w:rsid w:val="00CA5C15"/>
    <w:rsid w:val="00CA618B"/>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4FC"/>
    <w:rsid w:val="00CB1694"/>
    <w:rsid w:val="00CB1793"/>
    <w:rsid w:val="00CB1B2F"/>
    <w:rsid w:val="00CB1C89"/>
    <w:rsid w:val="00CB2668"/>
    <w:rsid w:val="00CB2827"/>
    <w:rsid w:val="00CB2853"/>
    <w:rsid w:val="00CB29EF"/>
    <w:rsid w:val="00CB2ED9"/>
    <w:rsid w:val="00CB2FE9"/>
    <w:rsid w:val="00CB3217"/>
    <w:rsid w:val="00CB33CA"/>
    <w:rsid w:val="00CB3439"/>
    <w:rsid w:val="00CB4056"/>
    <w:rsid w:val="00CB407B"/>
    <w:rsid w:val="00CB44B0"/>
    <w:rsid w:val="00CB44B7"/>
    <w:rsid w:val="00CB450F"/>
    <w:rsid w:val="00CB6000"/>
    <w:rsid w:val="00CB605A"/>
    <w:rsid w:val="00CB62D0"/>
    <w:rsid w:val="00CB655D"/>
    <w:rsid w:val="00CB656C"/>
    <w:rsid w:val="00CB66BA"/>
    <w:rsid w:val="00CB6704"/>
    <w:rsid w:val="00CB6DB5"/>
    <w:rsid w:val="00CB6EF0"/>
    <w:rsid w:val="00CB6F76"/>
    <w:rsid w:val="00CB70A8"/>
    <w:rsid w:val="00CB747C"/>
    <w:rsid w:val="00CB7720"/>
    <w:rsid w:val="00CB7901"/>
    <w:rsid w:val="00CB7A54"/>
    <w:rsid w:val="00CB7D31"/>
    <w:rsid w:val="00CC01F6"/>
    <w:rsid w:val="00CC0A9C"/>
    <w:rsid w:val="00CC12F9"/>
    <w:rsid w:val="00CC134F"/>
    <w:rsid w:val="00CC1645"/>
    <w:rsid w:val="00CC19A1"/>
    <w:rsid w:val="00CC1A77"/>
    <w:rsid w:val="00CC1C13"/>
    <w:rsid w:val="00CC1F96"/>
    <w:rsid w:val="00CC201B"/>
    <w:rsid w:val="00CC258D"/>
    <w:rsid w:val="00CC278B"/>
    <w:rsid w:val="00CC28E8"/>
    <w:rsid w:val="00CC2C3C"/>
    <w:rsid w:val="00CC2DA5"/>
    <w:rsid w:val="00CC2E96"/>
    <w:rsid w:val="00CC2EB6"/>
    <w:rsid w:val="00CC2FE1"/>
    <w:rsid w:val="00CC317E"/>
    <w:rsid w:val="00CC3694"/>
    <w:rsid w:val="00CC388A"/>
    <w:rsid w:val="00CC3AB5"/>
    <w:rsid w:val="00CC413C"/>
    <w:rsid w:val="00CC415B"/>
    <w:rsid w:val="00CC45F6"/>
    <w:rsid w:val="00CC480D"/>
    <w:rsid w:val="00CC4B43"/>
    <w:rsid w:val="00CC518E"/>
    <w:rsid w:val="00CC5773"/>
    <w:rsid w:val="00CC58EB"/>
    <w:rsid w:val="00CC59CF"/>
    <w:rsid w:val="00CC5D6F"/>
    <w:rsid w:val="00CC64E8"/>
    <w:rsid w:val="00CC6619"/>
    <w:rsid w:val="00CC6761"/>
    <w:rsid w:val="00CC6DF1"/>
    <w:rsid w:val="00CC73FF"/>
    <w:rsid w:val="00CC759E"/>
    <w:rsid w:val="00CC7853"/>
    <w:rsid w:val="00CC7CB8"/>
    <w:rsid w:val="00CC7DA4"/>
    <w:rsid w:val="00CC7DA8"/>
    <w:rsid w:val="00CC7DE7"/>
    <w:rsid w:val="00CD01B3"/>
    <w:rsid w:val="00CD0225"/>
    <w:rsid w:val="00CD0303"/>
    <w:rsid w:val="00CD08A9"/>
    <w:rsid w:val="00CD0A80"/>
    <w:rsid w:val="00CD0C8B"/>
    <w:rsid w:val="00CD0FEA"/>
    <w:rsid w:val="00CD1298"/>
    <w:rsid w:val="00CD16EA"/>
    <w:rsid w:val="00CD19E4"/>
    <w:rsid w:val="00CD1E5C"/>
    <w:rsid w:val="00CD1E9A"/>
    <w:rsid w:val="00CD2027"/>
    <w:rsid w:val="00CD2831"/>
    <w:rsid w:val="00CD2DA6"/>
    <w:rsid w:val="00CD33A1"/>
    <w:rsid w:val="00CD36B5"/>
    <w:rsid w:val="00CD38BB"/>
    <w:rsid w:val="00CD3D76"/>
    <w:rsid w:val="00CD4228"/>
    <w:rsid w:val="00CD4488"/>
    <w:rsid w:val="00CD47CC"/>
    <w:rsid w:val="00CD519A"/>
    <w:rsid w:val="00CD566E"/>
    <w:rsid w:val="00CD5830"/>
    <w:rsid w:val="00CD586B"/>
    <w:rsid w:val="00CD5891"/>
    <w:rsid w:val="00CD58E9"/>
    <w:rsid w:val="00CD5AE8"/>
    <w:rsid w:val="00CD5F72"/>
    <w:rsid w:val="00CD63A4"/>
    <w:rsid w:val="00CD6897"/>
    <w:rsid w:val="00CD6A34"/>
    <w:rsid w:val="00CD6F41"/>
    <w:rsid w:val="00CD6FA9"/>
    <w:rsid w:val="00CD7534"/>
    <w:rsid w:val="00CD793A"/>
    <w:rsid w:val="00CE026E"/>
    <w:rsid w:val="00CE08D0"/>
    <w:rsid w:val="00CE0C3E"/>
    <w:rsid w:val="00CE0CBC"/>
    <w:rsid w:val="00CE0E62"/>
    <w:rsid w:val="00CE120F"/>
    <w:rsid w:val="00CE1211"/>
    <w:rsid w:val="00CE14B3"/>
    <w:rsid w:val="00CE1688"/>
    <w:rsid w:val="00CE17D2"/>
    <w:rsid w:val="00CE17E3"/>
    <w:rsid w:val="00CE1983"/>
    <w:rsid w:val="00CE226E"/>
    <w:rsid w:val="00CE2620"/>
    <w:rsid w:val="00CE2A2C"/>
    <w:rsid w:val="00CE307C"/>
    <w:rsid w:val="00CE3176"/>
    <w:rsid w:val="00CE350A"/>
    <w:rsid w:val="00CE3E44"/>
    <w:rsid w:val="00CE3F0E"/>
    <w:rsid w:val="00CE4029"/>
    <w:rsid w:val="00CE40BE"/>
    <w:rsid w:val="00CE40EF"/>
    <w:rsid w:val="00CE458D"/>
    <w:rsid w:val="00CE473E"/>
    <w:rsid w:val="00CE4AC8"/>
    <w:rsid w:val="00CE4D2D"/>
    <w:rsid w:val="00CE4DBB"/>
    <w:rsid w:val="00CE4E50"/>
    <w:rsid w:val="00CE5428"/>
    <w:rsid w:val="00CE56B3"/>
    <w:rsid w:val="00CE5A7A"/>
    <w:rsid w:val="00CE5BFF"/>
    <w:rsid w:val="00CE5C1E"/>
    <w:rsid w:val="00CE5F42"/>
    <w:rsid w:val="00CE6286"/>
    <w:rsid w:val="00CE6719"/>
    <w:rsid w:val="00CE6881"/>
    <w:rsid w:val="00CE6E1D"/>
    <w:rsid w:val="00CE6E4C"/>
    <w:rsid w:val="00CE6F08"/>
    <w:rsid w:val="00CE6F37"/>
    <w:rsid w:val="00CE76EB"/>
    <w:rsid w:val="00CE7BEE"/>
    <w:rsid w:val="00CF0033"/>
    <w:rsid w:val="00CF017F"/>
    <w:rsid w:val="00CF08A9"/>
    <w:rsid w:val="00CF09C3"/>
    <w:rsid w:val="00CF0A33"/>
    <w:rsid w:val="00CF0A43"/>
    <w:rsid w:val="00CF0E99"/>
    <w:rsid w:val="00CF0F3C"/>
    <w:rsid w:val="00CF2090"/>
    <w:rsid w:val="00CF2329"/>
    <w:rsid w:val="00CF245B"/>
    <w:rsid w:val="00CF253E"/>
    <w:rsid w:val="00CF257B"/>
    <w:rsid w:val="00CF2620"/>
    <w:rsid w:val="00CF2935"/>
    <w:rsid w:val="00CF2A40"/>
    <w:rsid w:val="00CF2A4A"/>
    <w:rsid w:val="00CF2BC3"/>
    <w:rsid w:val="00CF2DB0"/>
    <w:rsid w:val="00CF2E43"/>
    <w:rsid w:val="00CF3445"/>
    <w:rsid w:val="00CF34B5"/>
    <w:rsid w:val="00CF3770"/>
    <w:rsid w:val="00CF3A4C"/>
    <w:rsid w:val="00CF4198"/>
    <w:rsid w:val="00CF4377"/>
    <w:rsid w:val="00CF465E"/>
    <w:rsid w:val="00CF4694"/>
    <w:rsid w:val="00CF470A"/>
    <w:rsid w:val="00CF487E"/>
    <w:rsid w:val="00CF4B98"/>
    <w:rsid w:val="00CF4C98"/>
    <w:rsid w:val="00CF4E83"/>
    <w:rsid w:val="00CF5442"/>
    <w:rsid w:val="00CF5491"/>
    <w:rsid w:val="00CF5522"/>
    <w:rsid w:val="00CF5641"/>
    <w:rsid w:val="00CF58F6"/>
    <w:rsid w:val="00CF594F"/>
    <w:rsid w:val="00CF5C4C"/>
    <w:rsid w:val="00CF5F91"/>
    <w:rsid w:val="00CF61ED"/>
    <w:rsid w:val="00CF6467"/>
    <w:rsid w:val="00CF68BB"/>
    <w:rsid w:val="00CF6B8E"/>
    <w:rsid w:val="00CF6CFB"/>
    <w:rsid w:val="00CF6ED9"/>
    <w:rsid w:val="00CF760D"/>
    <w:rsid w:val="00CF7BE1"/>
    <w:rsid w:val="00CF7D7B"/>
    <w:rsid w:val="00CF7EE5"/>
    <w:rsid w:val="00D00293"/>
    <w:rsid w:val="00D004EF"/>
    <w:rsid w:val="00D005D9"/>
    <w:rsid w:val="00D00860"/>
    <w:rsid w:val="00D009EC"/>
    <w:rsid w:val="00D01DDE"/>
    <w:rsid w:val="00D01E60"/>
    <w:rsid w:val="00D020B8"/>
    <w:rsid w:val="00D02149"/>
    <w:rsid w:val="00D023A6"/>
    <w:rsid w:val="00D02650"/>
    <w:rsid w:val="00D026D2"/>
    <w:rsid w:val="00D027BE"/>
    <w:rsid w:val="00D0293E"/>
    <w:rsid w:val="00D0293F"/>
    <w:rsid w:val="00D02AC2"/>
    <w:rsid w:val="00D02F93"/>
    <w:rsid w:val="00D0328D"/>
    <w:rsid w:val="00D033B4"/>
    <w:rsid w:val="00D0341D"/>
    <w:rsid w:val="00D03F15"/>
    <w:rsid w:val="00D03FCC"/>
    <w:rsid w:val="00D03FE0"/>
    <w:rsid w:val="00D03FEE"/>
    <w:rsid w:val="00D0427E"/>
    <w:rsid w:val="00D042C2"/>
    <w:rsid w:val="00D042E8"/>
    <w:rsid w:val="00D04617"/>
    <w:rsid w:val="00D047C3"/>
    <w:rsid w:val="00D047D7"/>
    <w:rsid w:val="00D04A1B"/>
    <w:rsid w:val="00D04B2B"/>
    <w:rsid w:val="00D04EF0"/>
    <w:rsid w:val="00D04FDA"/>
    <w:rsid w:val="00D052D2"/>
    <w:rsid w:val="00D05528"/>
    <w:rsid w:val="00D0566F"/>
    <w:rsid w:val="00D05830"/>
    <w:rsid w:val="00D05AAD"/>
    <w:rsid w:val="00D05E80"/>
    <w:rsid w:val="00D06368"/>
    <w:rsid w:val="00D06601"/>
    <w:rsid w:val="00D06BF9"/>
    <w:rsid w:val="00D06CB9"/>
    <w:rsid w:val="00D0708D"/>
    <w:rsid w:val="00D070B2"/>
    <w:rsid w:val="00D077D9"/>
    <w:rsid w:val="00D07B79"/>
    <w:rsid w:val="00D07C59"/>
    <w:rsid w:val="00D1065D"/>
    <w:rsid w:val="00D106C6"/>
    <w:rsid w:val="00D10D01"/>
    <w:rsid w:val="00D10E08"/>
    <w:rsid w:val="00D10EE4"/>
    <w:rsid w:val="00D10FDA"/>
    <w:rsid w:val="00D1109C"/>
    <w:rsid w:val="00D118AA"/>
    <w:rsid w:val="00D11EBE"/>
    <w:rsid w:val="00D1200B"/>
    <w:rsid w:val="00D12133"/>
    <w:rsid w:val="00D12753"/>
    <w:rsid w:val="00D12CD3"/>
    <w:rsid w:val="00D12E3E"/>
    <w:rsid w:val="00D13422"/>
    <w:rsid w:val="00D13500"/>
    <w:rsid w:val="00D138DA"/>
    <w:rsid w:val="00D13923"/>
    <w:rsid w:val="00D139B2"/>
    <w:rsid w:val="00D13AC1"/>
    <w:rsid w:val="00D14263"/>
    <w:rsid w:val="00D147A4"/>
    <w:rsid w:val="00D147C9"/>
    <w:rsid w:val="00D14CCB"/>
    <w:rsid w:val="00D14D4A"/>
    <w:rsid w:val="00D15035"/>
    <w:rsid w:val="00D15917"/>
    <w:rsid w:val="00D160AA"/>
    <w:rsid w:val="00D169D5"/>
    <w:rsid w:val="00D17043"/>
    <w:rsid w:val="00D175BD"/>
    <w:rsid w:val="00D178ED"/>
    <w:rsid w:val="00D17D56"/>
    <w:rsid w:val="00D17ED0"/>
    <w:rsid w:val="00D203FE"/>
    <w:rsid w:val="00D2064B"/>
    <w:rsid w:val="00D208E6"/>
    <w:rsid w:val="00D20AAB"/>
    <w:rsid w:val="00D2130C"/>
    <w:rsid w:val="00D214C3"/>
    <w:rsid w:val="00D21736"/>
    <w:rsid w:val="00D2179F"/>
    <w:rsid w:val="00D21914"/>
    <w:rsid w:val="00D21D6D"/>
    <w:rsid w:val="00D21F15"/>
    <w:rsid w:val="00D21FEC"/>
    <w:rsid w:val="00D2245A"/>
    <w:rsid w:val="00D2276D"/>
    <w:rsid w:val="00D22B7C"/>
    <w:rsid w:val="00D23149"/>
    <w:rsid w:val="00D234AA"/>
    <w:rsid w:val="00D23791"/>
    <w:rsid w:val="00D23E19"/>
    <w:rsid w:val="00D23E41"/>
    <w:rsid w:val="00D23F32"/>
    <w:rsid w:val="00D24001"/>
    <w:rsid w:val="00D24141"/>
    <w:rsid w:val="00D24C2F"/>
    <w:rsid w:val="00D2556D"/>
    <w:rsid w:val="00D2625F"/>
    <w:rsid w:val="00D26880"/>
    <w:rsid w:val="00D269AF"/>
    <w:rsid w:val="00D26AE2"/>
    <w:rsid w:val="00D26B80"/>
    <w:rsid w:val="00D26ED6"/>
    <w:rsid w:val="00D273FD"/>
    <w:rsid w:val="00D275F3"/>
    <w:rsid w:val="00D278A4"/>
    <w:rsid w:val="00D30291"/>
    <w:rsid w:val="00D30327"/>
    <w:rsid w:val="00D30BB1"/>
    <w:rsid w:val="00D30F2A"/>
    <w:rsid w:val="00D31048"/>
    <w:rsid w:val="00D3171F"/>
    <w:rsid w:val="00D31981"/>
    <w:rsid w:val="00D31A9A"/>
    <w:rsid w:val="00D31D9E"/>
    <w:rsid w:val="00D320DD"/>
    <w:rsid w:val="00D32135"/>
    <w:rsid w:val="00D32911"/>
    <w:rsid w:val="00D32BE6"/>
    <w:rsid w:val="00D3339A"/>
    <w:rsid w:val="00D334E4"/>
    <w:rsid w:val="00D33503"/>
    <w:rsid w:val="00D336EE"/>
    <w:rsid w:val="00D339D1"/>
    <w:rsid w:val="00D33C9F"/>
    <w:rsid w:val="00D34380"/>
    <w:rsid w:val="00D348AA"/>
    <w:rsid w:val="00D34AD7"/>
    <w:rsid w:val="00D34E81"/>
    <w:rsid w:val="00D34FF2"/>
    <w:rsid w:val="00D35135"/>
    <w:rsid w:val="00D35E0D"/>
    <w:rsid w:val="00D3645C"/>
    <w:rsid w:val="00D36828"/>
    <w:rsid w:val="00D36B68"/>
    <w:rsid w:val="00D36E4F"/>
    <w:rsid w:val="00D36EC8"/>
    <w:rsid w:val="00D371D5"/>
    <w:rsid w:val="00D37435"/>
    <w:rsid w:val="00D37680"/>
    <w:rsid w:val="00D37F89"/>
    <w:rsid w:val="00D400C9"/>
    <w:rsid w:val="00D40267"/>
    <w:rsid w:val="00D4054C"/>
    <w:rsid w:val="00D40DC3"/>
    <w:rsid w:val="00D40E52"/>
    <w:rsid w:val="00D41143"/>
    <w:rsid w:val="00D4133D"/>
    <w:rsid w:val="00D41C90"/>
    <w:rsid w:val="00D420B2"/>
    <w:rsid w:val="00D42145"/>
    <w:rsid w:val="00D42E11"/>
    <w:rsid w:val="00D432A5"/>
    <w:rsid w:val="00D43564"/>
    <w:rsid w:val="00D435DA"/>
    <w:rsid w:val="00D43659"/>
    <w:rsid w:val="00D4371B"/>
    <w:rsid w:val="00D439E8"/>
    <w:rsid w:val="00D43BAC"/>
    <w:rsid w:val="00D43E18"/>
    <w:rsid w:val="00D443FA"/>
    <w:rsid w:val="00D44473"/>
    <w:rsid w:val="00D44E83"/>
    <w:rsid w:val="00D456CD"/>
    <w:rsid w:val="00D45CF4"/>
    <w:rsid w:val="00D45D16"/>
    <w:rsid w:val="00D45E05"/>
    <w:rsid w:val="00D46028"/>
    <w:rsid w:val="00D46A4F"/>
    <w:rsid w:val="00D46D04"/>
    <w:rsid w:val="00D46E64"/>
    <w:rsid w:val="00D472A3"/>
    <w:rsid w:val="00D47C35"/>
    <w:rsid w:val="00D50371"/>
    <w:rsid w:val="00D5072C"/>
    <w:rsid w:val="00D50C6A"/>
    <w:rsid w:val="00D50CF1"/>
    <w:rsid w:val="00D5103C"/>
    <w:rsid w:val="00D51305"/>
    <w:rsid w:val="00D5134B"/>
    <w:rsid w:val="00D51409"/>
    <w:rsid w:val="00D5167F"/>
    <w:rsid w:val="00D519E9"/>
    <w:rsid w:val="00D5260E"/>
    <w:rsid w:val="00D5261F"/>
    <w:rsid w:val="00D5275F"/>
    <w:rsid w:val="00D53068"/>
    <w:rsid w:val="00D533B1"/>
    <w:rsid w:val="00D53569"/>
    <w:rsid w:val="00D5394F"/>
    <w:rsid w:val="00D53982"/>
    <w:rsid w:val="00D53E1D"/>
    <w:rsid w:val="00D54525"/>
    <w:rsid w:val="00D547E6"/>
    <w:rsid w:val="00D55055"/>
    <w:rsid w:val="00D556C6"/>
    <w:rsid w:val="00D558EF"/>
    <w:rsid w:val="00D55925"/>
    <w:rsid w:val="00D55A43"/>
    <w:rsid w:val="00D55FE4"/>
    <w:rsid w:val="00D5621B"/>
    <w:rsid w:val="00D5634F"/>
    <w:rsid w:val="00D563FD"/>
    <w:rsid w:val="00D5641B"/>
    <w:rsid w:val="00D56BEB"/>
    <w:rsid w:val="00D56E13"/>
    <w:rsid w:val="00D56F1A"/>
    <w:rsid w:val="00D56F98"/>
    <w:rsid w:val="00D573FA"/>
    <w:rsid w:val="00D57789"/>
    <w:rsid w:val="00D57907"/>
    <w:rsid w:val="00D57D50"/>
    <w:rsid w:val="00D57E9F"/>
    <w:rsid w:val="00D60104"/>
    <w:rsid w:val="00D605BD"/>
    <w:rsid w:val="00D605E9"/>
    <w:rsid w:val="00D607A6"/>
    <w:rsid w:val="00D609F0"/>
    <w:rsid w:val="00D60BCC"/>
    <w:rsid w:val="00D61120"/>
    <w:rsid w:val="00D61603"/>
    <w:rsid w:val="00D61723"/>
    <w:rsid w:val="00D61784"/>
    <w:rsid w:val="00D62771"/>
    <w:rsid w:val="00D629D1"/>
    <w:rsid w:val="00D62B99"/>
    <w:rsid w:val="00D62CD1"/>
    <w:rsid w:val="00D62D85"/>
    <w:rsid w:val="00D62EF8"/>
    <w:rsid w:val="00D63171"/>
    <w:rsid w:val="00D63355"/>
    <w:rsid w:val="00D63799"/>
    <w:rsid w:val="00D63C0E"/>
    <w:rsid w:val="00D63D8D"/>
    <w:rsid w:val="00D641A7"/>
    <w:rsid w:val="00D648A1"/>
    <w:rsid w:val="00D64971"/>
    <w:rsid w:val="00D64ADC"/>
    <w:rsid w:val="00D650F8"/>
    <w:rsid w:val="00D65351"/>
    <w:rsid w:val="00D654A1"/>
    <w:rsid w:val="00D66713"/>
    <w:rsid w:val="00D66827"/>
    <w:rsid w:val="00D66EDA"/>
    <w:rsid w:val="00D67372"/>
    <w:rsid w:val="00D673E5"/>
    <w:rsid w:val="00D6747E"/>
    <w:rsid w:val="00D67CFF"/>
    <w:rsid w:val="00D67D7A"/>
    <w:rsid w:val="00D67E8C"/>
    <w:rsid w:val="00D67EFF"/>
    <w:rsid w:val="00D70047"/>
    <w:rsid w:val="00D702D6"/>
    <w:rsid w:val="00D7101E"/>
    <w:rsid w:val="00D711A5"/>
    <w:rsid w:val="00D711FE"/>
    <w:rsid w:val="00D7124C"/>
    <w:rsid w:val="00D712EF"/>
    <w:rsid w:val="00D71302"/>
    <w:rsid w:val="00D71803"/>
    <w:rsid w:val="00D71831"/>
    <w:rsid w:val="00D71B22"/>
    <w:rsid w:val="00D71F53"/>
    <w:rsid w:val="00D728DF"/>
    <w:rsid w:val="00D72D6C"/>
    <w:rsid w:val="00D72E13"/>
    <w:rsid w:val="00D72F65"/>
    <w:rsid w:val="00D735C2"/>
    <w:rsid w:val="00D73753"/>
    <w:rsid w:val="00D73B6C"/>
    <w:rsid w:val="00D742A4"/>
    <w:rsid w:val="00D7499F"/>
    <w:rsid w:val="00D74BBF"/>
    <w:rsid w:val="00D74BFF"/>
    <w:rsid w:val="00D74E8F"/>
    <w:rsid w:val="00D74E9A"/>
    <w:rsid w:val="00D756F9"/>
    <w:rsid w:val="00D75756"/>
    <w:rsid w:val="00D75F42"/>
    <w:rsid w:val="00D76A30"/>
    <w:rsid w:val="00D76D71"/>
    <w:rsid w:val="00D770DD"/>
    <w:rsid w:val="00D77320"/>
    <w:rsid w:val="00D77F5A"/>
    <w:rsid w:val="00D8014C"/>
    <w:rsid w:val="00D801DF"/>
    <w:rsid w:val="00D80545"/>
    <w:rsid w:val="00D80AB4"/>
    <w:rsid w:val="00D80DC5"/>
    <w:rsid w:val="00D81579"/>
    <w:rsid w:val="00D81701"/>
    <w:rsid w:val="00D81D0E"/>
    <w:rsid w:val="00D829FB"/>
    <w:rsid w:val="00D82C13"/>
    <w:rsid w:val="00D82C6B"/>
    <w:rsid w:val="00D82CD9"/>
    <w:rsid w:val="00D8315F"/>
    <w:rsid w:val="00D8346C"/>
    <w:rsid w:val="00D839E1"/>
    <w:rsid w:val="00D84128"/>
    <w:rsid w:val="00D845A2"/>
    <w:rsid w:val="00D84662"/>
    <w:rsid w:val="00D856C0"/>
    <w:rsid w:val="00D85E09"/>
    <w:rsid w:val="00D85F37"/>
    <w:rsid w:val="00D85F67"/>
    <w:rsid w:val="00D86455"/>
    <w:rsid w:val="00D865C2"/>
    <w:rsid w:val="00D86819"/>
    <w:rsid w:val="00D86881"/>
    <w:rsid w:val="00D86AC1"/>
    <w:rsid w:val="00D86BB6"/>
    <w:rsid w:val="00D871C5"/>
    <w:rsid w:val="00D87251"/>
    <w:rsid w:val="00D8751F"/>
    <w:rsid w:val="00D8758A"/>
    <w:rsid w:val="00D87B09"/>
    <w:rsid w:val="00D87F66"/>
    <w:rsid w:val="00D87FD6"/>
    <w:rsid w:val="00D87FE4"/>
    <w:rsid w:val="00D90ADB"/>
    <w:rsid w:val="00D90C50"/>
    <w:rsid w:val="00D912DC"/>
    <w:rsid w:val="00D91460"/>
    <w:rsid w:val="00D914DB"/>
    <w:rsid w:val="00D91C14"/>
    <w:rsid w:val="00D91C41"/>
    <w:rsid w:val="00D91ED7"/>
    <w:rsid w:val="00D9267C"/>
    <w:rsid w:val="00D931B4"/>
    <w:rsid w:val="00D9324C"/>
    <w:rsid w:val="00D93375"/>
    <w:rsid w:val="00D93880"/>
    <w:rsid w:val="00D93D59"/>
    <w:rsid w:val="00D93EFF"/>
    <w:rsid w:val="00D93F72"/>
    <w:rsid w:val="00D9460D"/>
    <w:rsid w:val="00D94A6B"/>
    <w:rsid w:val="00D94EBE"/>
    <w:rsid w:val="00D956EF"/>
    <w:rsid w:val="00D95F00"/>
    <w:rsid w:val="00D96313"/>
    <w:rsid w:val="00D96499"/>
    <w:rsid w:val="00D966DA"/>
    <w:rsid w:val="00D9676F"/>
    <w:rsid w:val="00D96A0F"/>
    <w:rsid w:val="00D96CB4"/>
    <w:rsid w:val="00D9711B"/>
    <w:rsid w:val="00D9788D"/>
    <w:rsid w:val="00D978CF"/>
    <w:rsid w:val="00D97CAE"/>
    <w:rsid w:val="00DA005D"/>
    <w:rsid w:val="00DA0552"/>
    <w:rsid w:val="00DA0765"/>
    <w:rsid w:val="00DA0B8A"/>
    <w:rsid w:val="00DA10D0"/>
    <w:rsid w:val="00DA11B2"/>
    <w:rsid w:val="00DA1AD0"/>
    <w:rsid w:val="00DA1BA7"/>
    <w:rsid w:val="00DA20B5"/>
    <w:rsid w:val="00DA22DA"/>
    <w:rsid w:val="00DA23DD"/>
    <w:rsid w:val="00DA2403"/>
    <w:rsid w:val="00DA2423"/>
    <w:rsid w:val="00DA287B"/>
    <w:rsid w:val="00DA2A00"/>
    <w:rsid w:val="00DA2A96"/>
    <w:rsid w:val="00DA303F"/>
    <w:rsid w:val="00DA3080"/>
    <w:rsid w:val="00DA30A2"/>
    <w:rsid w:val="00DA337B"/>
    <w:rsid w:val="00DA390D"/>
    <w:rsid w:val="00DA3961"/>
    <w:rsid w:val="00DA436C"/>
    <w:rsid w:val="00DA44A8"/>
    <w:rsid w:val="00DA44CF"/>
    <w:rsid w:val="00DA47A3"/>
    <w:rsid w:val="00DA4C33"/>
    <w:rsid w:val="00DA5076"/>
    <w:rsid w:val="00DA5D0B"/>
    <w:rsid w:val="00DA5F76"/>
    <w:rsid w:val="00DA60A5"/>
    <w:rsid w:val="00DA60F5"/>
    <w:rsid w:val="00DA6895"/>
    <w:rsid w:val="00DA76EE"/>
    <w:rsid w:val="00DA79C8"/>
    <w:rsid w:val="00DB01EA"/>
    <w:rsid w:val="00DB03AE"/>
    <w:rsid w:val="00DB03F6"/>
    <w:rsid w:val="00DB08CB"/>
    <w:rsid w:val="00DB0963"/>
    <w:rsid w:val="00DB0B52"/>
    <w:rsid w:val="00DB0BDE"/>
    <w:rsid w:val="00DB0FA3"/>
    <w:rsid w:val="00DB16C1"/>
    <w:rsid w:val="00DB196A"/>
    <w:rsid w:val="00DB19E7"/>
    <w:rsid w:val="00DB1D88"/>
    <w:rsid w:val="00DB2595"/>
    <w:rsid w:val="00DB27A9"/>
    <w:rsid w:val="00DB2E57"/>
    <w:rsid w:val="00DB2F7A"/>
    <w:rsid w:val="00DB303F"/>
    <w:rsid w:val="00DB321D"/>
    <w:rsid w:val="00DB326C"/>
    <w:rsid w:val="00DB3421"/>
    <w:rsid w:val="00DB3635"/>
    <w:rsid w:val="00DB3649"/>
    <w:rsid w:val="00DB3B1D"/>
    <w:rsid w:val="00DB3C08"/>
    <w:rsid w:val="00DB4006"/>
    <w:rsid w:val="00DB42EF"/>
    <w:rsid w:val="00DB462A"/>
    <w:rsid w:val="00DB4B61"/>
    <w:rsid w:val="00DB55CE"/>
    <w:rsid w:val="00DB55F6"/>
    <w:rsid w:val="00DB5FF8"/>
    <w:rsid w:val="00DB6002"/>
    <w:rsid w:val="00DB64F5"/>
    <w:rsid w:val="00DB6CAF"/>
    <w:rsid w:val="00DB7164"/>
    <w:rsid w:val="00DB729B"/>
    <w:rsid w:val="00DB72CE"/>
    <w:rsid w:val="00DB7400"/>
    <w:rsid w:val="00DB7A2A"/>
    <w:rsid w:val="00DB7BFC"/>
    <w:rsid w:val="00DB7EB1"/>
    <w:rsid w:val="00DC0114"/>
    <w:rsid w:val="00DC02FC"/>
    <w:rsid w:val="00DC0347"/>
    <w:rsid w:val="00DC051E"/>
    <w:rsid w:val="00DC0ADA"/>
    <w:rsid w:val="00DC0CF6"/>
    <w:rsid w:val="00DC0FE9"/>
    <w:rsid w:val="00DC13C3"/>
    <w:rsid w:val="00DC1763"/>
    <w:rsid w:val="00DC1B9A"/>
    <w:rsid w:val="00DC1C03"/>
    <w:rsid w:val="00DC2212"/>
    <w:rsid w:val="00DC23B3"/>
    <w:rsid w:val="00DC252D"/>
    <w:rsid w:val="00DC2595"/>
    <w:rsid w:val="00DC2823"/>
    <w:rsid w:val="00DC2C47"/>
    <w:rsid w:val="00DC2DF4"/>
    <w:rsid w:val="00DC30E1"/>
    <w:rsid w:val="00DC3143"/>
    <w:rsid w:val="00DC31F2"/>
    <w:rsid w:val="00DC3339"/>
    <w:rsid w:val="00DC35F6"/>
    <w:rsid w:val="00DC3752"/>
    <w:rsid w:val="00DC3898"/>
    <w:rsid w:val="00DC4083"/>
    <w:rsid w:val="00DC447E"/>
    <w:rsid w:val="00DC48DF"/>
    <w:rsid w:val="00DC4C8A"/>
    <w:rsid w:val="00DC5631"/>
    <w:rsid w:val="00DC5D8A"/>
    <w:rsid w:val="00DC610E"/>
    <w:rsid w:val="00DC6572"/>
    <w:rsid w:val="00DC6E4A"/>
    <w:rsid w:val="00DC7650"/>
    <w:rsid w:val="00DC7740"/>
    <w:rsid w:val="00DC789A"/>
    <w:rsid w:val="00DC7912"/>
    <w:rsid w:val="00DC7A1C"/>
    <w:rsid w:val="00DC7AEF"/>
    <w:rsid w:val="00DD0D38"/>
    <w:rsid w:val="00DD0D67"/>
    <w:rsid w:val="00DD0D77"/>
    <w:rsid w:val="00DD0E2A"/>
    <w:rsid w:val="00DD15E7"/>
    <w:rsid w:val="00DD16E2"/>
    <w:rsid w:val="00DD1A0F"/>
    <w:rsid w:val="00DD1C3A"/>
    <w:rsid w:val="00DD2514"/>
    <w:rsid w:val="00DD25D6"/>
    <w:rsid w:val="00DD2D33"/>
    <w:rsid w:val="00DD3364"/>
    <w:rsid w:val="00DD3CA2"/>
    <w:rsid w:val="00DD3E8E"/>
    <w:rsid w:val="00DD4038"/>
    <w:rsid w:val="00DD40B6"/>
    <w:rsid w:val="00DD4166"/>
    <w:rsid w:val="00DD426B"/>
    <w:rsid w:val="00DD42C3"/>
    <w:rsid w:val="00DD46E2"/>
    <w:rsid w:val="00DD485A"/>
    <w:rsid w:val="00DD4AC8"/>
    <w:rsid w:val="00DD4F01"/>
    <w:rsid w:val="00DD51F6"/>
    <w:rsid w:val="00DD595A"/>
    <w:rsid w:val="00DD5BB8"/>
    <w:rsid w:val="00DD63FD"/>
    <w:rsid w:val="00DD685B"/>
    <w:rsid w:val="00DD6A64"/>
    <w:rsid w:val="00DD6C94"/>
    <w:rsid w:val="00DD711F"/>
    <w:rsid w:val="00DD7703"/>
    <w:rsid w:val="00DE081E"/>
    <w:rsid w:val="00DE1838"/>
    <w:rsid w:val="00DE1CB1"/>
    <w:rsid w:val="00DE1E5B"/>
    <w:rsid w:val="00DE2409"/>
    <w:rsid w:val="00DE27A6"/>
    <w:rsid w:val="00DE339D"/>
    <w:rsid w:val="00DE3604"/>
    <w:rsid w:val="00DE3621"/>
    <w:rsid w:val="00DE3788"/>
    <w:rsid w:val="00DE3A38"/>
    <w:rsid w:val="00DE3F28"/>
    <w:rsid w:val="00DE41A5"/>
    <w:rsid w:val="00DE44B4"/>
    <w:rsid w:val="00DE588F"/>
    <w:rsid w:val="00DE5E98"/>
    <w:rsid w:val="00DE63D0"/>
    <w:rsid w:val="00DE6534"/>
    <w:rsid w:val="00DE67D6"/>
    <w:rsid w:val="00DE67EC"/>
    <w:rsid w:val="00DE69D3"/>
    <w:rsid w:val="00DE6A43"/>
    <w:rsid w:val="00DE6D32"/>
    <w:rsid w:val="00DE6DF3"/>
    <w:rsid w:val="00DE735E"/>
    <w:rsid w:val="00DE7542"/>
    <w:rsid w:val="00DE778A"/>
    <w:rsid w:val="00DE77A1"/>
    <w:rsid w:val="00DE77C6"/>
    <w:rsid w:val="00DE79D6"/>
    <w:rsid w:val="00DF0045"/>
    <w:rsid w:val="00DF03B1"/>
    <w:rsid w:val="00DF04D2"/>
    <w:rsid w:val="00DF0537"/>
    <w:rsid w:val="00DF0775"/>
    <w:rsid w:val="00DF083E"/>
    <w:rsid w:val="00DF0AD2"/>
    <w:rsid w:val="00DF0F4E"/>
    <w:rsid w:val="00DF0FA6"/>
    <w:rsid w:val="00DF11E3"/>
    <w:rsid w:val="00DF13B9"/>
    <w:rsid w:val="00DF17E4"/>
    <w:rsid w:val="00DF192E"/>
    <w:rsid w:val="00DF1D0B"/>
    <w:rsid w:val="00DF1FD5"/>
    <w:rsid w:val="00DF22CE"/>
    <w:rsid w:val="00DF23DF"/>
    <w:rsid w:val="00DF29E6"/>
    <w:rsid w:val="00DF29F8"/>
    <w:rsid w:val="00DF3641"/>
    <w:rsid w:val="00DF366D"/>
    <w:rsid w:val="00DF37D4"/>
    <w:rsid w:val="00DF38AD"/>
    <w:rsid w:val="00DF3917"/>
    <w:rsid w:val="00DF3D97"/>
    <w:rsid w:val="00DF3F0D"/>
    <w:rsid w:val="00DF4271"/>
    <w:rsid w:val="00DF4521"/>
    <w:rsid w:val="00DF45B7"/>
    <w:rsid w:val="00DF47F0"/>
    <w:rsid w:val="00DF4916"/>
    <w:rsid w:val="00DF497D"/>
    <w:rsid w:val="00DF4C0F"/>
    <w:rsid w:val="00DF5008"/>
    <w:rsid w:val="00DF50ED"/>
    <w:rsid w:val="00DF5E50"/>
    <w:rsid w:val="00DF60B0"/>
    <w:rsid w:val="00DF61F5"/>
    <w:rsid w:val="00DF6480"/>
    <w:rsid w:val="00DF66C8"/>
    <w:rsid w:val="00DF67EC"/>
    <w:rsid w:val="00DF69FB"/>
    <w:rsid w:val="00DF6C17"/>
    <w:rsid w:val="00DF707F"/>
    <w:rsid w:val="00DF75EA"/>
    <w:rsid w:val="00DF785E"/>
    <w:rsid w:val="00DF7966"/>
    <w:rsid w:val="00DF7A24"/>
    <w:rsid w:val="00DF7B53"/>
    <w:rsid w:val="00DF7E4A"/>
    <w:rsid w:val="00DF7F08"/>
    <w:rsid w:val="00E002A8"/>
    <w:rsid w:val="00E00596"/>
    <w:rsid w:val="00E005B2"/>
    <w:rsid w:val="00E00A96"/>
    <w:rsid w:val="00E00BDF"/>
    <w:rsid w:val="00E00F89"/>
    <w:rsid w:val="00E015E4"/>
    <w:rsid w:val="00E01698"/>
    <w:rsid w:val="00E01943"/>
    <w:rsid w:val="00E01D80"/>
    <w:rsid w:val="00E01DC4"/>
    <w:rsid w:val="00E01F35"/>
    <w:rsid w:val="00E022E1"/>
    <w:rsid w:val="00E022E5"/>
    <w:rsid w:val="00E026D3"/>
    <w:rsid w:val="00E02A18"/>
    <w:rsid w:val="00E02E9C"/>
    <w:rsid w:val="00E02F4B"/>
    <w:rsid w:val="00E02FD4"/>
    <w:rsid w:val="00E03B2B"/>
    <w:rsid w:val="00E03BC7"/>
    <w:rsid w:val="00E04230"/>
    <w:rsid w:val="00E0450C"/>
    <w:rsid w:val="00E04643"/>
    <w:rsid w:val="00E04676"/>
    <w:rsid w:val="00E04A9B"/>
    <w:rsid w:val="00E04D1A"/>
    <w:rsid w:val="00E04E74"/>
    <w:rsid w:val="00E051CF"/>
    <w:rsid w:val="00E051E0"/>
    <w:rsid w:val="00E05662"/>
    <w:rsid w:val="00E0570B"/>
    <w:rsid w:val="00E0571C"/>
    <w:rsid w:val="00E060BA"/>
    <w:rsid w:val="00E062CB"/>
    <w:rsid w:val="00E063FD"/>
    <w:rsid w:val="00E065B4"/>
    <w:rsid w:val="00E0674D"/>
    <w:rsid w:val="00E06835"/>
    <w:rsid w:val="00E07183"/>
    <w:rsid w:val="00E071DA"/>
    <w:rsid w:val="00E0740C"/>
    <w:rsid w:val="00E0770D"/>
    <w:rsid w:val="00E07776"/>
    <w:rsid w:val="00E07E8B"/>
    <w:rsid w:val="00E1026F"/>
    <w:rsid w:val="00E1047C"/>
    <w:rsid w:val="00E1060D"/>
    <w:rsid w:val="00E10699"/>
    <w:rsid w:val="00E10812"/>
    <w:rsid w:val="00E11421"/>
    <w:rsid w:val="00E11FFD"/>
    <w:rsid w:val="00E1228F"/>
    <w:rsid w:val="00E12784"/>
    <w:rsid w:val="00E12A15"/>
    <w:rsid w:val="00E1321F"/>
    <w:rsid w:val="00E135D6"/>
    <w:rsid w:val="00E1369C"/>
    <w:rsid w:val="00E13807"/>
    <w:rsid w:val="00E13B1D"/>
    <w:rsid w:val="00E13D11"/>
    <w:rsid w:val="00E14011"/>
    <w:rsid w:val="00E14176"/>
    <w:rsid w:val="00E144AC"/>
    <w:rsid w:val="00E14C3F"/>
    <w:rsid w:val="00E14E05"/>
    <w:rsid w:val="00E1539A"/>
    <w:rsid w:val="00E1592F"/>
    <w:rsid w:val="00E15B70"/>
    <w:rsid w:val="00E15C72"/>
    <w:rsid w:val="00E1606C"/>
    <w:rsid w:val="00E16931"/>
    <w:rsid w:val="00E16A6C"/>
    <w:rsid w:val="00E16ABA"/>
    <w:rsid w:val="00E16E41"/>
    <w:rsid w:val="00E177AB"/>
    <w:rsid w:val="00E20246"/>
    <w:rsid w:val="00E2024A"/>
    <w:rsid w:val="00E209D7"/>
    <w:rsid w:val="00E20B38"/>
    <w:rsid w:val="00E20C45"/>
    <w:rsid w:val="00E2103F"/>
    <w:rsid w:val="00E210E8"/>
    <w:rsid w:val="00E2132A"/>
    <w:rsid w:val="00E21484"/>
    <w:rsid w:val="00E21A8E"/>
    <w:rsid w:val="00E21AA0"/>
    <w:rsid w:val="00E21C0D"/>
    <w:rsid w:val="00E2232E"/>
    <w:rsid w:val="00E223F5"/>
    <w:rsid w:val="00E224BF"/>
    <w:rsid w:val="00E22686"/>
    <w:rsid w:val="00E22708"/>
    <w:rsid w:val="00E22D70"/>
    <w:rsid w:val="00E238D3"/>
    <w:rsid w:val="00E23C85"/>
    <w:rsid w:val="00E23D60"/>
    <w:rsid w:val="00E23E5D"/>
    <w:rsid w:val="00E23F4C"/>
    <w:rsid w:val="00E24D8A"/>
    <w:rsid w:val="00E24F38"/>
    <w:rsid w:val="00E24F54"/>
    <w:rsid w:val="00E2516F"/>
    <w:rsid w:val="00E25B4D"/>
    <w:rsid w:val="00E25BB7"/>
    <w:rsid w:val="00E261B9"/>
    <w:rsid w:val="00E263E0"/>
    <w:rsid w:val="00E26457"/>
    <w:rsid w:val="00E26ABB"/>
    <w:rsid w:val="00E26CC1"/>
    <w:rsid w:val="00E26D63"/>
    <w:rsid w:val="00E27589"/>
    <w:rsid w:val="00E27B2D"/>
    <w:rsid w:val="00E27B98"/>
    <w:rsid w:val="00E27F3C"/>
    <w:rsid w:val="00E30084"/>
    <w:rsid w:val="00E30488"/>
    <w:rsid w:val="00E3049E"/>
    <w:rsid w:val="00E304FD"/>
    <w:rsid w:val="00E30B31"/>
    <w:rsid w:val="00E31BE7"/>
    <w:rsid w:val="00E320D0"/>
    <w:rsid w:val="00E322C9"/>
    <w:rsid w:val="00E3241F"/>
    <w:rsid w:val="00E32906"/>
    <w:rsid w:val="00E32A87"/>
    <w:rsid w:val="00E32EA0"/>
    <w:rsid w:val="00E3369A"/>
    <w:rsid w:val="00E337D3"/>
    <w:rsid w:val="00E338C8"/>
    <w:rsid w:val="00E33F38"/>
    <w:rsid w:val="00E344C4"/>
    <w:rsid w:val="00E349A4"/>
    <w:rsid w:val="00E34E41"/>
    <w:rsid w:val="00E34F9F"/>
    <w:rsid w:val="00E350EA"/>
    <w:rsid w:val="00E3565C"/>
    <w:rsid w:val="00E3565D"/>
    <w:rsid w:val="00E35B26"/>
    <w:rsid w:val="00E35B99"/>
    <w:rsid w:val="00E35EEE"/>
    <w:rsid w:val="00E35F79"/>
    <w:rsid w:val="00E36C56"/>
    <w:rsid w:val="00E36F91"/>
    <w:rsid w:val="00E37058"/>
    <w:rsid w:val="00E3706C"/>
    <w:rsid w:val="00E37635"/>
    <w:rsid w:val="00E37E56"/>
    <w:rsid w:val="00E37E6C"/>
    <w:rsid w:val="00E37E6F"/>
    <w:rsid w:val="00E40088"/>
    <w:rsid w:val="00E40384"/>
    <w:rsid w:val="00E4049E"/>
    <w:rsid w:val="00E407DD"/>
    <w:rsid w:val="00E408E3"/>
    <w:rsid w:val="00E40B17"/>
    <w:rsid w:val="00E40B5B"/>
    <w:rsid w:val="00E41079"/>
    <w:rsid w:val="00E419AE"/>
    <w:rsid w:val="00E41B74"/>
    <w:rsid w:val="00E41E7E"/>
    <w:rsid w:val="00E41FCB"/>
    <w:rsid w:val="00E423E2"/>
    <w:rsid w:val="00E42547"/>
    <w:rsid w:val="00E4268B"/>
    <w:rsid w:val="00E426DF"/>
    <w:rsid w:val="00E428C0"/>
    <w:rsid w:val="00E42B80"/>
    <w:rsid w:val="00E43152"/>
    <w:rsid w:val="00E434DF"/>
    <w:rsid w:val="00E437C3"/>
    <w:rsid w:val="00E439D0"/>
    <w:rsid w:val="00E43AB5"/>
    <w:rsid w:val="00E44055"/>
    <w:rsid w:val="00E449C2"/>
    <w:rsid w:val="00E44AD6"/>
    <w:rsid w:val="00E44B62"/>
    <w:rsid w:val="00E44BE3"/>
    <w:rsid w:val="00E44ED4"/>
    <w:rsid w:val="00E44FF5"/>
    <w:rsid w:val="00E45058"/>
    <w:rsid w:val="00E4511B"/>
    <w:rsid w:val="00E4534B"/>
    <w:rsid w:val="00E455F3"/>
    <w:rsid w:val="00E45C52"/>
    <w:rsid w:val="00E45D71"/>
    <w:rsid w:val="00E45E18"/>
    <w:rsid w:val="00E463DA"/>
    <w:rsid w:val="00E46DC7"/>
    <w:rsid w:val="00E46E76"/>
    <w:rsid w:val="00E47164"/>
    <w:rsid w:val="00E4733A"/>
    <w:rsid w:val="00E47789"/>
    <w:rsid w:val="00E47A93"/>
    <w:rsid w:val="00E47B32"/>
    <w:rsid w:val="00E503B6"/>
    <w:rsid w:val="00E504DC"/>
    <w:rsid w:val="00E509B9"/>
    <w:rsid w:val="00E5153C"/>
    <w:rsid w:val="00E5191C"/>
    <w:rsid w:val="00E51D90"/>
    <w:rsid w:val="00E52A6D"/>
    <w:rsid w:val="00E52BAA"/>
    <w:rsid w:val="00E530B3"/>
    <w:rsid w:val="00E531F6"/>
    <w:rsid w:val="00E53746"/>
    <w:rsid w:val="00E537A4"/>
    <w:rsid w:val="00E53836"/>
    <w:rsid w:val="00E53A31"/>
    <w:rsid w:val="00E53B79"/>
    <w:rsid w:val="00E54117"/>
    <w:rsid w:val="00E54441"/>
    <w:rsid w:val="00E548B3"/>
    <w:rsid w:val="00E54CF3"/>
    <w:rsid w:val="00E5523A"/>
    <w:rsid w:val="00E5583B"/>
    <w:rsid w:val="00E55B2B"/>
    <w:rsid w:val="00E55DFF"/>
    <w:rsid w:val="00E560B2"/>
    <w:rsid w:val="00E564E1"/>
    <w:rsid w:val="00E56AC0"/>
    <w:rsid w:val="00E56B77"/>
    <w:rsid w:val="00E57273"/>
    <w:rsid w:val="00E57DE9"/>
    <w:rsid w:val="00E6064A"/>
    <w:rsid w:val="00E607E0"/>
    <w:rsid w:val="00E60CD8"/>
    <w:rsid w:val="00E60D1A"/>
    <w:rsid w:val="00E60EA0"/>
    <w:rsid w:val="00E60FC7"/>
    <w:rsid w:val="00E6149B"/>
    <w:rsid w:val="00E61515"/>
    <w:rsid w:val="00E6151D"/>
    <w:rsid w:val="00E616F1"/>
    <w:rsid w:val="00E617F8"/>
    <w:rsid w:val="00E619A3"/>
    <w:rsid w:val="00E6213B"/>
    <w:rsid w:val="00E62272"/>
    <w:rsid w:val="00E622A8"/>
    <w:rsid w:val="00E628CC"/>
    <w:rsid w:val="00E62926"/>
    <w:rsid w:val="00E62927"/>
    <w:rsid w:val="00E62C66"/>
    <w:rsid w:val="00E62DC6"/>
    <w:rsid w:val="00E630F1"/>
    <w:rsid w:val="00E63162"/>
    <w:rsid w:val="00E637B9"/>
    <w:rsid w:val="00E638B3"/>
    <w:rsid w:val="00E6484D"/>
    <w:rsid w:val="00E64965"/>
    <w:rsid w:val="00E6509F"/>
    <w:rsid w:val="00E6512A"/>
    <w:rsid w:val="00E65133"/>
    <w:rsid w:val="00E652D5"/>
    <w:rsid w:val="00E659DE"/>
    <w:rsid w:val="00E65A20"/>
    <w:rsid w:val="00E66062"/>
    <w:rsid w:val="00E6619D"/>
    <w:rsid w:val="00E662A0"/>
    <w:rsid w:val="00E6659E"/>
    <w:rsid w:val="00E666A6"/>
    <w:rsid w:val="00E6677D"/>
    <w:rsid w:val="00E6684C"/>
    <w:rsid w:val="00E668C9"/>
    <w:rsid w:val="00E67480"/>
    <w:rsid w:val="00E67841"/>
    <w:rsid w:val="00E67FD8"/>
    <w:rsid w:val="00E70614"/>
    <w:rsid w:val="00E7067A"/>
    <w:rsid w:val="00E7069F"/>
    <w:rsid w:val="00E70DA8"/>
    <w:rsid w:val="00E70EF9"/>
    <w:rsid w:val="00E71596"/>
    <w:rsid w:val="00E71B3C"/>
    <w:rsid w:val="00E71CE6"/>
    <w:rsid w:val="00E720CC"/>
    <w:rsid w:val="00E72BFE"/>
    <w:rsid w:val="00E7413E"/>
    <w:rsid w:val="00E74264"/>
    <w:rsid w:val="00E742A0"/>
    <w:rsid w:val="00E74797"/>
    <w:rsid w:val="00E74812"/>
    <w:rsid w:val="00E74B4E"/>
    <w:rsid w:val="00E74E4C"/>
    <w:rsid w:val="00E74F22"/>
    <w:rsid w:val="00E74F9D"/>
    <w:rsid w:val="00E75009"/>
    <w:rsid w:val="00E7642E"/>
    <w:rsid w:val="00E76D59"/>
    <w:rsid w:val="00E76DC9"/>
    <w:rsid w:val="00E771C7"/>
    <w:rsid w:val="00E77537"/>
    <w:rsid w:val="00E775CE"/>
    <w:rsid w:val="00E77669"/>
    <w:rsid w:val="00E77B37"/>
    <w:rsid w:val="00E77BB8"/>
    <w:rsid w:val="00E77D3B"/>
    <w:rsid w:val="00E803E8"/>
    <w:rsid w:val="00E80A0B"/>
    <w:rsid w:val="00E80A1D"/>
    <w:rsid w:val="00E80A39"/>
    <w:rsid w:val="00E80C56"/>
    <w:rsid w:val="00E81AE7"/>
    <w:rsid w:val="00E81B71"/>
    <w:rsid w:val="00E81C52"/>
    <w:rsid w:val="00E82574"/>
    <w:rsid w:val="00E82DA4"/>
    <w:rsid w:val="00E8329B"/>
    <w:rsid w:val="00E832E5"/>
    <w:rsid w:val="00E834CB"/>
    <w:rsid w:val="00E83961"/>
    <w:rsid w:val="00E83AF3"/>
    <w:rsid w:val="00E83C11"/>
    <w:rsid w:val="00E84B5E"/>
    <w:rsid w:val="00E850CB"/>
    <w:rsid w:val="00E855CA"/>
    <w:rsid w:val="00E857B8"/>
    <w:rsid w:val="00E857CA"/>
    <w:rsid w:val="00E857D5"/>
    <w:rsid w:val="00E85E41"/>
    <w:rsid w:val="00E86143"/>
    <w:rsid w:val="00E8628F"/>
    <w:rsid w:val="00E867B0"/>
    <w:rsid w:val="00E86BE8"/>
    <w:rsid w:val="00E86CF3"/>
    <w:rsid w:val="00E86D30"/>
    <w:rsid w:val="00E8711A"/>
    <w:rsid w:val="00E8736B"/>
    <w:rsid w:val="00E87723"/>
    <w:rsid w:val="00E87731"/>
    <w:rsid w:val="00E87867"/>
    <w:rsid w:val="00E903B8"/>
    <w:rsid w:val="00E904FD"/>
    <w:rsid w:val="00E90B67"/>
    <w:rsid w:val="00E90DB4"/>
    <w:rsid w:val="00E90F78"/>
    <w:rsid w:val="00E910DC"/>
    <w:rsid w:val="00E913B9"/>
    <w:rsid w:val="00E914AE"/>
    <w:rsid w:val="00E92A47"/>
    <w:rsid w:val="00E92ABD"/>
    <w:rsid w:val="00E92C6C"/>
    <w:rsid w:val="00E9374F"/>
    <w:rsid w:val="00E9376F"/>
    <w:rsid w:val="00E938A4"/>
    <w:rsid w:val="00E93982"/>
    <w:rsid w:val="00E93EEF"/>
    <w:rsid w:val="00E93F0E"/>
    <w:rsid w:val="00E940C7"/>
    <w:rsid w:val="00E941E5"/>
    <w:rsid w:val="00E94679"/>
    <w:rsid w:val="00E94809"/>
    <w:rsid w:val="00E94BC3"/>
    <w:rsid w:val="00E95001"/>
    <w:rsid w:val="00E9546D"/>
    <w:rsid w:val="00E95549"/>
    <w:rsid w:val="00E95854"/>
    <w:rsid w:val="00E9593D"/>
    <w:rsid w:val="00E95C8E"/>
    <w:rsid w:val="00E95D30"/>
    <w:rsid w:val="00E95DC2"/>
    <w:rsid w:val="00E95FB3"/>
    <w:rsid w:val="00E95FDF"/>
    <w:rsid w:val="00E9626E"/>
    <w:rsid w:val="00E964E7"/>
    <w:rsid w:val="00E96825"/>
    <w:rsid w:val="00E969FB"/>
    <w:rsid w:val="00E96A96"/>
    <w:rsid w:val="00E96B80"/>
    <w:rsid w:val="00E96B9E"/>
    <w:rsid w:val="00E97208"/>
    <w:rsid w:val="00E977BC"/>
    <w:rsid w:val="00E977C8"/>
    <w:rsid w:val="00E978C5"/>
    <w:rsid w:val="00E9799F"/>
    <w:rsid w:val="00E97AF9"/>
    <w:rsid w:val="00E97E73"/>
    <w:rsid w:val="00E97EFF"/>
    <w:rsid w:val="00EA05E7"/>
    <w:rsid w:val="00EA066A"/>
    <w:rsid w:val="00EA0C7F"/>
    <w:rsid w:val="00EA0D31"/>
    <w:rsid w:val="00EA0DAD"/>
    <w:rsid w:val="00EA1186"/>
    <w:rsid w:val="00EA1680"/>
    <w:rsid w:val="00EA183B"/>
    <w:rsid w:val="00EA1885"/>
    <w:rsid w:val="00EA1A01"/>
    <w:rsid w:val="00EA21AD"/>
    <w:rsid w:val="00EA2393"/>
    <w:rsid w:val="00EA2EEA"/>
    <w:rsid w:val="00EA2F66"/>
    <w:rsid w:val="00EA35B5"/>
    <w:rsid w:val="00EA3982"/>
    <w:rsid w:val="00EA434B"/>
    <w:rsid w:val="00EA4766"/>
    <w:rsid w:val="00EA481C"/>
    <w:rsid w:val="00EA4941"/>
    <w:rsid w:val="00EA4D30"/>
    <w:rsid w:val="00EA500C"/>
    <w:rsid w:val="00EA53ED"/>
    <w:rsid w:val="00EA58FA"/>
    <w:rsid w:val="00EA5E96"/>
    <w:rsid w:val="00EA5EF9"/>
    <w:rsid w:val="00EA64E4"/>
    <w:rsid w:val="00EA6927"/>
    <w:rsid w:val="00EA69BF"/>
    <w:rsid w:val="00EA6C58"/>
    <w:rsid w:val="00EA6DC0"/>
    <w:rsid w:val="00EA7048"/>
    <w:rsid w:val="00EA7245"/>
    <w:rsid w:val="00EA7395"/>
    <w:rsid w:val="00EA7A42"/>
    <w:rsid w:val="00EA7B4E"/>
    <w:rsid w:val="00EA7E88"/>
    <w:rsid w:val="00EA7F9F"/>
    <w:rsid w:val="00EB00B9"/>
    <w:rsid w:val="00EB0319"/>
    <w:rsid w:val="00EB04DA"/>
    <w:rsid w:val="00EB0755"/>
    <w:rsid w:val="00EB07C1"/>
    <w:rsid w:val="00EB0885"/>
    <w:rsid w:val="00EB0AC1"/>
    <w:rsid w:val="00EB10DD"/>
    <w:rsid w:val="00EB14CF"/>
    <w:rsid w:val="00EB1BCF"/>
    <w:rsid w:val="00EB1DC5"/>
    <w:rsid w:val="00EB229C"/>
    <w:rsid w:val="00EB237F"/>
    <w:rsid w:val="00EB2481"/>
    <w:rsid w:val="00EB25C6"/>
    <w:rsid w:val="00EB271B"/>
    <w:rsid w:val="00EB27A9"/>
    <w:rsid w:val="00EB2832"/>
    <w:rsid w:val="00EB29E1"/>
    <w:rsid w:val="00EB37D4"/>
    <w:rsid w:val="00EB3A9E"/>
    <w:rsid w:val="00EB3C37"/>
    <w:rsid w:val="00EB3EF5"/>
    <w:rsid w:val="00EB4134"/>
    <w:rsid w:val="00EB4430"/>
    <w:rsid w:val="00EB4508"/>
    <w:rsid w:val="00EB4734"/>
    <w:rsid w:val="00EB4ACF"/>
    <w:rsid w:val="00EB5300"/>
    <w:rsid w:val="00EB5312"/>
    <w:rsid w:val="00EB568B"/>
    <w:rsid w:val="00EB58C3"/>
    <w:rsid w:val="00EB614B"/>
    <w:rsid w:val="00EB614D"/>
    <w:rsid w:val="00EB617D"/>
    <w:rsid w:val="00EB625F"/>
    <w:rsid w:val="00EB6482"/>
    <w:rsid w:val="00EB6614"/>
    <w:rsid w:val="00EB676A"/>
    <w:rsid w:val="00EB6D92"/>
    <w:rsid w:val="00EB72DF"/>
    <w:rsid w:val="00EB7794"/>
    <w:rsid w:val="00EB7804"/>
    <w:rsid w:val="00EB7E0B"/>
    <w:rsid w:val="00EB7E6D"/>
    <w:rsid w:val="00EC015F"/>
    <w:rsid w:val="00EC0184"/>
    <w:rsid w:val="00EC0243"/>
    <w:rsid w:val="00EC0D5D"/>
    <w:rsid w:val="00EC0ECF"/>
    <w:rsid w:val="00EC1506"/>
    <w:rsid w:val="00EC16C8"/>
    <w:rsid w:val="00EC170B"/>
    <w:rsid w:val="00EC1C2C"/>
    <w:rsid w:val="00EC1CC5"/>
    <w:rsid w:val="00EC1E41"/>
    <w:rsid w:val="00EC1FEB"/>
    <w:rsid w:val="00EC2670"/>
    <w:rsid w:val="00EC2AC8"/>
    <w:rsid w:val="00EC2F83"/>
    <w:rsid w:val="00EC3092"/>
    <w:rsid w:val="00EC3215"/>
    <w:rsid w:val="00EC323A"/>
    <w:rsid w:val="00EC3438"/>
    <w:rsid w:val="00EC34F3"/>
    <w:rsid w:val="00EC380E"/>
    <w:rsid w:val="00EC43FB"/>
    <w:rsid w:val="00EC53A3"/>
    <w:rsid w:val="00EC604E"/>
    <w:rsid w:val="00EC640B"/>
    <w:rsid w:val="00EC6760"/>
    <w:rsid w:val="00EC686B"/>
    <w:rsid w:val="00EC699C"/>
    <w:rsid w:val="00EC6CB8"/>
    <w:rsid w:val="00EC6EDD"/>
    <w:rsid w:val="00EC706B"/>
    <w:rsid w:val="00EC712E"/>
    <w:rsid w:val="00EC7384"/>
    <w:rsid w:val="00EC7473"/>
    <w:rsid w:val="00EC754B"/>
    <w:rsid w:val="00EC7E20"/>
    <w:rsid w:val="00ED0702"/>
    <w:rsid w:val="00ED0998"/>
    <w:rsid w:val="00ED0A64"/>
    <w:rsid w:val="00ED0C89"/>
    <w:rsid w:val="00ED0E87"/>
    <w:rsid w:val="00ED1382"/>
    <w:rsid w:val="00ED1CD0"/>
    <w:rsid w:val="00ED1D38"/>
    <w:rsid w:val="00ED2504"/>
    <w:rsid w:val="00ED28D9"/>
    <w:rsid w:val="00ED294F"/>
    <w:rsid w:val="00ED2A18"/>
    <w:rsid w:val="00ED311E"/>
    <w:rsid w:val="00ED3561"/>
    <w:rsid w:val="00ED4277"/>
    <w:rsid w:val="00ED48B7"/>
    <w:rsid w:val="00ED5091"/>
    <w:rsid w:val="00ED51C6"/>
    <w:rsid w:val="00ED51E1"/>
    <w:rsid w:val="00ED550D"/>
    <w:rsid w:val="00ED5738"/>
    <w:rsid w:val="00ED5DDE"/>
    <w:rsid w:val="00ED62E3"/>
    <w:rsid w:val="00ED631F"/>
    <w:rsid w:val="00ED67FE"/>
    <w:rsid w:val="00ED6839"/>
    <w:rsid w:val="00ED6A84"/>
    <w:rsid w:val="00ED6BF7"/>
    <w:rsid w:val="00ED6ED3"/>
    <w:rsid w:val="00ED724E"/>
    <w:rsid w:val="00ED7299"/>
    <w:rsid w:val="00ED731D"/>
    <w:rsid w:val="00ED7733"/>
    <w:rsid w:val="00ED7D57"/>
    <w:rsid w:val="00EE0161"/>
    <w:rsid w:val="00EE0CD7"/>
    <w:rsid w:val="00EE0F62"/>
    <w:rsid w:val="00EE1028"/>
    <w:rsid w:val="00EE1AB2"/>
    <w:rsid w:val="00EE1B7F"/>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2DB"/>
    <w:rsid w:val="00EE43A2"/>
    <w:rsid w:val="00EE47B1"/>
    <w:rsid w:val="00EE4AD9"/>
    <w:rsid w:val="00EE4AFE"/>
    <w:rsid w:val="00EE4E92"/>
    <w:rsid w:val="00EE4F4E"/>
    <w:rsid w:val="00EE54A6"/>
    <w:rsid w:val="00EE5A5B"/>
    <w:rsid w:val="00EE5D9F"/>
    <w:rsid w:val="00EE5FB3"/>
    <w:rsid w:val="00EE613D"/>
    <w:rsid w:val="00EE61F7"/>
    <w:rsid w:val="00EE6240"/>
    <w:rsid w:val="00EE627F"/>
    <w:rsid w:val="00EE6754"/>
    <w:rsid w:val="00EE680D"/>
    <w:rsid w:val="00EE694F"/>
    <w:rsid w:val="00EE69A6"/>
    <w:rsid w:val="00EE7214"/>
    <w:rsid w:val="00EE7881"/>
    <w:rsid w:val="00EE78D6"/>
    <w:rsid w:val="00EE7967"/>
    <w:rsid w:val="00EE7D68"/>
    <w:rsid w:val="00EF013D"/>
    <w:rsid w:val="00EF0173"/>
    <w:rsid w:val="00EF082F"/>
    <w:rsid w:val="00EF0927"/>
    <w:rsid w:val="00EF0E51"/>
    <w:rsid w:val="00EF0E5D"/>
    <w:rsid w:val="00EF1608"/>
    <w:rsid w:val="00EF1A22"/>
    <w:rsid w:val="00EF1B0A"/>
    <w:rsid w:val="00EF1C38"/>
    <w:rsid w:val="00EF31D9"/>
    <w:rsid w:val="00EF3CC3"/>
    <w:rsid w:val="00EF3F84"/>
    <w:rsid w:val="00EF4219"/>
    <w:rsid w:val="00EF42EF"/>
    <w:rsid w:val="00EF47D9"/>
    <w:rsid w:val="00EF4A94"/>
    <w:rsid w:val="00EF4C13"/>
    <w:rsid w:val="00EF5109"/>
    <w:rsid w:val="00EF5176"/>
    <w:rsid w:val="00EF59FA"/>
    <w:rsid w:val="00EF5C03"/>
    <w:rsid w:val="00EF5E0D"/>
    <w:rsid w:val="00EF5EBC"/>
    <w:rsid w:val="00EF634B"/>
    <w:rsid w:val="00EF6605"/>
    <w:rsid w:val="00EF6C7F"/>
    <w:rsid w:val="00EF6EE0"/>
    <w:rsid w:val="00EF74BC"/>
    <w:rsid w:val="00EF75EA"/>
    <w:rsid w:val="00EF7BCF"/>
    <w:rsid w:val="00EF7D2C"/>
    <w:rsid w:val="00EF7E31"/>
    <w:rsid w:val="00F0009E"/>
    <w:rsid w:val="00F00771"/>
    <w:rsid w:val="00F00FB3"/>
    <w:rsid w:val="00F010F1"/>
    <w:rsid w:val="00F01340"/>
    <w:rsid w:val="00F019E5"/>
    <w:rsid w:val="00F01A09"/>
    <w:rsid w:val="00F01A4E"/>
    <w:rsid w:val="00F02504"/>
    <w:rsid w:val="00F02872"/>
    <w:rsid w:val="00F02D82"/>
    <w:rsid w:val="00F03044"/>
    <w:rsid w:val="00F0308A"/>
    <w:rsid w:val="00F03393"/>
    <w:rsid w:val="00F03A4A"/>
    <w:rsid w:val="00F03CA2"/>
    <w:rsid w:val="00F03FDA"/>
    <w:rsid w:val="00F04410"/>
    <w:rsid w:val="00F04512"/>
    <w:rsid w:val="00F04AC3"/>
    <w:rsid w:val="00F04BDE"/>
    <w:rsid w:val="00F04EC6"/>
    <w:rsid w:val="00F04F80"/>
    <w:rsid w:val="00F05B4C"/>
    <w:rsid w:val="00F05D30"/>
    <w:rsid w:val="00F06141"/>
    <w:rsid w:val="00F06266"/>
    <w:rsid w:val="00F0672B"/>
    <w:rsid w:val="00F06E5D"/>
    <w:rsid w:val="00F074E2"/>
    <w:rsid w:val="00F0768C"/>
    <w:rsid w:val="00F07AFB"/>
    <w:rsid w:val="00F102B2"/>
    <w:rsid w:val="00F10896"/>
    <w:rsid w:val="00F109F5"/>
    <w:rsid w:val="00F10AC3"/>
    <w:rsid w:val="00F10DE0"/>
    <w:rsid w:val="00F10E28"/>
    <w:rsid w:val="00F10F3F"/>
    <w:rsid w:val="00F114AC"/>
    <w:rsid w:val="00F11EEA"/>
    <w:rsid w:val="00F1254A"/>
    <w:rsid w:val="00F1281F"/>
    <w:rsid w:val="00F1292A"/>
    <w:rsid w:val="00F12D5D"/>
    <w:rsid w:val="00F12F4E"/>
    <w:rsid w:val="00F13426"/>
    <w:rsid w:val="00F13545"/>
    <w:rsid w:val="00F13F6D"/>
    <w:rsid w:val="00F14169"/>
    <w:rsid w:val="00F14597"/>
    <w:rsid w:val="00F14F2A"/>
    <w:rsid w:val="00F15167"/>
    <w:rsid w:val="00F1567C"/>
    <w:rsid w:val="00F158C0"/>
    <w:rsid w:val="00F158F2"/>
    <w:rsid w:val="00F15E4E"/>
    <w:rsid w:val="00F161FA"/>
    <w:rsid w:val="00F16255"/>
    <w:rsid w:val="00F16545"/>
    <w:rsid w:val="00F1654F"/>
    <w:rsid w:val="00F167BF"/>
    <w:rsid w:val="00F16C8E"/>
    <w:rsid w:val="00F16EF9"/>
    <w:rsid w:val="00F16F07"/>
    <w:rsid w:val="00F1719A"/>
    <w:rsid w:val="00F179C7"/>
    <w:rsid w:val="00F17DAA"/>
    <w:rsid w:val="00F17F1E"/>
    <w:rsid w:val="00F2038B"/>
    <w:rsid w:val="00F209A7"/>
    <w:rsid w:val="00F209AB"/>
    <w:rsid w:val="00F20DB6"/>
    <w:rsid w:val="00F20F65"/>
    <w:rsid w:val="00F20FC5"/>
    <w:rsid w:val="00F21343"/>
    <w:rsid w:val="00F21498"/>
    <w:rsid w:val="00F2172B"/>
    <w:rsid w:val="00F21CF9"/>
    <w:rsid w:val="00F21DD0"/>
    <w:rsid w:val="00F22393"/>
    <w:rsid w:val="00F223EE"/>
    <w:rsid w:val="00F22AF2"/>
    <w:rsid w:val="00F22D51"/>
    <w:rsid w:val="00F2306B"/>
    <w:rsid w:val="00F2338B"/>
    <w:rsid w:val="00F23600"/>
    <w:rsid w:val="00F2362D"/>
    <w:rsid w:val="00F23A95"/>
    <w:rsid w:val="00F23ACF"/>
    <w:rsid w:val="00F23D3F"/>
    <w:rsid w:val="00F23EB0"/>
    <w:rsid w:val="00F24808"/>
    <w:rsid w:val="00F24C8A"/>
    <w:rsid w:val="00F24EAE"/>
    <w:rsid w:val="00F2515E"/>
    <w:rsid w:val="00F2543C"/>
    <w:rsid w:val="00F25B8B"/>
    <w:rsid w:val="00F25EA9"/>
    <w:rsid w:val="00F2627D"/>
    <w:rsid w:val="00F269B1"/>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7E"/>
    <w:rsid w:val="00F318F0"/>
    <w:rsid w:val="00F31976"/>
    <w:rsid w:val="00F31ACE"/>
    <w:rsid w:val="00F31B62"/>
    <w:rsid w:val="00F31DFE"/>
    <w:rsid w:val="00F31FA6"/>
    <w:rsid w:val="00F32669"/>
    <w:rsid w:val="00F32BE4"/>
    <w:rsid w:val="00F32C7E"/>
    <w:rsid w:val="00F32E03"/>
    <w:rsid w:val="00F32FAD"/>
    <w:rsid w:val="00F331EE"/>
    <w:rsid w:val="00F33698"/>
    <w:rsid w:val="00F33794"/>
    <w:rsid w:val="00F339D9"/>
    <w:rsid w:val="00F33B83"/>
    <w:rsid w:val="00F33CCB"/>
    <w:rsid w:val="00F33CFD"/>
    <w:rsid w:val="00F33F31"/>
    <w:rsid w:val="00F33FD6"/>
    <w:rsid w:val="00F3400E"/>
    <w:rsid w:val="00F348D0"/>
    <w:rsid w:val="00F349C9"/>
    <w:rsid w:val="00F34EFF"/>
    <w:rsid w:val="00F355F4"/>
    <w:rsid w:val="00F35C61"/>
    <w:rsid w:val="00F35DCC"/>
    <w:rsid w:val="00F362DF"/>
    <w:rsid w:val="00F36A74"/>
    <w:rsid w:val="00F36BC0"/>
    <w:rsid w:val="00F36D00"/>
    <w:rsid w:val="00F37053"/>
    <w:rsid w:val="00F372E2"/>
    <w:rsid w:val="00F3776E"/>
    <w:rsid w:val="00F37782"/>
    <w:rsid w:val="00F3790E"/>
    <w:rsid w:val="00F37947"/>
    <w:rsid w:val="00F37A3D"/>
    <w:rsid w:val="00F37F6D"/>
    <w:rsid w:val="00F40026"/>
    <w:rsid w:val="00F4012B"/>
    <w:rsid w:val="00F4055C"/>
    <w:rsid w:val="00F40754"/>
    <w:rsid w:val="00F40A86"/>
    <w:rsid w:val="00F40C40"/>
    <w:rsid w:val="00F40D46"/>
    <w:rsid w:val="00F40ED6"/>
    <w:rsid w:val="00F40F90"/>
    <w:rsid w:val="00F40FF8"/>
    <w:rsid w:val="00F41006"/>
    <w:rsid w:val="00F4114A"/>
    <w:rsid w:val="00F411CD"/>
    <w:rsid w:val="00F411D0"/>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B5F"/>
    <w:rsid w:val="00F42E4B"/>
    <w:rsid w:val="00F42FB7"/>
    <w:rsid w:val="00F432EA"/>
    <w:rsid w:val="00F43634"/>
    <w:rsid w:val="00F439EF"/>
    <w:rsid w:val="00F44151"/>
    <w:rsid w:val="00F443CA"/>
    <w:rsid w:val="00F445BF"/>
    <w:rsid w:val="00F4478C"/>
    <w:rsid w:val="00F447C8"/>
    <w:rsid w:val="00F4488B"/>
    <w:rsid w:val="00F44D08"/>
    <w:rsid w:val="00F44E6B"/>
    <w:rsid w:val="00F453ED"/>
    <w:rsid w:val="00F456FD"/>
    <w:rsid w:val="00F45807"/>
    <w:rsid w:val="00F45903"/>
    <w:rsid w:val="00F45AB4"/>
    <w:rsid w:val="00F45ABF"/>
    <w:rsid w:val="00F45B05"/>
    <w:rsid w:val="00F45FAA"/>
    <w:rsid w:val="00F4631D"/>
    <w:rsid w:val="00F46332"/>
    <w:rsid w:val="00F463EE"/>
    <w:rsid w:val="00F47072"/>
    <w:rsid w:val="00F4732E"/>
    <w:rsid w:val="00F477B9"/>
    <w:rsid w:val="00F47A74"/>
    <w:rsid w:val="00F47CDD"/>
    <w:rsid w:val="00F47DE5"/>
    <w:rsid w:val="00F50283"/>
    <w:rsid w:val="00F50318"/>
    <w:rsid w:val="00F50637"/>
    <w:rsid w:val="00F506B3"/>
    <w:rsid w:val="00F50738"/>
    <w:rsid w:val="00F50924"/>
    <w:rsid w:val="00F509C3"/>
    <w:rsid w:val="00F50B4A"/>
    <w:rsid w:val="00F50E1A"/>
    <w:rsid w:val="00F51486"/>
    <w:rsid w:val="00F51531"/>
    <w:rsid w:val="00F51632"/>
    <w:rsid w:val="00F521FD"/>
    <w:rsid w:val="00F52216"/>
    <w:rsid w:val="00F52558"/>
    <w:rsid w:val="00F52691"/>
    <w:rsid w:val="00F52E30"/>
    <w:rsid w:val="00F52E92"/>
    <w:rsid w:val="00F53135"/>
    <w:rsid w:val="00F5323D"/>
    <w:rsid w:val="00F535CC"/>
    <w:rsid w:val="00F53680"/>
    <w:rsid w:val="00F538B1"/>
    <w:rsid w:val="00F53EBA"/>
    <w:rsid w:val="00F53F2D"/>
    <w:rsid w:val="00F540E8"/>
    <w:rsid w:val="00F54156"/>
    <w:rsid w:val="00F542C1"/>
    <w:rsid w:val="00F54302"/>
    <w:rsid w:val="00F5473B"/>
    <w:rsid w:val="00F54D6D"/>
    <w:rsid w:val="00F555F0"/>
    <w:rsid w:val="00F5565E"/>
    <w:rsid w:val="00F556FA"/>
    <w:rsid w:val="00F5580B"/>
    <w:rsid w:val="00F55A5B"/>
    <w:rsid w:val="00F55DDC"/>
    <w:rsid w:val="00F56279"/>
    <w:rsid w:val="00F56336"/>
    <w:rsid w:val="00F563D6"/>
    <w:rsid w:val="00F566E0"/>
    <w:rsid w:val="00F5677D"/>
    <w:rsid w:val="00F56B85"/>
    <w:rsid w:val="00F56E0B"/>
    <w:rsid w:val="00F57717"/>
    <w:rsid w:val="00F6010F"/>
    <w:rsid w:val="00F601F1"/>
    <w:rsid w:val="00F60788"/>
    <w:rsid w:val="00F607BE"/>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3991"/>
    <w:rsid w:val="00F6497B"/>
    <w:rsid w:val="00F64A4E"/>
    <w:rsid w:val="00F64B34"/>
    <w:rsid w:val="00F64C09"/>
    <w:rsid w:val="00F6507E"/>
    <w:rsid w:val="00F650A5"/>
    <w:rsid w:val="00F651EC"/>
    <w:rsid w:val="00F65604"/>
    <w:rsid w:val="00F656DB"/>
    <w:rsid w:val="00F6576B"/>
    <w:rsid w:val="00F658CC"/>
    <w:rsid w:val="00F65B4F"/>
    <w:rsid w:val="00F6615B"/>
    <w:rsid w:val="00F6636F"/>
    <w:rsid w:val="00F668B7"/>
    <w:rsid w:val="00F66CB0"/>
    <w:rsid w:val="00F67775"/>
    <w:rsid w:val="00F679F2"/>
    <w:rsid w:val="00F67B0E"/>
    <w:rsid w:val="00F67E49"/>
    <w:rsid w:val="00F701CA"/>
    <w:rsid w:val="00F7088E"/>
    <w:rsid w:val="00F70C64"/>
    <w:rsid w:val="00F71B60"/>
    <w:rsid w:val="00F722A3"/>
    <w:rsid w:val="00F72EAA"/>
    <w:rsid w:val="00F7301E"/>
    <w:rsid w:val="00F7367E"/>
    <w:rsid w:val="00F73881"/>
    <w:rsid w:val="00F73992"/>
    <w:rsid w:val="00F73F12"/>
    <w:rsid w:val="00F741A7"/>
    <w:rsid w:val="00F742F8"/>
    <w:rsid w:val="00F74486"/>
    <w:rsid w:val="00F748EA"/>
    <w:rsid w:val="00F74F7D"/>
    <w:rsid w:val="00F75065"/>
    <w:rsid w:val="00F75095"/>
    <w:rsid w:val="00F750B6"/>
    <w:rsid w:val="00F75737"/>
    <w:rsid w:val="00F757AF"/>
    <w:rsid w:val="00F75ADC"/>
    <w:rsid w:val="00F76408"/>
    <w:rsid w:val="00F764D3"/>
    <w:rsid w:val="00F7698E"/>
    <w:rsid w:val="00F76BE7"/>
    <w:rsid w:val="00F770A3"/>
    <w:rsid w:val="00F7716E"/>
    <w:rsid w:val="00F7741E"/>
    <w:rsid w:val="00F77932"/>
    <w:rsid w:val="00F77ED9"/>
    <w:rsid w:val="00F801DB"/>
    <w:rsid w:val="00F806A0"/>
    <w:rsid w:val="00F80AEA"/>
    <w:rsid w:val="00F811C3"/>
    <w:rsid w:val="00F811DB"/>
    <w:rsid w:val="00F81D31"/>
    <w:rsid w:val="00F826A6"/>
    <w:rsid w:val="00F82763"/>
    <w:rsid w:val="00F82F24"/>
    <w:rsid w:val="00F8314A"/>
    <w:rsid w:val="00F8340C"/>
    <w:rsid w:val="00F8364D"/>
    <w:rsid w:val="00F83E96"/>
    <w:rsid w:val="00F8406A"/>
    <w:rsid w:val="00F84103"/>
    <w:rsid w:val="00F843A1"/>
    <w:rsid w:val="00F845C6"/>
    <w:rsid w:val="00F84A0B"/>
    <w:rsid w:val="00F84E22"/>
    <w:rsid w:val="00F84FCB"/>
    <w:rsid w:val="00F850D2"/>
    <w:rsid w:val="00F8563D"/>
    <w:rsid w:val="00F859B0"/>
    <w:rsid w:val="00F85F25"/>
    <w:rsid w:val="00F865E8"/>
    <w:rsid w:val="00F86DCE"/>
    <w:rsid w:val="00F87CFF"/>
    <w:rsid w:val="00F90174"/>
    <w:rsid w:val="00F903BE"/>
    <w:rsid w:val="00F907A8"/>
    <w:rsid w:val="00F907E5"/>
    <w:rsid w:val="00F90807"/>
    <w:rsid w:val="00F9080F"/>
    <w:rsid w:val="00F90A06"/>
    <w:rsid w:val="00F90CF2"/>
    <w:rsid w:val="00F910D2"/>
    <w:rsid w:val="00F9188F"/>
    <w:rsid w:val="00F91E1D"/>
    <w:rsid w:val="00F91F0C"/>
    <w:rsid w:val="00F91FE3"/>
    <w:rsid w:val="00F92250"/>
    <w:rsid w:val="00F928A8"/>
    <w:rsid w:val="00F92ADD"/>
    <w:rsid w:val="00F92C05"/>
    <w:rsid w:val="00F92C7C"/>
    <w:rsid w:val="00F92D63"/>
    <w:rsid w:val="00F93010"/>
    <w:rsid w:val="00F934FD"/>
    <w:rsid w:val="00F93859"/>
    <w:rsid w:val="00F938E9"/>
    <w:rsid w:val="00F93CDA"/>
    <w:rsid w:val="00F93ED7"/>
    <w:rsid w:val="00F93FC9"/>
    <w:rsid w:val="00F94190"/>
    <w:rsid w:val="00F941F2"/>
    <w:rsid w:val="00F94534"/>
    <w:rsid w:val="00F946EC"/>
    <w:rsid w:val="00F94744"/>
    <w:rsid w:val="00F94CE4"/>
    <w:rsid w:val="00F94DD3"/>
    <w:rsid w:val="00F951A9"/>
    <w:rsid w:val="00F952E3"/>
    <w:rsid w:val="00F9554F"/>
    <w:rsid w:val="00F95650"/>
    <w:rsid w:val="00F95E69"/>
    <w:rsid w:val="00F9680E"/>
    <w:rsid w:val="00F96D0D"/>
    <w:rsid w:val="00F96ECE"/>
    <w:rsid w:val="00F972E0"/>
    <w:rsid w:val="00F97375"/>
    <w:rsid w:val="00F9746C"/>
    <w:rsid w:val="00F9757F"/>
    <w:rsid w:val="00F979C4"/>
    <w:rsid w:val="00F97A70"/>
    <w:rsid w:val="00FA028E"/>
    <w:rsid w:val="00FA03D5"/>
    <w:rsid w:val="00FA08D9"/>
    <w:rsid w:val="00FA0BBC"/>
    <w:rsid w:val="00FA0D03"/>
    <w:rsid w:val="00FA0D14"/>
    <w:rsid w:val="00FA0EAB"/>
    <w:rsid w:val="00FA1250"/>
    <w:rsid w:val="00FA166F"/>
    <w:rsid w:val="00FA16ED"/>
    <w:rsid w:val="00FA1898"/>
    <w:rsid w:val="00FA19C2"/>
    <w:rsid w:val="00FA1FDE"/>
    <w:rsid w:val="00FA246F"/>
    <w:rsid w:val="00FA2647"/>
    <w:rsid w:val="00FA26D3"/>
    <w:rsid w:val="00FA2779"/>
    <w:rsid w:val="00FA2866"/>
    <w:rsid w:val="00FA2B05"/>
    <w:rsid w:val="00FA2EEB"/>
    <w:rsid w:val="00FA3BCB"/>
    <w:rsid w:val="00FA3DAE"/>
    <w:rsid w:val="00FA4124"/>
    <w:rsid w:val="00FA45D6"/>
    <w:rsid w:val="00FA4CBF"/>
    <w:rsid w:val="00FA4D9A"/>
    <w:rsid w:val="00FA5B63"/>
    <w:rsid w:val="00FA5C13"/>
    <w:rsid w:val="00FA6518"/>
    <w:rsid w:val="00FA699D"/>
    <w:rsid w:val="00FA6F36"/>
    <w:rsid w:val="00FA6F68"/>
    <w:rsid w:val="00FA718D"/>
    <w:rsid w:val="00FA71CF"/>
    <w:rsid w:val="00FA74A5"/>
    <w:rsid w:val="00FB0137"/>
    <w:rsid w:val="00FB0466"/>
    <w:rsid w:val="00FB064C"/>
    <w:rsid w:val="00FB0999"/>
    <w:rsid w:val="00FB0A50"/>
    <w:rsid w:val="00FB0DF1"/>
    <w:rsid w:val="00FB11D0"/>
    <w:rsid w:val="00FB1B43"/>
    <w:rsid w:val="00FB1E97"/>
    <w:rsid w:val="00FB20E8"/>
    <w:rsid w:val="00FB278F"/>
    <w:rsid w:val="00FB2DAB"/>
    <w:rsid w:val="00FB2FE4"/>
    <w:rsid w:val="00FB3860"/>
    <w:rsid w:val="00FB4124"/>
    <w:rsid w:val="00FB41EA"/>
    <w:rsid w:val="00FB4505"/>
    <w:rsid w:val="00FB458E"/>
    <w:rsid w:val="00FB4E26"/>
    <w:rsid w:val="00FB4F3E"/>
    <w:rsid w:val="00FB4F97"/>
    <w:rsid w:val="00FB5520"/>
    <w:rsid w:val="00FB581D"/>
    <w:rsid w:val="00FB5FA6"/>
    <w:rsid w:val="00FB6278"/>
    <w:rsid w:val="00FB6583"/>
    <w:rsid w:val="00FB6606"/>
    <w:rsid w:val="00FB691E"/>
    <w:rsid w:val="00FB6C43"/>
    <w:rsid w:val="00FB7293"/>
    <w:rsid w:val="00FB7491"/>
    <w:rsid w:val="00FB74EE"/>
    <w:rsid w:val="00FB7AE4"/>
    <w:rsid w:val="00FC0372"/>
    <w:rsid w:val="00FC0422"/>
    <w:rsid w:val="00FC0855"/>
    <w:rsid w:val="00FC0F41"/>
    <w:rsid w:val="00FC104E"/>
    <w:rsid w:val="00FC10AB"/>
    <w:rsid w:val="00FC1204"/>
    <w:rsid w:val="00FC1857"/>
    <w:rsid w:val="00FC1C68"/>
    <w:rsid w:val="00FC1EC4"/>
    <w:rsid w:val="00FC1ECF"/>
    <w:rsid w:val="00FC2237"/>
    <w:rsid w:val="00FC2360"/>
    <w:rsid w:val="00FC2511"/>
    <w:rsid w:val="00FC292E"/>
    <w:rsid w:val="00FC2C44"/>
    <w:rsid w:val="00FC2CAA"/>
    <w:rsid w:val="00FC2D3D"/>
    <w:rsid w:val="00FC2F33"/>
    <w:rsid w:val="00FC337D"/>
    <w:rsid w:val="00FC3717"/>
    <w:rsid w:val="00FC39AA"/>
    <w:rsid w:val="00FC3ECC"/>
    <w:rsid w:val="00FC416F"/>
    <w:rsid w:val="00FC41B5"/>
    <w:rsid w:val="00FC4480"/>
    <w:rsid w:val="00FC45BD"/>
    <w:rsid w:val="00FC48E4"/>
    <w:rsid w:val="00FC51D0"/>
    <w:rsid w:val="00FC521F"/>
    <w:rsid w:val="00FC5490"/>
    <w:rsid w:val="00FC5C5A"/>
    <w:rsid w:val="00FC5F48"/>
    <w:rsid w:val="00FC61FB"/>
    <w:rsid w:val="00FC6ED0"/>
    <w:rsid w:val="00FC6FC5"/>
    <w:rsid w:val="00FC70F5"/>
    <w:rsid w:val="00FC770B"/>
    <w:rsid w:val="00FC7830"/>
    <w:rsid w:val="00FC794E"/>
    <w:rsid w:val="00FD0197"/>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2A04"/>
    <w:rsid w:val="00FD2D89"/>
    <w:rsid w:val="00FD336B"/>
    <w:rsid w:val="00FD3DE8"/>
    <w:rsid w:val="00FD4095"/>
    <w:rsid w:val="00FD43E0"/>
    <w:rsid w:val="00FD4447"/>
    <w:rsid w:val="00FD468D"/>
    <w:rsid w:val="00FD48E7"/>
    <w:rsid w:val="00FD4BE0"/>
    <w:rsid w:val="00FD4BFA"/>
    <w:rsid w:val="00FD4DC7"/>
    <w:rsid w:val="00FD4EC5"/>
    <w:rsid w:val="00FD5303"/>
    <w:rsid w:val="00FD56D9"/>
    <w:rsid w:val="00FD59A1"/>
    <w:rsid w:val="00FD5A2D"/>
    <w:rsid w:val="00FD628F"/>
    <w:rsid w:val="00FD64E1"/>
    <w:rsid w:val="00FD66FF"/>
    <w:rsid w:val="00FD6A9B"/>
    <w:rsid w:val="00FD70C3"/>
    <w:rsid w:val="00FD7353"/>
    <w:rsid w:val="00FD750E"/>
    <w:rsid w:val="00FD754E"/>
    <w:rsid w:val="00FD7BED"/>
    <w:rsid w:val="00FE04DA"/>
    <w:rsid w:val="00FE0772"/>
    <w:rsid w:val="00FE07BB"/>
    <w:rsid w:val="00FE0921"/>
    <w:rsid w:val="00FE0A69"/>
    <w:rsid w:val="00FE10CA"/>
    <w:rsid w:val="00FE146F"/>
    <w:rsid w:val="00FE1BD8"/>
    <w:rsid w:val="00FE21CE"/>
    <w:rsid w:val="00FE265B"/>
    <w:rsid w:val="00FE2660"/>
    <w:rsid w:val="00FE2D84"/>
    <w:rsid w:val="00FE2E29"/>
    <w:rsid w:val="00FE378A"/>
    <w:rsid w:val="00FE3921"/>
    <w:rsid w:val="00FE3954"/>
    <w:rsid w:val="00FE3A51"/>
    <w:rsid w:val="00FE3BBA"/>
    <w:rsid w:val="00FE3C08"/>
    <w:rsid w:val="00FE3E6A"/>
    <w:rsid w:val="00FE4165"/>
    <w:rsid w:val="00FE4299"/>
    <w:rsid w:val="00FE4378"/>
    <w:rsid w:val="00FE4EBA"/>
    <w:rsid w:val="00FE4F49"/>
    <w:rsid w:val="00FE4FB6"/>
    <w:rsid w:val="00FE5068"/>
    <w:rsid w:val="00FE57F9"/>
    <w:rsid w:val="00FE60C9"/>
    <w:rsid w:val="00FE61E0"/>
    <w:rsid w:val="00FE66B3"/>
    <w:rsid w:val="00FE66C6"/>
    <w:rsid w:val="00FE6A9C"/>
    <w:rsid w:val="00FE7079"/>
    <w:rsid w:val="00FE723F"/>
    <w:rsid w:val="00FE7374"/>
    <w:rsid w:val="00FE75DA"/>
    <w:rsid w:val="00FE784B"/>
    <w:rsid w:val="00FE7892"/>
    <w:rsid w:val="00FE795F"/>
    <w:rsid w:val="00FE7A65"/>
    <w:rsid w:val="00FF0245"/>
    <w:rsid w:val="00FF046F"/>
    <w:rsid w:val="00FF0899"/>
    <w:rsid w:val="00FF1280"/>
    <w:rsid w:val="00FF1A6D"/>
    <w:rsid w:val="00FF20B9"/>
    <w:rsid w:val="00FF20CA"/>
    <w:rsid w:val="00FF28D6"/>
    <w:rsid w:val="00FF2996"/>
    <w:rsid w:val="00FF36AF"/>
    <w:rsid w:val="00FF373B"/>
    <w:rsid w:val="00FF3898"/>
    <w:rsid w:val="00FF3A16"/>
    <w:rsid w:val="00FF3E53"/>
    <w:rsid w:val="00FF407A"/>
    <w:rsid w:val="00FF40EA"/>
    <w:rsid w:val="00FF4915"/>
    <w:rsid w:val="00FF4A42"/>
    <w:rsid w:val="00FF4E65"/>
    <w:rsid w:val="00FF4F05"/>
    <w:rsid w:val="00FF4F74"/>
    <w:rsid w:val="00FF5257"/>
    <w:rsid w:val="00FF568F"/>
    <w:rsid w:val="00FF5B46"/>
    <w:rsid w:val="00FF5D58"/>
    <w:rsid w:val="00FF68B1"/>
    <w:rsid w:val="00FF6B01"/>
    <w:rsid w:val="00FF6C35"/>
    <w:rsid w:val="00FF6D0E"/>
    <w:rsid w:val="00FF6D2F"/>
    <w:rsid w:val="00FF6D58"/>
    <w:rsid w:val="00FF6ED4"/>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8411DE5"/>
  <w15:docId w15:val="{A507093E-EBB6-46F7-A7D1-4C3E034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F6C"/>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basedOn w:val="Normal"/>
    <w:uiPriority w:val="99"/>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2"/>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3"/>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 w:type="paragraph" w:styleId="Bibliography">
    <w:name w:val="Bibliography"/>
    <w:basedOn w:val="Normal"/>
    <w:next w:val="Normal"/>
    <w:uiPriority w:val="37"/>
    <w:semiHidden/>
    <w:unhideWhenUsed/>
    <w:rsid w:val="00F859B0"/>
  </w:style>
  <w:style w:type="paragraph" w:styleId="BlockText">
    <w:name w:val="Block Text"/>
    <w:basedOn w:val="Normal"/>
    <w:uiPriority w:val="99"/>
    <w:semiHidden/>
    <w:unhideWhenUsed/>
    <w:locked/>
    <w:rsid w:val="00F859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F859B0"/>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F859B0"/>
    <w:rPr>
      <w:rFonts w:ascii="ZapfCalligr BT" w:hAnsi="ZapfCalligr BT" w:cs="ZapfCalligr BT"/>
      <w:sz w:val="20"/>
      <w:szCs w:val="20"/>
    </w:rPr>
  </w:style>
  <w:style w:type="paragraph" w:styleId="BodyTextFirstIndent2">
    <w:name w:val="Body Text First Indent 2"/>
    <w:basedOn w:val="BodyTextIndent"/>
    <w:link w:val="BodyTextFirstIndent2Char"/>
    <w:uiPriority w:val="99"/>
    <w:semiHidden/>
    <w:unhideWhenUsed/>
    <w:locked/>
    <w:rsid w:val="00F859B0"/>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F859B0"/>
    <w:rPr>
      <w:rFonts w:ascii="ZapfCalligr BT" w:hAnsi="ZapfCalligr BT" w:cs="ZapfCalligr BT"/>
      <w:sz w:val="20"/>
      <w:szCs w:val="20"/>
    </w:rPr>
  </w:style>
  <w:style w:type="paragraph" w:styleId="Caption">
    <w:name w:val="caption"/>
    <w:basedOn w:val="Normal"/>
    <w:next w:val="Normal"/>
    <w:uiPriority w:val="35"/>
    <w:semiHidden/>
    <w:unhideWhenUsed/>
    <w:qFormat/>
    <w:locked/>
    <w:rsid w:val="00F859B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F859B0"/>
    <w:pPr>
      <w:ind w:left="4252"/>
    </w:pPr>
  </w:style>
  <w:style w:type="character" w:customStyle="1" w:styleId="ClosingChar">
    <w:name w:val="Closing Char"/>
    <w:basedOn w:val="DefaultParagraphFont"/>
    <w:link w:val="Closing"/>
    <w:uiPriority w:val="99"/>
    <w:semiHidden/>
    <w:rsid w:val="00F859B0"/>
    <w:rPr>
      <w:rFonts w:ascii="ZapfCalligr BT" w:hAnsi="ZapfCalligr BT" w:cs="ZapfCalligr BT"/>
    </w:rPr>
  </w:style>
  <w:style w:type="paragraph" w:styleId="Date">
    <w:name w:val="Date"/>
    <w:basedOn w:val="Normal"/>
    <w:next w:val="Normal"/>
    <w:link w:val="DateChar"/>
    <w:uiPriority w:val="99"/>
    <w:semiHidden/>
    <w:unhideWhenUsed/>
    <w:locked/>
    <w:rsid w:val="00F859B0"/>
  </w:style>
  <w:style w:type="character" w:customStyle="1" w:styleId="DateChar">
    <w:name w:val="Date Char"/>
    <w:basedOn w:val="DefaultParagraphFont"/>
    <w:link w:val="Date"/>
    <w:uiPriority w:val="99"/>
    <w:semiHidden/>
    <w:rsid w:val="00F859B0"/>
    <w:rPr>
      <w:rFonts w:ascii="ZapfCalligr BT" w:hAnsi="ZapfCalligr BT" w:cs="ZapfCalligr BT"/>
    </w:rPr>
  </w:style>
  <w:style w:type="paragraph" w:styleId="DocumentMap">
    <w:name w:val="Document Map"/>
    <w:basedOn w:val="Normal"/>
    <w:link w:val="DocumentMapChar"/>
    <w:uiPriority w:val="99"/>
    <w:semiHidden/>
    <w:unhideWhenUsed/>
    <w:locked/>
    <w:rsid w:val="00F859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59B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F859B0"/>
  </w:style>
  <w:style w:type="character" w:customStyle="1" w:styleId="E-mailSignatureChar">
    <w:name w:val="E-mail Signature Char"/>
    <w:basedOn w:val="DefaultParagraphFont"/>
    <w:link w:val="E-mailSignature"/>
    <w:uiPriority w:val="99"/>
    <w:semiHidden/>
    <w:rsid w:val="00F859B0"/>
    <w:rPr>
      <w:rFonts w:ascii="ZapfCalligr BT" w:hAnsi="ZapfCalligr BT" w:cs="ZapfCalligr BT"/>
    </w:rPr>
  </w:style>
  <w:style w:type="paragraph" w:styleId="EndnoteText">
    <w:name w:val="endnote text"/>
    <w:basedOn w:val="Normal"/>
    <w:link w:val="EndnoteTextChar"/>
    <w:uiPriority w:val="99"/>
    <w:semiHidden/>
    <w:unhideWhenUsed/>
    <w:locked/>
    <w:rsid w:val="00F859B0"/>
    <w:rPr>
      <w:sz w:val="20"/>
      <w:szCs w:val="20"/>
    </w:rPr>
  </w:style>
  <w:style w:type="character" w:customStyle="1" w:styleId="EndnoteTextChar">
    <w:name w:val="Endnote Text Char"/>
    <w:basedOn w:val="DefaultParagraphFont"/>
    <w:link w:val="EndnoteText"/>
    <w:uiPriority w:val="99"/>
    <w:semiHidden/>
    <w:rsid w:val="00F859B0"/>
    <w:rPr>
      <w:rFonts w:ascii="ZapfCalligr BT" w:hAnsi="ZapfCalligr BT" w:cs="ZapfCalligr BT"/>
      <w:sz w:val="20"/>
      <w:szCs w:val="20"/>
    </w:rPr>
  </w:style>
  <w:style w:type="paragraph" w:styleId="EnvelopeAddress">
    <w:name w:val="envelope address"/>
    <w:basedOn w:val="Normal"/>
    <w:uiPriority w:val="99"/>
    <w:semiHidden/>
    <w:unhideWhenUsed/>
    <w:locked/>
    <w:rsid w:val="00F859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59B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F859B0"/>
    <w:rPr>
      <w:sz w:val="20"/>
      <w:szCs w:val="20"/>
    </w:rPr>
  </w:style>
  <w:style w:type="character" w:customStyle="1" w:styleId="FootnoteTextChar">
    <w:name w:val="Footnote Text Char"/>
    <w:basedOn w:val="DefaultParagraphFont"/>
    <w:link w:val="FootnoteText"/>
    <w:uiPriority w:val="99"/>
    <w:semiHidden/>
    <w:rsid w:val="00F859B0"/>
    <w:rPr>
      <w:rFonts w:ascii="ZapfCalligr BT" w:hAnsi="ZapfCalligr BT" w:cs="ZapfCalligr BT"/>
      <w:sz w:val="20"/>
      <w:szCs w:val="20"/>
    </w:rPr>
  </w:style>
  <w:style w:type="paragraph" w:styleId="HTMLAddress">
    <w:name w:val="HTML Address"/>
    <w:basedOn w:val="Normal"/>
    <w:link w:val="HTMLAddressChar"/>
    <w:uiPriority w:val="99"/>
    <w:semiHidden/>
    <w:unhideWhenUsed/>
    <w:locked/>
    <w:rsid w:val="00F859B0"/>
    <w:rPr>
      <w:i/>
      <w:iCs/>
    </w:rPr>
  </w:style>
  <w:style w:type="character" w:customStyle="1" w:styleId="HTMLAddressChar">
    <w:name w:val="HTML Address Char"/>
    <w:basedOn w:val="DefaultParagraphFont"/>
    <w:link w:val="HTMLAddress"/>
    <w:uiPriority w:val="99"/>
    <w:semiHidden/>
    <w:rsid w:val="00F859B0"/>
    <w:rPr>
      <w:rFonts w:ascii="ZapfCalligr BT" w:hAnsi="ZapfCalligr BT" w:cs="ZapfCalligr BT"/>
      <w:i/>
      <w:iCs/>
    </w:rPr>
  </w:style>
  <w:style w:type="paragraph" w:styleId="HTMLPreformatted">
    <w:name w:val="HTML Preformatted"/>
    <w:basedOn w:val="Normal"/>
    <w:link w:val="HTMLPreformattedChar"/>
    <w:uiPriority w:val="99"/>
    <w:semiHidden/>
    <w:unhideWhenUsed/>
    <w:locked/>
    <w:rsid w:val="00F859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59B0"/>
    <w:rPr>
      <w:rFonts w:ascii="Consolas" w:hAnsi="Consolas" w:cs="Consolas"/>
      <w:sz w:val="20"/>
      <w:szCs w:val="20"/>
    </w:rPr>
  </w:style>
  <w:style w:type="paragraph" w:styleId="Index1">
    <w:name w:val="index 1"/>
    <w:basedOn w:val="Normal"/>
    <w:next w:val="Normal"/>
    <w:autoRedefine/>
    <w:uiPriority w:val="99"/>
    <w:semiHidden/>
    <w:unhideWhenUsed/>
    <w:locked/>
    <w:rsid w:val="00F859B0"/>
    <w:pPr>
      <w:ind w:left="220" w:hanging="220"/>
    </w:pPr>
  </w:style>
  <w:style w:type="paragraph" w:styleId="Index2">
    <w:name w:val="index 2"/>
    <w:basedOn w:val="Normal"/>
    <w:next w:val="Normal"/>
    <w:autoRedefine/>
    <w:uiPriority w:val="99"/>
    <w:semiHidden/>
    <w:unhideWhenUsed/>
    <w:locked/>
    <w:rsid w:val="00F859B0"/>
    <w:pPr>
      <w:ind w:left="440" w:hanging="220"/>
    </w:pPr>
  </w:style>
  <w:style w:type="paragraph" w:styleId="Index3">
    <w:name w:val="index 3"/>
    <w:basedOn w:val="Normal"/>
    <w:next w:val="Normal"/>
    <w:autoRedefine/>
    <w:uiPriority w:val="99"/>
    <w:semiHidden/>
    <w:unhideWhenUsed/>
    <w:locked/>
    <w:rsid w:val="00F859B0"/>
    <w:pPr>
      <w:ind w:left="660" w:hanging="220"/>
    </w:pPr>
  </w:style>
  <w:style w:type="paragraph" w:styleId="Index4">
    <w:name w:val="index 4"/>
    <w:basedOn w:val="Normal"/>
    <w:next w:val="Normal"/>
    <w:autoRedefine/>
    <w:uiPriority w:val="99"/>
    <w:semiHidden/>
    <w:unhideWhenUsed/>
    <w:locked/>
    <w:rsid w:val="00F859B0"/>
    <w:pPr>
      <w:ind w:left="880" w:hanging="220"/>
    </w:pPr>
  </w:style>
  <w:style w:type="paragraph" w:styleId="Index5">
    <w:name w:val="index 5"/>
    <w:basedOn w:val="Normal"/>
    <w:next w:val="Normal"/>
    <w:autoRedefine/>
    <w:uiPriority w:val="99"/>
    <w:semiHidden/>
    <w:unhideWhenUsed/>
    <w:locked/>
    <w:rsid w:val="00F859B0"/>
    <w:pPr>
      <w:ind w:left="1100" w:hanging="220"/>
    </w:pPr>
  </w:style>
  <w:style w:type="paragraph" w:styleId="Index6">
    <w:name w:val="index 6"/>
    <w:basedOn w:val="Normal"/>
    <w:next w:val="Normal"/>
    <w:autoRedefine/>
    <w:uiPriority w:val="99"/>
    <w:semiHidden/>
    <w:unhideWhenUsed/>
    <w:locked/>
    <w:rsid w:val="00F859B0"/>
    <w:pPr>
      <w:ind w:left="1320" w:hanging="220"/>
    </w:pPr>
  </w:style>
  <w:style w:type="paragraph" w:styleId="Index7">
    <w:name w:val="index 7"/>
    <w:basedOn w:val="Normal"/>
    <w:next w:val="Normal"/>
    <w:autoRedefine/>
    <w:uiPriority w:val="99"/>
    <w:semiHidden/>
    <w:unhideWhenUsed/>
    <w:locked/>
    <w:rsid w:val="00F859B0"/>
    <w:pPr>
      <w:ind w:left="1540" w:hanging="220"/>
    </w:pPr>
  </w:style>
  <w:style w:type="paragraph" w:styleId="Index8">
    <w:name w:val="index 8"/>
    <w:basedOn w:val="Normal"/>
    <w:next w:val="Normal"/>
    <w:autoRedefine/>
    <w:uiPriority w:val="99"/>
    <w:semiHidden/>
    <w:unhideWhenUsed/>
    <w:locked/>
    <w:rsid w:val="00F859B0"/>
    <w:pPr>
      <w:ind w:left="1760" w:hanging="220"/>
    </w:pPr>
  </w:style>
  <w:style w:type="paragraph" w:styleId="Index9">
    <w:name w:val="index 9"/>
    <w:basedOn w:val="Normal"/>
    <w:next w:val="Normal"/>
    <w:autoRedefine/>
    <w:uiPriority w:val="99"/>
    <w:semiHidden/>
    <w:unhideWhenUsed/>
    <w:locked/>
    <w:rsid w:val="00F859B0"/>
    <w:pPr>
      <w:ind w:left="1980" w:hanging="220"/>
    </w:pPr>
  </w:style>
  <w:style w:type="paragraph" w:styleId="IndexHeading">
    <w:name w:val="index heading"/>
    <w:basedOn w:val="Normal"/>
    <w:next w:val="Index1"/>
    <w:uiPriority w:val="99"/>
    <w:semiHidden/>
    <w:unhideWhenUsed/>
    <w:locked/>
    <w:rsid w:val="00F859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59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859B0"/>
    <w:rPr>
      <w:rFonts w:ascii="ZapfCalligr BT" w:hAnsi="ZapfCalligr BT" w:cs="ZapfCalligr BT"/>
      <w:i/>
      <w:iCs/>
      <w:color w:val="4F81BD" w:themeColor="accent1"/>
    </w:rPr>
  </w:style>
  <w:style w:type="paragraph" w:styleId="List">
    <w:name w:val="List"/>
    <w:basedOn w:val="Normal"/>
    <w:uiPriority w:val="99"/>
    <w:semiHidden/>
    <w:unhideWhenUsed/>
    <w:locked/>
    <w:rsid w:val="00F859B0"/>
    <w:pPr>
      <w:ind w:left="283" w:hanging="283"/>
      <w:contextualSpacing/>
    </w:pPr>
  </w:style>
  <w:style w:type="paragraph" w:styleId="List2">
    <w:name w:val="List 2"/>
    <w:basedOn w:val="Normal"/>
    <w:uiPriority w:val="99"/>
    <w:semiHidden/>
    <w:unhideWhenUsed/>
    <w:locked/>
    <w:rsid w:val="00F859B0"/>
    <w:pPr>
      <w:ind w:left="566" w:hanging="283"/>
      <w:contextualSpacing/>
    </w:pPr>
  </w:style>
  <w:style w:type="paragraph" w:styleId="List3">
    <w:name w:val="List 3"/>
    <w:basedOn w:val="Normal"/>
    <w:uiPriority w:val="99"/>
    <w:semiHidden/>
    <w:unhideWhenUsed/>
    <w:locked/>
    <w:rsid w:val="00F859B0"/>
    <w:pPr>
      <w:ind w:left="849" w:hanging="283"/>
      <w:contextualSpacing/>
    </w:pPr>
  </w:style>
  <w:style w:type="paragraph" w:styleId="List4">
    <w:name w:val="List 4"/>
    <w:basedOn w:val="Normal"/>
    <w:uiPriority w:val="99"/>
    <w:semiHidden/>
    <w:unhideWhenUsed/>
    <w:locked/>
    <w:rsid w:val="00F859B0"/>
    <w:pPr>
      <w:ind w:left="1132" w:hanging="283"/>
      <w:contextualSpacing/>
    </w:pPr>
  </w:style>
  <w:style w:type="paragraph" w:styleId="List5">
    <w:name w:val="List 5"/>
    <w:basedOn w:val="Normal"/>
    <w:uiPriority w:val="99"/>
    <w:semiHidden/>
    <w:unhideWhenUsed/>
    <w:locked/>
    <w:rsid w:val="00F859B0"/>
    <w:pPr>
      <w:ind w:left="1415" w:hanging="283"/>
      <w:contextualSpacing/>
    </w:pPr>
  </w:style>
  <w:style w:type="paragraph" w:styleId="ListBullet">
    <w:name w:val="List Bullet"/>
    <w:basedOn w:val="Normal"/>
    <w:uiPriority w:val="99"/>
    <w:semiHidden/>
    <w:unhideWhenUsed/>
    <w:locked/>
    <w:rsid w:val="00F859B0"/>
    <w:pPr>
      <w:numPr>
        <w:numId w:val="9"/>
      </w:numPr>
      <w:contextualSpacing/>
    </w:pPr>
  </w:style>
  <w:style w:type="paragraph" w:styleId="ListBullet2">
    <w:name w:val="List Bullet 2"/>
    <w:basedOn w:val="Normal"/>
    <w:uiPriority w:val="99"/>
    <w:semiHidden/>
    <w:unhideWhenUsed/>
    <w:locked/>
    <w:rsid w:val="00F859B0"/>
    <w:pPr>
      <w:numPr>
        <w:numId w:val="10"/>
      </w:numPr>
      <w:contextualSpacing/>
    </w:pPr>
  </w:style>
  <w:style w:type="paragraph" w:styleId="ListBullet3">
    <w:name w:val="List Bullet 3"/>
    <w:basedOn w:val="Normal"/>
    <w:uiPriority w:val="99"/>
    <w:semiHidden/>
    <w:unhideWhenUsed/>
    <w:locked/>
    <w:rsid w:val="00F859B0"/>
    <w:pPr>
      <w:numPr>
        <w:numId w:val="11"/>
      </w:numPr>
      <w:contextualSpacing/>
    </w:pPr>
  </w:style>
  <w:style w:type="paragraph" w:styleId="ListBullet5">
    <w:name w:val="List Bullet 5"/>
    <w:basedOn w:val="Normal"/>
    <w:uiPriority w:val="99"/>
    <w:semiHidden/>
    <w:unhideWhenUsed/>
    <w:locked/>
    <w:rsid w:val="00F859B0"/>
    <w:pPr>
      <w:numPr>
        <w:numId w:val="12"/>
      </w:numPr>
      <w:contextualSpacing/>
    </w:pPr>
  </w:style>
  <w:style w:type="paragraph" w:styleId="ListContinue">
    <w:name w:val="List Continue"/>
    <w:basedOn w:val="Normal"/>
    <w:uiPriority w:val="99"/>
    <w:semiHidden/>
    <w:unhideWhenUsed/>
    <w:locked/>
    <w:rsid w:val="00F859B0"/>
    <w:pPr>
      <w:spacing w:after="120"/>
      <w:ind w:left="283"/>
      <w:contextualSpacing/>
    </w:pPr>
  </w:style>
  <w:style w:type="paragraph" w:styleId="ListContinue2">
    <w:name w:val="List Continue 2"/>
    <w:basedOn w:val="Normal"/>
    <w:uiPriority w:val="99"/>
    <w:semiHidden/>
    <w:unhideWhenUsed/>
    <w:locked/>
    <w:rsid w:val="00F859B0"/>
    <w:pPr>
      <w:spacing w:after="120"/>
      <w:ind w:left="566"/>
      <w:contextualSpacing/>
    </w:pPr>
  </w:style>
  <w:style w:type="paragraph" w:styleId="ListContinue3">
    <w:name w:val="List Continue 3"/>
    <w:basedOn w:val="Normal"/>
    <w:uiPriority w:val="99"/>
    <w:semiHidden/>
    <w:unhideWhenUsed/>
    <w:locked/>
    <w:rsid w:val="00F859B0"/>
    <w:pPr>
      <w:spacing w:after="120"/>
      <w:ind w:left="849"/>
      <w:contextualSpacing/>
    </w:pPr>
  </w:style>
  <w:style w:type="paragraph" w:styleId="ListContinue4">
    <w:name w:val="List Continue 4"/>
    <w:basedOn w:val="Normal"/>
    <w:uiPriority w:val="99"/>
    <w:semiHidden/>
    <w:unhideWhenUsed/>
    <w:locked/>
    <w:rsid w:val="00F859B0"/>
    <w:pPr>
      <w:spacing w:after="120"/>
      <w:ind w:left="1132"/>
      <w:contextualSpacing/>
    </w:pPr>
  </w:style>
  <w:style w:type="paragraph" w:styleId="ListContinue5">
    <w:name w:val="List Continue 5"/>
    <w:basedOn w:val="Normal"/>
    <w:uiPriority w:val="99"/>
    <w:semiHidden/>
    <w:unhideWhenUsed/>
    <w:locked/>
    <w:rsid w:val="00F859B0"/>
    <w:pPr>
      <w:spacing w:after="120"/>
      <w:ind w:left="1415"/>
      <w:contextualSpacing/>
    </w:pPr>
  </w:style>
  <w:style w:type="paragraph" w:styleId="ListNumber">
    <w:name w:val="List Number"/>
    <w:basedOn w:val="Normal"/>
    <w:uiPriority w:val="99"/>
    <w:semiHidden/>
    <w:unhideWhenUsed/>
    <w:locked/>
    <w:rsid w:val="00F859B0"/>
    <w:pPr>
      <w:numPr>
        <w:numId w:val="13"/>
      </w:numPr>
      <w:contextualSpacing/>
    </w:pPr>
  </w:style>
  <w:style w:type="paragraph" w:styleId="ListNumber2">
    <w:name w:val="List Number 2"/>
    <w:basedOn w:val="Normal"/>
    <w:uiPriority w:val="99"/>
    <w:semiHidden/>
    <w:unhideWhenUsed/>
    <w:locked/>
    <w:rsid w:val="00F859B0"/>
    <w:pPr>
      <w:numPr>
        <w:numId w:val="14"/>
      </w:numPr>
      <w:contextualSpacing/>
    </w:pPr>
  </w:style>
  <w:style w:type="paragraph" w:styleId="ListNumber3">
    <w:name w:val="List Number 3"/>
    <w:basedOn w:val="Normal"/>
    <w:uiPriority w:val="99"/>
    <w:semiHidden/>
    <w:unhideWhenUsed/>
    <w:locked/>
    <w:rsid w:val="00F859B0"/>
    <w:pPr>
      <w:numPr>
        <w:numId w:val="15"/>
      </w:numPr>
      <w:contextualSpacing/>
    </w:pPr>
  </w:style>
  <w:style w:type="paragraph" w:styleId="ListNumber4">
    <w:name w:val="List Number 4"/>
    <w:basedOn w:val="Normal"/>
    <w:uiPriority w:val="99"/>
    <w:semiHidden/>
    <w:unhideWhenUsed/>
    <w:locked/>
    <w:rsid w:val="00F859B0"/>
    <w:pPr>
      <w:numPr>
        <w:numId w:val="16"/>
      </w:numPr>
      <w:contextualSpacing/>
    </w:pPr>
  </w:style>
  <w:style w:type="paragraph" w:styleId="ListNumber5">
    <w:name w:val="List Number 5"/>
    <w:basedOn w:val="Normal"/>
    <w:uiPriority w:val="99"/>
    <w:semiHidden/>
    <w:unhideWhenUsed/>
    <w:locked/>
    <w:rsid w:val="00F859B0"/>
    <w:pPr>
      <w:numPr>
        <w:numId w:val="17"/>
      </w:numPr>
      <w:contextualSpacing/>
    </w:pPr>
  </w:style>
  <w:style w:type="paragraph" w:styleId="MacroText">
    <w:name w:val="macro"/>
    <w:link w:val="MacroTextChar"/>
    <w:uiPriority w:val="99"/>
    <w:semiHidden/>
    <w:unhideWhenUsed/>
    <w:locked/>
    <w:rsid w:val="00F859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859B0"/>
    <w:rPr>
      <w:rFonts w:ascii="Consolas" w:hAnsi="Consolas" w:cs="Consolas"/>
      <w:sz w:val="20"/>
      <w:szCs w:val="20"/>
    </w:rPr>
  </w:style>
  <w:style w:type="paragraph" w:styleId="MessageHeader">
    <w:name w:val="Message Header"/>
    <w:basedOn w:val="Normal"/>
    <w:link w:val="MessageHeaderChar"/>
    <w:uiPriority w:val="99"/>
    <w:semiHidden/>
    <w:unhideWhenUsed/>
    <w:locked/>
    <w:rsid w:val="00F859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59B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F859B0"/>
    <w:pPr>
      <w:ind w:left="720"/>
    </w:pPr>
  </w:style>
  <w:style w:type="paragraph" w:styleId="NoteHeading">
    <w:name w:val="Note Heading"/>
    <w:basedOn w:val="Normal"/>
    <w:next w:val="Normal"/>
    <w:link w:val="NoteHeadingChar"/>
    <w:uiPriority w:val="99"/>
    <w:semiHidden/>
    <w:unhideWhenUsed/>
    <w:locked/>
    <w:rsid w:val="00F859B0"/>
  </w:style>
  <w:style w:type="character" w:customStyle="1" w:styleId="NoteHeadingChar">
    <w:name w:val="Note Heading Char"/>
    <w:basedOn w:val="DefaultParagraphFont"/>
    <w:link w:val="NoteHeading"/>
    <w:uiPriority w:val="99"/>
    <w:semiHidden/>
    <w:rsid w:val="00F859B0"/>
    <w:rPr>
      <w:rFonts w:ascii="ZapfCalligr BT" w:hAnsi="ZapfCalligr BT" w:cs="ZapfCalligr BT"/>
    </w:rPr>
  </w:style>
  <w:style w:type="paragraph" w:styleId="Quote">
    <w:name w:val="Quote"/>
    <w:basedOn w:val="Normal"/>
    <w:next w:val="Normal"/>
    <w:link w:val="QuoteChar"/>
    <w:uiPriority w:val="29"/>
    <w:qFormat/>
    <w:rsid w:val="00F859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59B0"/>
    <w:rPr>
      <w:rFonts w:ascii="ZapfCalligr BT" w:hAnsi="ZapfCalligr BT" w:cs="ZapfCalligr BT"/>
      <w:i/>
      <w:iCs/>
      <w:color w:val="404040" w:themeColor="text1" w:themeTint="BF"/>
    </w:rPr>
  </w:style>
  <w:style w:type="paragraph" w:styleId="Salutation">
    <w:name w:val="Salutation"/>
    <w:basedOn w:val="Normal"/>
    <w:next w:val="Normal"/>
    <w:link w:val="SalutationChar"/>
    <w:uiPriority w:val="99"/>
    <w:semiHidden/>
    <w:unhideWhenUsed/>
    <w:locked/>
    <w:rsid w:val="00F859B0"/>
  </w:style>
  <w:style w:type="character" w:customStyle="1" w:styleId="SalutationChar">
    <w:name w:val="Salutation Char"/>
    <w:basedOn w:val="DefaultParagraphFont"/>
    <w:link w:val="Salutation"/>
    <w:uiPriority w:val="99"/>
    <w:semiHidden/>
    <w:rsid w:val="00F859B0"/>
    <w:rPr>
      <w:rFonts w:ascii="ZapfCalligr BT" w:hAnsi="ZapfCalligr BT" w:cs="ZapfCalligr BT"/>
    </w:rPr>
  </w:style>
  <w:style w:type="paragraph" w:styleId="Signature">
    <w:name w:val="Signature"/>
    <w:basedOn w:val="Normal"/>
    <w:link w:val="SignatureChar"/>
    <w:uiPriority w:val="99"/>
    <w:semiHidden/>
    <w:unhideWhenUsed/>
    <w:locked/>
    <w:rsid w:val="00F859B0"/>
    <w:pPr>
      <w:ind w:left="4252"/>
    </w:pPr>
  </w:style>
  <w:style w:type="character" w:customStyle="1" w:styleId="SignatureChar">
    <w:name w:val="Signature Char"/>
    <w:basedOn w:val="DefaultParagraphFont"/>
    <w:link w:val="Signature"/>
    <w:uiPriority w:val="99"/>
    <w:semiHidden/>
    <w:rsid w:val="00F859B0"/>
    <w:rPr>
      <w:rFonts w:ascii="ZapfCalligr BT" w:hAnsi="ZapfCalligr BT" w:cs="ZapfCalligr BT"/>
    </w:rPr>
  </w:style>
  <w:style w:type="paragraph" w:styleId="Subtitle">
    <w:name w:val="Subtitle"/>
    <w:basedOn w:val="Normal"/>
    <w:next w:val="Normal"/>
    <w:link w:val="SubtitleChar"/>
    <w:uiPriority w:val="11"/>
    <w:qFormat/>
    <w:locked/>
    <w:rsid w:val="00F859B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59B0"/>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locked/>
    <w:rsid w:val="00F859B0"/>
    <w:pPr>
      <w:ind w:left="220" w:hanging="220"/>
    </w:pPr>
  </w:style>
  <w:style w:type="paragraph" w:styleId="TableofFigures">
    <w:name w:val="table of figures"/>
    <w:basedOn w:val="Normal"/>
    <w:next w:val="Normal"/>
    <w:uiPriority w:val="99"/>
    <w:semiHidden/>
    <w:unhideWhenUsed/>
    <w:locked/>
    <w:rsid w:val="00F859B0"/>
  </w:style>
  <w:style w:type="paragraph" w:styleId="Title">
    <w:name w:val="Title"/>
    <w:basedOn w:val="Normal"/>
    <w:next w:val="Normal"/>
    <w:link w:val="TitleChar"/>
    <w:uiPriority w:val="10"/>
    <w:qFormat/>
    <w:locked/>
    <w:rsid w:val="00F85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9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F859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F859B0"/>
    <w:pPr>
      <w:spacing w:after="100"/>
    </w:pPr>
  </w:style>
  <w:style w:type="paragraph" w:styleId="TOC2">
    <w:name w:val="toc 2"/>
    <w:basedOn w:val="Normal"/>
    <w:next w:val="Normal"/>
    <w:autoRedefine/>
    <w:uiPriority w:val="39"/>
    <w:semiHidden/>
    <w:unhideWhenUsed/>
    <w:locked/>
    <w:rsid w:val="00F859B0"/>
    <w:pPr>
      <w:spacing w:after="100"/>
      <w:ind w:left="220"/>
    </w:pPr>
  </w:style>
  <w:style w:type="paragraph" w:styleId="TOC3">
    <w:name w:val="toc 3"/>
    <w:basedOn w:val="Normal"/>
    <w:next w:val="Normal"/>
    <w:autoRedefine/>
    <w:uiPriority w:val="39"/>
    <w:semiHidden/>
    <w:unhideWhenUsed/>
    <w:locked/>
    <w:rsid w:val="00F859B0"/>
    <w:pPr>
      <w:spacing w:after="100"/>
      <w:ind w:left="440"/>
    </w:pPr>
  </w:style>
  <w:style w:type="paragraph" w:styleId="TOC4">
    <w:name w:val="toc 4"/>
    <w:basedOn w:val="Normal"/>
    <w:next w:val="Normal"/>
    <w:autoRedefine/>
    <w:uiPriority w:val="39"/>
    <w:semiHidden/>
    <w:unhideWhenUsed/>
    <w:locked/>
    <w:rsid w:val="00F859B0"/>
    <w:pPr>
      <w:spacing w:after="100"/>
      <w:ind w:left="660"/>
    </w:pPr>
  </w:style>
  <w:style w:type="paragraph" w:styleId="TOC5">
    <w:name w:val="toc 5"/>
    <w:basedOn w:val="Normal"/>
    <w:next w:val="Normal"/>
    <w:autoRedefine/>
    <w:uiPriority w:val="39"/>
    <w:semiHidden/>
    <w:unhideWhenUsed/>
    <w:locked/>
    <w:rsid w:val="00F859B0"/>
    <w:pPr>
      <w:spacing w:after="100"/>
      <w:ind w:left="880"/>
    </w:pPr>
  </w:style>
  <w:style w:type="paragraph" w:styleId="TOC6">
    <w:name w:val="toc 6"/>
    <w:basedOn w:val="Normal"/>
    <w:next w:val="Normal"/>
    <w:autoRedefine/>
    <w:uiPriority w:val="39"/>
    <w:semiHidden/>
    <w:unhideWhenUsed/>
    <w:locked/>
    <w:rsid w:val="00F859B0"/>
    <w:pPr>
      <w:spacing w:after="100"/>
      <w:ind w:left="1100"/>
    </w:pPr>
  </w:style>
  <w:style w:type="paragraph" w:styleId="TOC7">
    <w:name w:val="toc 7"/>
    <w:basedOn w:val="Normal"/>
    <w:next w:val="Normal"/>
    <w:autoRedefine/>
    <w:uiPriority w:val="39"/>
    <w:semiHidden/>
    <w:unhideWhenUsed/>
    <w:locked/>
    <w:rsid w:val="00F859B0"/>
    <w:pPr>
      <w:spacing w:after="100"/>
      <w:ind w:left="1320"/>
    </w:pPr>
  </w:style>
  <w:style w:type="paragraph" w:styleId="TOC8">
    <w:name w:val="toc 8"/>
    <w:basedOn w:val="Normal"/>
    <w:next w:val="Normal"/>
    <w:autoRedefine/>
    <w:uiPriority w:val="39"/>
    <w:semiHidden/>
    <w:unhideWhenUsed/>
    <w:locked/>
    <w:rsid w:val="00F859B0"/>
    <w:pPr>
      <w:spacing w:after="100"/>
      <w:ind w:left="1540"/>
    </w:pPr>
  </w:style>
  <w:style w:type="paragraph" w:styleId="TOC9">
    <w:name w:val="toc 9"/>
    <w:basedOn w:val="Normal"/>
    <w:next w:val="Normal"/>
    <w:autoRedefine/>
    <w:uiPriority w:val="39"/>
    <w:semiHidden/>
    <w:unhideWhenUsed/>
    <w:locked/>
    <w:rsid w:val="00F859B0"/>
    <w:pPr>
      <w:spacing w:after="100"/>
      <w:ind w:left="1760"/>
    </w:pPr>
  </w:style>
  <w:style w:type="paragraph" w:styleId="TOCHeading">
    <w:name w:val="TOC Heading"/>
    <w:basedOn w:val="Heading1"/>
    <w:next w:val="Normal"/>
    <w:uiPriority w:val="39"/>
    <w:semiHidden/>
    <w:unhideWhenUsed/>
    <w:qFormat/>
    <w:rsid w:val="00F859B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 w:type="table" w:customStyle="1" w:styleId="TableGrid1">
    <w:name w:val="Table Grid1"/>
    <w:basedOn w:val="TableNormal"/>
    <w:next w:val="TableGrid"/>
    <w:uiPriority w:val="39"/>
    <w:rsid w:val="00D5261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87505035">
      <w:bodyDiv w:val="1"/>
      <w:marLeft w:val="0"/>
      <w:marRight w:val="0"/>
      <w:marTop w:val="0"/>
      <w:marBottom w:val="0"/>
      <w:divBdr>
        <w:top w:val="none" w:sz="0" w:space="0" w:color="auto"/>
        <w:left w:val="none" w:sz="0" w:space="0" w:color="auto"/>
        <w:bottom w:val="none" w:sz="0" w:space="0" w:color="auto"/>
        <w:right w:val="none" w:sz="0" w:space="0" w:color="auto"/>
      </w:divBdr>
    </w:div>
    <w:div w:id="90206534">
      <w:bodyDiv w:val="1"/>
      <w:marLeft w:val="0"/>
      <w:marRight w:val="0"/>
      <w:marTop w:val="0"/>
      <w:marBottom w:val="0"/>
      <w:divBdr>
        <w:top w:val="none" w:sz="0" w:space="0" w:color="auto"/>
        <w:left w:val="none" w:sz="0" w:space="0" w:color="auto"/>
        <w:bottom w:val="none" w:sz="0" w:space="0" w:color="auto"/>
        <w:right w:val="none" w:sz="0" w:space="0" w:color="auto"/>
      </w:divBdr>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338775082">
      <w:bodyDiv w:val="1"/>
      <w:marLeft w:val="0"/>
      <w:marRight w:val="0"/>
      <w:marTop w:val="0"/>
      <w:marBottom w:val="0"/>
      <w:divBdr>
        <w:top w:val="none" w:sz="0" w:space="0" w:color="auto"/>
        <w:left w:val="none" w:sz="0" w:space="0" w:color="auto"/>
        <w:bottom w:val="none" w:sz="0" w:space="0" w:color="auto"/>
        <w:right w:val="none" w:sz="0" w:space="0" w:color="auto"/>
      </w:divBdr>
      <w:divsChild>
        <w:div w:id="84150556">
          <w:marLeft w:val="288"/>
          <w:marRight w:val="0"/>
          <w:marTop w:val="0"/>
          <w:marBottom w:val="170"/>
          <w:divBdr>
            <w:top w:val="none" w:sz="0" w:space="0" w:color="auto"/>
            <w:left w:val="none" w:sz="0" w:space="0" w:color="auto"/>
            <w:bottom w:val="none" w:sz="0" w:space="0" w:color="auto"/>
            <w:right w:val="none" w:sz="0" w:space="0" w:color="auto"/>
          </w:divBdr>
        </w:div>
      </w:divsChild>
    </w:div>
    <w:div w:id="392895494">
      <w:bodyDiv w:val="1"/>
      <w:marLeft w:val="0"/>
      <w:marRight w:val="0"/>
      <w:marTop w:val="0"/>
      <w:marBottom w:val="0"/>
      <w:divBdr>
        <w:top w:val="none" w:sz="0" w:space="0" w:color="auto"/>
        <w:left w:val="none" w:sz="0" w:space="0" w:color="auto"/>
        <w:bottom w:val="none" w:sz="0" w:space="0" w:color="auto"/>
        <w:right w:val="none" w:sz="0" w:space="0" w:color="auto"/>
      </w:divBdr>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7421">
      <w:bodyDiv w:val="1"/>
      <w:marLeft w:val="0"/>
      <w:marRight w:val="0"/>
      <w:marTop w:val="0"/>
      <w:marBottom w:val="0"/>
      <w:divBdr>
        <w:top w:val="none" w:sz="0" w:space="0" w:color="auto"/>
        <w:left w:val="none" w:sz="0" w:space="0" w:color="auto"/>
        <w:bottom w:val="none" w:sz="0" w:space="0" w:color="auto"/>
        <w:right w:val="none" w:sz="0" w:space="0" w:color="auto"/>
      </w:divBdr>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37160857">
      <w:bodyDiv w:val="1"/>
      <w:marLeft w:val="0"/>
      <w:marRight w:val="0"/>
      <w:marTop w:val="0"/>
      <w:marBottom w:val="0"/>
      <w:divBdr>
        <w:top w:val="none" w:sz="0" w:space="0" w:color="auto"/>
        <w:left w:val="none" w:sz="0" w:space="0" w:color="auto"/>
        <w:bottom w:val="none" w:sz="0" w:space="0" w:color="auto"/>
        <w:right w:val="none" w:sz="0" w:space="0" w:color="auto"/>
      </w:divBdr>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sChild>
    </w:div>
    <w:div w:id="564923997">
      <w:bodyDiv w:val="1"/>
      <w:marLeft w:val="0"/>
      <w:marRight w:val="0"/>
      <w:marTop w:val="0"/>
      <w:marBottom w:val="0"/>
      <w:divBdr>
        <w:top w:val="none" w:sz="0" w:space="0" w:color="auto"/>
        <w:left w:val="none" w:sz="0" w:space="0" w:color="auto"/>
        <w:bottom w:val="none" w:sz="0" w:space="0" w:color="auto"/>
        <w:right w:val="none" w:sz="0" w:space="0" w:color="auto"/>
      </w:divBdr>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58532684">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18212614">
      <w:bodyDiv w:val="1"/>
      <w:marLeft w:val="0"/>
      <w:marRight w:val="0"/>
      <w:marTop w:val="0"/>
      <w:marBottom w:val="0"/>
      <w:divBdr>
        <w:top w:val="none" w:sz="0" w:space="0" w:color="auto"/>
        <w:left w:val="none" w:sz="0" w:space="0" w:color="auto"/>
        <w:bottom w:val="none" w:sz="0" w:space="0" w:color="auto"/>
        <w:right w:val="none" w:sz="0" w:space="0" w:color="auto"/>
      </w:divBdr>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57219228">
      <w:bodyDiv w:val="1"/>
      <w:marLeft w:val="0"/>
      <w:marRight w:val="0"/>
      <w:marTop w:val="0"/>
      <w:marBottom w:val="0"/>
      <w:divBdr>
        <w:top w:val="none" w:sz="0" w:space="0" w:color="auto"/>
        <w:left w:val="none" w:sz="0" w:space="0" w:color="auto"/>
        <w:bottom w:val="none" w:sz="0" w:space="0" w:color="auto"/>
        <w:right w:val="none" w:sz="0" w:space="0" w:color="auto"/>
      </w:divBdr>
    </w:div>
    <w:div w:id="768811461">
      <w:bodyDiv w:val="1"/>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15024150">
      <w:bodyDiv w:val="1"/>
      <w:marLeft w:val="0"/>
      <w:marRight w:val="0"/>
      <w:marTop w:val="0"/>
      <w:marBottom w:val="0"/>
      <w:divBdr>
        <w:top w:val="none" w:sz="0" w:space="0" w:color="auto"/>
        <w:left w:val="none" w:sz="0" w:space="0" w:color="auto"/>
        <w:bottom w:val="none" w:sz="0" w:space="0" w:color="auto"/>
        <w:right w:val="none" w:sz="0" w:space="0" w:color="auto"/>
      </w:divBdr>
    </w:div>
    <w:div w:id="826362352">
      <w:bodyDiv w:val="1"/>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54684627">
      <w:bodyDiv w:val="1"/>
      <w:marLeft w:val="0"/>
      <w:marRight w:val="0"/>
      <w:marTop w:val="0"/>
      <w:marBottom w:val="0"/>
      <w:divBdr>
        <w:top w:val="none" w:sz="0" w:space="0" w:color="auto"/>
        <w:left w:val="none" w:sz="0" w:space="0" w:color="auto"/>
        <w:bottom w:val="none" w:sz="0" w:space="0" w:color="auto"/>
        <w:right w:val="none" w:sz="0" w:space="0" w:color="auto"/>
      </w:divBdr>
    </w:div>
    <w:div w:id="877813087">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03638399">
      <w:bodyDiv w:val="1"/>
      <w:marLeft w:val="0"/>
      <w:marRight w:val="0"/>
      <w:marTop w:val="0"/>
      <w:marBottom w:val="0"/>
      <w:divBdr>
        <w:top w:val="none" w:sz="0" w:space="0" w:color="auto"/>
        <w:left w:val="none" w:sz="0" w:space="0" w:color="auto"/>
        <w:bottom w:val="none" w:sz="0" w:space="0" w:color="auto"/>
        <w:right w:val="none" w:sz="0" w:space="0" w:color="auto"/>
      </w:divBdr>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18095542">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629302">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978074478">
      <w:bodyDiv w:val="1"/>
      <w:marLeft w:val="0"/>
      <w:marRight w:val="0"/>
      <w:marTop w:val="0"/>
      <w:marBottom w:val="0"/>
      <w:divBdr>
        <w:top w:val="none" w:sz="0" w:space="0" w:color="auto"/>
        <w:left w:val="none" w:sz="0" w:space="0" w:color="auto"/>
        <w:bottom w:val="none" w:sz="0" w:space="0" w:color="auto"/>
        <w:right w:val="none" w:sz="0" w:space="0" w:color="auto"/>
      </w:divBdr>
      <w:divsChild>
        <w:div w:id="1109282194">
          <w:marLeft w:val="605"/>
          <w:marRight w:val="0"/>
          <w:marTop w:val="53"/>
          <w:marBottom w:val="60"/>
          <w:divBdr>
            <w:top w:val="none" w:sz="0" w:space="0" w:color="auto"/>
            <w:left w:val="none" w:sz="0" w:space="0" w:color="auto"/>
            <w:bottom w:val="none" w:sz="0" w:space="0" w:color="auto"/>
            <w:right w:val="none" w:sz="0" w:space="0" w:color="auto"/>
          </w:divBdr>
        </w:div>
        <w:div w:id="1087726008">
          <w:marLeft w:val="605"/>
          <w:marRight w:val="0"/>
          <w:marTop w:val="53"/>
          <w:marBottom w:val="60"/>
          <w:divBdr>
            <w:top w:val="none" w:sz="0" w:space="0" w:color="auto"/>
            <w:left w:val="none" w:sz="0" w:space="0" w:color="auto"/>
            <w:bottom w:val="none" w:sz="0" w:space="0" w:color="auto"/>
            <w:right w:val="none" w:sz="0" w:space="0" w:color="auto"/>
          </w:divBdr>
        </w:div>
        <w:div w:id="802388295">
          <w:marLeft w:val="605"/>
          <w:marRight w:val="0"/>
          <w:marTop w:val="53"/>
          <w:marBottom w:val="60"/>
          <w:divBdr>
            <w:top w:val="none" w:sz="0" w:space="0" w:color="auto"/>
            <w:left w:val="none" w:sz="0" w:space="0" w:color="auto"/>
            <w:bottom w:val="none" w:sz="0" w:space="0" w:color="auto"/>
            <w:right w:val="none" w:sz="0" w:space="0" w:color="auto"/>
          </w:divBdr>
        </w:div>
      </w:divsChild>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29916275">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067923982">
      <w:bodyDiv w:val="1"/>
      <w:marLeft w:val="0"/>
      <w:marRight w:val="0"/>
      <w:marTop w:val="0"/>
      <w:marBottom w:val="0"/>
      <w:divBdr>
        <w:top w:val="none" w:sz="0" w:space="0" w:color="auto"/>
        <w:left w:val="none" w:sz="0" w:space="0" w:color="auto"/>
        <w:bottom w:val="none" w:sz="0" w:space="0" w:color="auto"/>
        <w:right w:val="none" w:sz="0" w:space="0" w:color="auto"/>
      </w:divBdr>
    </w:div>
    <w:div w:id="1121995000">
      <w:bodyDiv w:val="1"/>
      <w:marLeft w:val="0"/>
      <w:marRight w:val="0"/>
      <w:marTop w:val="0"/>
      <w:marBottom w:val="0"/>
      <w:divBdr>
        <w:top w:val="none" w:sz="0" w:space="0" w:color="auto"/>
        <w:left w:val="none" w:sz="0" w:space="0" w:color="auto"/>
        <w:bottom w:val="none" w:sz="0" w:space="0" w:color="auto"/>
        <w:right w:val="none" w:sz="0" w:space="0" w:color="auto"/>
      </w:divBdr>
    </w:div>
    <w:div w:id="1159810695">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79877306">
      <w:bodyDiv w:val="1"/>
      <w:marLeft w:val="0"/>
      <w:marRight w:val="0"/>
      <w:marTop w:val="0"/>
      <w:marBottom w:val="0"/>
      <w:divBdr>
        <w:top w:val="none" w:sz="0" w:space="0" w:color="auto"/>
        <w:left w:val="none" w:sz="0" w:space="0" w:color="auto"/>
        <w:bottom w:val="none" w:sz="0" w:space="0" w:color="auto"/>
        <w:right w:val="none" w:sz="0" w:space="0" w:color="auto"/>
      </w:divBdr>
    </w:div>
    <w:div w:id="1288707044">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22923026">
      <w:bodyDiv w:val="1"/>
      <w:marLeft w:val="0"/>
      <w:marRight w:val="0"/>
      <w:marTop w:val="0"/>
      <w:marBottom w:val="0"/>
      <w:divBdr>
        <w:top w:val="none" w:sz="0" w:space="0" w:color="auto"/>
        <w:left w:val="none" w:sz="0" w:space="0" w:color="auto"/>
        <w:bottom w:val="none" w:sz="0" w:space="0" w:color="auto"/>
        <w:right w:val="none" w:sz="0" w:space="0" w:color="auto"/>
      </w:divBdr>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109403163">
          <w:marLeft w:val="1166"/>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2143031993">
          <w:marLeft w:val="1166"/>
          <w:marRight w:val="0"/>
          <w:marTop w:val="24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490050858">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09198009">
      <w:bodyDiv w:val="1"/>
      <w:marLeft w:val="0"/>
      <w:marRight w:val="0"/>
      <w:marTop w:val="0"/>
      <w:marBottom w:val="0"/>
      <w:divBdr>
        <w:top w:val="none" w:sz="0" w:space="0" w:color="auto"/>
        <w:left w:val="none" w:sz="0" w:space="0" w:color="auto"/>
        <w:bottom w:val="none" w:sz="0" w:space="0" w:color="auto"/>
        <w:right w:val="none" w:sz="0" w:space="0" w:color="auto"/>
      </w:divBdr>
    </w:div>
    <w:div w:id="1617372663">
      <w:bodyDiv w:val="1"/>
      <w:marLeft w:val="0"/>
      <w:marRight w:val="0"/>
      <w:marTop w:val="0"/>
      <w:marBottom w:val="0"/>
      <w:divBdr>
        <w:top w:val="none" w:sz="0" w:space="0" w:color="auto"/>
        <w:left w:val="none" w:sz="0" w:space="0" w:color="auto"/>
        <w:bottom w:val="none" w:sz="0" w:space="0" w:color="auto"/>
        <w:right w:val="none" w:sz="0" w:space="0" w:color="auto"/>
      </w:divBdr>
      <w:divsChild>
        <w:div w:id="1390961478">
          <w:marLeft w:val="1440"/>
          <w:marRight w:val="0"/>
          <w:marTop w:val="0"/>
          <w:marBottom w:val="0"/>
          <w:divBdr>
            <w:top w:val="none" w:sz="0" w:space="0" w:color="auto"/>
            <w:left w:val="none" w:sz="0" w:space="0" w:color="auto"/>
            <w:bottom w:val="none" w:sz="0" w:space="0" w:color="auto"/>
            <w:right w:val="none" w:sz="0" w:space="0" w:color="auto"/>
          </w:divBdr>
        </w:div>
        <w:div w:id="1465346554">
          <w:marLeft w:val="1440"/>
          <w:marRight w:val="0"/>
          <w:marTop w:val="0"/>
          <w:marBottom w:val="0"/>
          <w:divBdr>
            <w:top w:val="none" w:sz="0" w:space="0" w:color="auto"/>
            <w:left w:val="none" w:sz="0" w:space="0" w:color="auto"/>
            <w:bottom w:val="none" w:sz="0" w:space="0" w:color="auto"/>
            <w:right w:val="none" w:sz="0" w:space="0" w:color="auto"/>
          </w:divBdr>
        </w:div>
        <w:div w:id="1306084523">
          <w:marLeft w:val="1440"/>
          <w:marRight w:val="0"/>
          <w:marTop w:val="0"/>
          <w:marBottom w:val="0"/>
          <w:divBdr>
            <w:top w:val="none" w:sz="0" w:space="0" w:color="auto"/>
            <w:left w:val="none" w:sz="0" w:space="0" w:color="auto"/>
            <w:bottom w:val="none" w:sz="0" w:space="0" w:color="auto"/>
            <w:right w:val="none" w:sz="0" w:space="0" w:color="auto"/>
          </w:divBdr>
        </w:div>
        <w:div w:id="1969437091">
          <w:marLeft w:val="1440"/>
          <w:marRight w:val="0"/>
          <w:marTop w:val="0"/>
          <w:marBottom w:val="0"/>
          <w:divBdr>
            <w:top w:val="none" w:sz="0" w:space="0" w:color="auto"/>
            <w:left w:val="none" w:sz="0" w:space="0" w:color="auto"/>
            <w:bottom w:val="none" w:sz="0" w:space="0" w:color="auto"/>
            <w:right w:val="none" w:sz="0" w:space="0" w:color="auto"/>
          </w:divBdr>
        </w:div>
        <w:div w:id="61635972">
          <w:marLeft w:val="1440"/>
          <w:marRight w:val="0"/>
          <w:marTop w:val="0"/>
          <w:marBottom w:val="0"/>
          <w:divBdr>
            <w:top w:val="none" w:sz="0" w:space="0" w:color="auto"/>
            <w:left w:val="none" w:sz="0" w:space="0" w:color="auto"/>
            <w:bottom w:val="none" w:sz="0" w:space="0" w:color="auto"/>
            <w:right w:val="none" w:sz="0" w:space="0" w:color="auto"/>
          </w:divBdr>
        </w:div>
      </w:divsChild>
    </w:div>
    <w:div w:id="1624456806">
      <w:bodyDiv w:val="1"/>
      <w:marLeft w:val="0"/>
      <w:marRight w:val="0"/>
      <w:marTop w:val="0"/>
      <w:marBottom w:val="0"/>
      <w:divBdr>
        <w:top w:val="none" w:sz="0" w:space="0" w:color="auto"/>
        <w:left w:val="none" w:sz="0" w:space="0" w:color="auto"/>
        <w:bottom w:val="none" w:sz="0" w:space="0" w:color="auto"/>
        <w:right w:val="none" w:sz="0" w:space="0" w:color="auto"/>
      </w:divBdr>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33899268">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52785142">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52043383">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793589762">
      <w:bodyDiv w:val="1"/>
      <w:marLeft w:val="0"/>
      <w:marRight w:val="0"/>
      <w:marTop w:val="0"/>
      <w:marBottom w:val="0"/>
      <w:divBdr>
        <w:top w:val="none" w:sz="0" w:space="0" w:color="auto"/>
        <w:left w:val="none" w:sz="0" w:space="0" w:color="auto"/>
        <w:bottom w:val="none" w:sz="0" w:space="0" w:color="auto"/>
        <w:right w:val="none" w:sz="0" w:space="0" w:color="auto"/>
      </w:divBdr>
    </w:div>
    <w:div w:id="181228299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8515907">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76506660">
      <w:bodyDiv w:val="1"/>
      <w:marLeft w:val="0"/>
      <w:marRight w:val="0"/>
      <w:marTop w:val="0"/>
      <w:marBottom w:val="0"/>
      <w:divBdr>
        <w:top w:val="none" w:sz="0" w:space="0" w:color="auto"/>
        <w:left w:val="none" w:sz="0" w:space="0" w:color="auto"/>
        <w:bottom w:val="none" w:sz="0" w:space="0" w:color="auto"/>
        <w:right w:val="none" w:sz="0" w:space="0" w:color="auto"/>
      </w:divBdr>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1997101800">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hyperlink" Target="http://www.kingfisher.com/sustainability"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gfisher.com/index.asp?pageid=380&amp;newsid=11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enquiries@kingfish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tcmarkets.com/stock/KGFHY/quo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hyperlink" Target="http://webstat.banque-france.fr/en/browse.do?node=53843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3840-BF31-48E5-B6CA-095F4C86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11208</Words>
  <Characters>61834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72897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subject/>
  <dc:creator>Cowley, Christian</dc:creator>
  <cp:keywords/>
  <cp:lastModifiedBy>Nazir, Maj</cp:lastModifiedBy>
  <cp:revision>5</cp:revision>
  <cp:lastPrinted>2019-03-19T20:06:00Z</cp:lastPrinted>
  <dcterms:created xsi:type="dcterms:W3CDTF">2019-03-19T20:04:00Z</dcterms:created>
  <dcterms:modified xsi:type="dcterms:W3CDTF">2019-03-19T21:12:00Z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